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北京海关关于保税仓库、出口监管仓库</w:t>
      </w:r>
    </w:p>
    <w:p>
      <w:pPr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布局规划</w:t>
      </w:r>
      <w:r>
        <w:rPr>
          <w:rFonts w:ascii="方正小标宋_GBK" w:eastAsia="方正小标宋_GBK"/>
          <w:spacing w:val="-4"/>
          <w:sz w:val="44"/>
          <w:szCs w:val="44"/>
        </w:rPr>
        <w:t>的通告</w:t>
      </w:r>
    </w:p>
    <w:p>
      <w:pPr>
        <w:spacing w:line="560" w:lineRule="exact"/>
        <w:rPr>
          <w:rFonts w:ascii="方正仿宋_GBK" w:eastAsia="方正仿宋_GBK"/>
          <w:spacing w:val="-4"/>
          <w:sz w:val="32"/>
          <w:szCs w:val="32"/>
        </w:rPr>
      </w:pPr>
      <w:r>
        <w:rPr>
          <w:rFonts w:ascii="方正仿宋_GBK" w:eastAsia="方正仿宋_GBK" w:hint="eastAsia"/>
          <w:spacing w:val="-4"/>
          <w:sz w:val="32"/>
          <w:szCs w:val="32"/>
        </w:rPr>
        <w:t xml:space="preserve"> </w:t>
      </w:r>
    </w:p>
    <w:p>
      <w:pPr>
        <w:widowControl/>
        <w:spacing w:line="560" w:lineRule="exact"/>
        <w:ind w:firstLineChars="200" w:firstLine="624"/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</w:pPr>
      <w:r>
        <w:rPr>
          <w:rFonts w:ascii="方正仿宋_GBK" w:eastAsia="方正仿宋_GBK" w:cs="宋体" w:hint="eastAsia"/>
          <w:spacing w:val="-4"/>
          <w:kern w:val="0"/>
          <w:sz w:val="32"/>
          <w:szCs w:val="32"/>
        </w:rPr>
        <w:t>为推动北京关区保税仓库、出口监管仓库健康、有序发展，根据《中华人民共和国海关对保税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仓库及所存货物的管理规定》（海关总署令第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105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号发布， 2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63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号修订）、《中华人民共和国海关对出口监管仓库及所存货物的管理办法》（海关总署令第133号发布，2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6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3号修订）及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《海关总署关于进一步规范保税仓库、出口监管仓库管理有关事项的公告》（海关总署公告2023年第75号）及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有关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法律法规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，结合关区实际情况，制定保税仓库、出口监管仓库（以下简称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“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两仓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”</w:t>
      </w:r>
      <w:r>
        <w:rPr>
          <w:rFonts w:ascii="Times New Roman" w:eastAsia="方正仿宋_GBK" w:cs="Times New Roman" w:hAnsi="Times New Roman" w:hint="eastAsia"/>
          <w:spacing w:val="-4"/>
          <w:kern w:val="0"/>
          <w:sz w:val="32"/>
          <w:szCs w:val="32"/>
        </w:rPr>
        <w:t>）布局规划。</w:t>
      </w:r>
      <w:r>
        <w:rPr>
          <w:rFonts w:ascii="Times New Roman" w:eastAsia="方正仿宋_GBK" w:cs="Times New Roman" w:hAnsi="Times New Roman"/>
          <w:spacing w:val="-4"/>
          <w:kern w:val="0"/>
          <w:sz w:val="32"/>
          <w:szCs w:val="32"/>
        </w:rPr>
        <w:t>现就有关事项通告如下：</w:t>
      </w:r>
    </w:p>
    <w:p>
      <w:pPr>
        <w:widowControl/>
        <w:spacing w:line="560" w:lineRule="exact"/>
        <w:ind w:firstLineChars="200" w:firstLine="624"/>
        <w:rPr>
          <w:rFonts w:ascii="方正黑体_GBK" w:eastAsia="方正黑体_GBK" w:cs="宋体"/>
          <w:spacing w:val="-4"/>
          <w:kern w:val="0"/>
          <w:sz w:val="32"/>
          <w:szCs w:val="32"/>
        </w:rPr>
      </w:pPr>
      <w:r>
        <w:rPr>
          <w:rFonts w:ascii="方正黑体_GBK" w:eastAsia="方正黑体_GBK" w:cs="宋体" w:hint="eastAsia"/>
          <w:spacing w:val="-4"/>
          <w:kern w:val="0"/>
          <w:sz w:val="32"/>
          <w:szCs w:val="32"/>
        </w:rPr>
        <w:t>一、适用范围</w:t>
      </w:r>
    </w:p>
    <w:p>
      <w:pPr>
        <w:widowControl/>
        <w:spacing w:line="560" w:lineRule="exact"/>
        <w:rPr>
          <w:rFonts w:ascii="方正仿宋_GBK" w:eastAsia="方正仿宋_GBK" w:cs="宋体"/>
          <w:spacing w:val="-4"/>
          <w:kern w:val="0"/>
          <w:sz w:val="32"/>
          <w:szCs w:val="32"/>
        </w:rPr>
      </w:pPr>
      <w:r>
        <w:rPr>
          <w:rFonts w:ascii="方正仿宋_GBK" w:eastAsia="方正仿宋_GBK" w:cs="宋体" w:hint="eastAsia"/>
          <w:spacing w:val="-4"/>
          <w:kern w:val="0"/>
          <w:sz w:val="32"/>
          <w:szCs w:val="32"/>
        </w:rPr>
        <w:t>　　本规划适用于北京海关关区范围内各行政区域。</w:t>
      </w:r>
    </w:p>
    <w:p>
      <w:pPr>
        <w:widowControl/>
        <w:spacing w:line="560" w:lineRule="exact"/>
        <w:ind w:firstLineChars="200" w:firstLine="624"/>
        <w:rPr>
          <w:rFonts w:ascii="方正仿宋_GBK" w:eastAsia="方正仿宋_GBK" w:cs="宋体"/>
          <w:spacing w:val="-4"/>
          <w:kern w:val="0"/>
          <w:sz w:val="32"/>
          <w:szCs w:val="32"/>
        </w:rPr>
      </w:pPr>
      <w:r>
        <w:rPr>
          <w:rFonts w:ascii="方正黑体_GBK" w:eastAsia="方正黑体_GBK" w:cs="宋体" w:hint="eastAsia"/>
          <w:spacing w:val="-4"/>
          <w:kern w:val="0"/>
          <w:sz w:val="32"/>
          <w:szCs w:val="32"/>
        </w:rPr>
        <w:t>二</w:t>
      </w:r>
      <w:r>
        <w:rPr>
          <w:rFonts w:ascii="方正黑体_GBK" w:eastAsia="方正黑体_GBK" w:cs="宋体"/>
          <w:spacing w:val="-4"/>
          <w:kern w:val="0"/>
          <w:sz w:val="32"/>
          <w:szCs w:val="32"/>
        </w:rPr>
        <w:t>、布局要求</w:t>
      </w:r>
    </w:p>
    <w:p>
      <w:pPr>
        <w:pStyle w:val="19"/>
        <w:spacing w:line="560" w:lineRule="exact"/>
        <w:ind w:firstLineChars="200" w:firstLine="624"/>
        <w:rPr>
          <w:rFonts w:ascii="Times New Roman" w:eastAsia="方正仿宋_GBK" w:cs="Times New Roman" w:hAnsi="Times New Roman"/>
          <w:spacing w:val="-4"/>
          <w:sz w:val="32"/>
          <w:szCs w:val="32"/>
        </w:rPr>
      </w:pPr>
      <w:r>
        <w:rPr>
          <w:rFonts w:ascii="方正仿宋_GBK" w:eastAsia="方正仿宋_GBK"/>
          <w:spacing w:val="-4"/>
          <w:sz w:val="32"/>
          <w:szCs w:val="32"/>
        </w:rPr>
        <w:t>北京关区</w:t>
      </w:r>
      <w:r>
        <w:rPr>
          <w:rFonts w:ascii="方正仿宋_GBK" w:eastAsia="方正仿宋_GBK" w:hint="eastAsia"/>
          <w:spacing w:val="-4"/>
          <w:sz w:val="32"/>
          <w:szCs w:val="32"/>
        </w:rPr>
        <w:t>两仓</w:t>
      </w:r>
      <w:r>
        <w:rPr>
          <w:rFonts w:ascii="方正仿宋_GBK" w:eastAsia="方正仿宋_GBK"/>
          <w:spacing w:val="-4"/>
          <w:sz w:val="32"/>
          <w:szCs w:val="32"/>
        </w:rPr>
        <w:t>设立坚持</w:t>
      </w:r>
      <w:r>
        <w:rPr>
          <w:rFonts w:ascii="方正仿宋_GBK" w:eastAsia="方正仿宋_GBK" w:hint="eastAsia"/>
          <w:spacing w:val="-4"/>
          <w:sz w:val="32"/>
          <w:szCs w:val="32"/>
        </w:rPr>
        <w:t>科学布局、规划总量、控制增量、优化存量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。企业申请设立两仓的，应满足布局要求。</w:t>
      </w:r>
    </w:p>
    <w:p>
      <w:pPr>
        <w:widowControl/>
        <w:spacing w:line="560" w:lineRule="exact"/>
        <w:ind w:firstLineChars="200" w:firstLine="624"/>
        <w:rPr>
          <w:rFonts w:ascii="方正楷体_GBK" w:eastAsia="方正楷体_GBK" w:cs="宋体"/>
          <w:b/>
          <w:spacing w:val="-4"/>
          <w:kern w:val="0"/>
          <w:sz w:val="32"/>
          <w:szCs w:val="32"/>
        </w:rPr>
      </w:pPr>
      <w:r>
        <w:rPr>
          <w:rFonts w:ascii="方正楷体_GBK" w:eastAsia="方正楷体_GBK" w:cs="宋体"/>
          <w:b/>
          <w:spacing w:val="-4"/>
          <w:kern w:val="0"/>
          <w:sz w:val="32"/>
          <w:szCs w:val="32"/>
        </w:rPr>
        <w:t>（一）因地制宜、科学规划。</w:t>
      </w:r>
    </w:p>
    <w:p>
      <w:pPr>
        <w:pStyle w:val="19"/>
        <w:spacing w:line="560" w:lineRule="exact"/>
        <w:ind w:firstLineChars="200" w:firstLine="624"/>
        <w:rPr>
          <w:rFonts w:ascii="方正仿宋_GBK" w:eastAsia="方正仿宋_GBK" w:cs="宋体"/>
          <w:spacing w:val="-4"/>
          <w:sz w:val="32"/>
          <w:szCs w:val="32"/>
        </w:rPr>
      </w:pPr>
      <w:r>
        <w:rPr>
          <w:rFonts w:ascii="方正仿宋_GBK" w:eastAsia="方正仿宋_GBK" w:cs="宋体"/>
          <w:spacing w:val="-4"/>
          <w:sz w:val="32"/>
          <w:szCs w:val="32"/>
        </w:rPr>
        <w:t>结合北京地方经济发展规划，从有利于实施国家经济发展战略、有利于联通国内国际两个市场、有利于高质量发展的角度出发，支持管理规范、资信良好、信息化系统满足海关监管要求的现代物流企业建设两仓。</w:t>
      </w:r>
    </w:p>
    <w:p>
      <w:pPr>
        <w:widowControl/>
        <w:spacing w:line="560" w:lineRule="exact"/>
        <w:ind w:firstLineChars="200" w:firstLine="624"/>
        <w:rPr>
          <w:rFonts w:ascii="方正楷体_GBK" w:eastAsia="方正楷体_GBK" w:cs="宋体"/>
          <w:b/>
          <w:spacing w:val="-4"/>
          <w:kern w:val="0"/>
          <w:sz w:val="32"/>
          <w:szCs w:val="32"/>
        </w:rPr>
      </w:pPr>
      <w:r>
        <w:rPr>
          <w:rFonts w:ascii="方正楷体_GBK" w:eastAsia="方正楷体_GBK" w:cs="宋体"/>
          <w:b/>
          <w:spacing w:val="-4"/>
          <w:kern w:val="0"/>
          <w:sz w:val="32"/>
          <w:szCs w:val="32"/>
        </w:rPr>
        <w:t>（二）按需设立，统筹兼顾。</w:t>
      </w:r>
    </w:p>
    <w:p>
      <w:pPr>
        <w:pStyle w:val="19"/>
        <w:spacing w:line="560" w:lineRule="exact"/>
        <w:ind w:firstLineChars="200" w:firstLine="624"/>
        <w:rPr>
          <w:rFonts w:ascii="方正仿宋_GBK" w:eastAsia="方正仿宋_GBK" w:cs="宋体"/>
          <w:spacing w:val="-4"/>
          <w:sz w:val="32"/>
          <w:szCs w:val="32"/>
        </w:rPr>
      </w:pPr>
      <w:r>
        <w:rPr>
          <w:rFonts w:ascii="方正仿宋_GBK" w:eastAsia="方正仿宋_GBK" w:cs="宋体"/>
          <w:spacing w:val="-4"/>
          <w:sz w:val="32"/>
          <w:szCs w:val="32"/>
        </w:rPr>
        <w:t>统筹兼顾北京关区两仓发展现状及未来增量需求，与关区内海关特殊监管区域、保税物流中心协调发展、错位布局，确保功能定位合理，助推国际物流链延伸和迭代发展，带动国内物流产业转型升级。</w:t>
      </w:r>
    </w:p>
    <w:p>
      <w:pPr>
        <w:widowControl/>
        <w:spacing w:line="560" w:lineRule="exact"/>
        <w:ind w:firstLineChars="200" w:firstLine="624"/>
        <w:rPr>
          <w:rFonts w:ascii="方正楷体_GBK" w:eastAsia="方正楷体_GBK" w:cs="宋体"/>
          <w:b/>
          <w:spacing w:val="-4"/>
          <w:kern w:val="0"/>
          <w:sz w:val="32"/>
          <w:szCs w:val="32"/>
        </w:rPr>
      </w:pPr>
      <w:r>
        <w:rPr>
          <w:rFonts w:ascii="方正楷体_GBK" w:eastAsia="方正楷体_GBK" w:cs="宋体"/>
          <w:b/>
          <w:spacing w:val="-4"/>
          <w:kern w:val="0"/>
          <w:sz w:val="32"/>
          <w:szCs w:val="32"/>
        </w:rPr>
        <w:t>（三）有序推进，动态管理。</w:t>
      </w:r>
    </w:p>
    <w:p>
      <w:pPr>
        <w:pStyle w:val="19"/>
        <w:spacing w:line="560" w:lineRule="exact"/>
        <w:ind w:firstLineChars="200" w:firstLine="624"/>
        <w:rPr>
          <w:rFonts w:ascii="方正仿宋_GBK" w:eastAsia="方正仿宋_GBK" w:cs="宋体"/>
          <w:spacing w:val="-4"/>
          <w:sz w:val="32"/>
          <w:szCs w:val="32"/>
        </w:rPr>
      </w:pPr>
      <w:r>
        <w:rPr>
          <w:rFonts w:ascii="方正仿宋_GBK" w:eastAsia="方正仿宋_GBK" w:cs="宋体" w:hint="eastAsia"/>
          <w:spacing w:val="-4"/>
          <w:kern w:val="0"/>
          <w:sz w:val="32"/>
          <w:szCs w:val="32"/>
        </w:rPr>
        <w:t>积极促进对两仓</w:t>
      </w:r>
      <w:r>
        <w:rPr>
          <w:rFonts w:ascii="方正仿宋_GBK" w:eastAsia="方正仿宋_GBK" w:cs="宋体"/>
          <w:spacing w:val="-4"/>
          <w:kern w:val="0"/>
          <w:sz w:val="32"/>
          <w:szCs w:val="32"/>
        </w:rPr>
        <w:t>及其经营</w:t>
      </w:r>
      <w:r>
        <w:rPr>
          <w:rFonts w:ascii="方正仿宋_GBK" w:eastAsia="方正仿宋_GBK" w:cs="宋体" w:hint="eastAsia"/>
          <w:spacing w:val="-4"/>
          <w:kern w:val="0"/>
          <w:sz w:val="32"/>
          <w:szCs w:val="32"/>
        </w:rPr>
        <w:t>企业的分类管理和差别化管理措施，</w:t>
      </w:r>
      <w:r>
        <w:rPr>
          <w:rFonts w:ascii="方正仿宋_GBK" w:eastAsia="方正仿宋_GBK" w:cs="宋体"/>
          <w:spacing w:val="-4"/>
          <w:sz w:val="32"/>
          <w:szCs w:val="32"/>
        </w:rPr>
        <w:t>鼓励企业合理设立和注销两仓，避免资源浪费和同质竞争；对两仓利用率较低的区域不支持新设仓库，引导企业充分利用现有保税仓储资源。</w:t>
      </w:r>
    </w:p>
    <w:p>
      <w:pPr>
        <w:widowControl/>
        <w:spacing w:line="560" w:lineRule="exact"/>
        <w:ind w:firstLineChars="200" w:firstLine="624"/>
        <w:rPr>
          <w:rFonts w:ascii="方正仿宋_GBK" w:eastAsia="方正仿宋_GBK" w:cs="宋体"/>
          <w:spacing w:val="-4"/>
          <w:kern w:val="0"/>
          <w:sz w:val="32"/>
          <w:szCs w:val="32"/>
        </w:rPr>
      </w:pPr>
      <w:r>
        <w:rPr>
          <w:rFonts w:ascii="方正楷体_GBK" w:eastAsia="方正楷体_GBK" w:cs="宋体" w:hint="eastAsia"/>
          <w:b/>
          <w:spacing w:val="-4"/>
          <w:kern w:val="0"/>
          <w:sz w:val="32"/>
          <w:szCs w:val="32"/>
        </w:rPr>
        <w:t>（四）产业支持、突出重点。</w:t>
      </w:r>
    </w:p>
    <w:p>
      <w:pPr>
        <w:widowControl/>
        <w:spacing w:line="560" w:lineRule="exact"/>
        <w:ind w:firstLineChars="200" w:firstLine="624"/>
        <w:rPr>
          <w:rFonts w:ascii="方正仿宋_GBK" w:eastAsia="方正仿宋_GBK" w:cs="宋体"/>
          <w:spacing w:val="-4"/>
          <w:sz w:val="32"/>
          <w:szCs w:val="32"/>
        </w:rPr>
      </w:pPr>
      <w:r>
        <w:rPr>
          <w:rFonts w:ascii="方正仿宋_GBK" w:eastAsia="方正仿宋_GBK" w:cs="宋体"/>
          <w:spacing w:val="-4"/>
          <w:sz w:val="32"/>
          <w:szCs w:val="32"/>
        </w:rPr>
        <w:t>支持北京关区重点行业产业链、供应链强链稳链。优先受理服务</w:t>
      </w:r>
      <w:r>
        <w:rPr>
          <w:rFonts w:ascii="方正仿宋_GBK" w:eastAsia="方正仿宋_GBK" w:cs="宋体" w:hint="eastAsia"/>
          <w:spacing w:val="-4"/>
          <w:sz w:val="32"/>
          <w:szCs w:val="32"/>
        </w:rPr>
        <w:t>国家战略性资源储备（包括国家宏观导向的商业资源性储备）</w:t>
      </w:r>
      <w:r>
        <w:rPr>
          <w:rFonts w:ascii="方正仿宋_GBK" w:eastAsia="方正仿宋_GBK" w:cs="宋体"/>
          <w:spacing w:val="-4"/>
          <w:sz w:val="32"/>
          <w:szCs w:val="32"/>
        </w:rPr>
        <w:t>，重大在京产业项目物流保障等相关企业的两仓设立申请。</w:t>
      </w:r>
    </w:p>
    <w:p>
      <w:pPr>
        <w:spacing w:line="560" w:lineRule="exact"/>
        <w:ind w:firstLineChars="200" w:firstLine="624"/>
        <w:rPr>
          <w:rFonts w:ascii="方正黑体_GBK" w:eastAsia="方正黑体_GBK" w:cs="宋体"/>
          <w:spacing w:val="-4"/>
          <w:kern w:val="0"/>
          <w:sz w:val="32"/>
          <w:szCs w:val="32"/>
        </w:rPr>
      </w:pPr>
      <w:r>
        <w:rPr>
          <w:rFonts w:ascii="方正黑体_GBK" w:eastAsia="方正黑体_GBK" w:cs="宋体" w:hint="eastAsia"/>
          <w:spacing w:val="-4"/>
          <w:kern w:val="0"/>
          <w:sz w:val="32"/>
          <w:szCs w:val="32"/>
        </w:rPr>
        <w:t>三、</w:t>
      </w:r>
      <w:r>
        <w:rPr>
          <w:rFonts w:ascii="方正黑体_GBK" w:eastAsia="方正黑体_GBK" w:cs="宋体"/>
          <w:spacing w:val="-4"/>
          <w:kern w:val="0"/>
          <w:sz w:val="32"/>
          <w:szCs w:val="32"/>
        </w:rPr>
        <w:t>两仓管理</w:t>
      </w:r>
    </w:p>
    <w:p>
      <w:pPr>
        <w:spacing w:line="560" w:lineRule="exact"/>
        <w:ind w:firstLineChars="200" w:firstLine="624"/>
        <w:rPr>
          <w:rFonts w:ascii="方正仿宋_GBK" w:eastAsia="方正仿宋_GBK" w:cs="宋体"/>
          <w:spacing w:val="-4"/>
          <w:kern w:val="0"/>
          <w:sz w:val="32"/>
          <w:szCs w:val="32"/>
          <w:lang w:bidi="ar-SA"/>
        </w:rPr>
      </w:pPr>
      <w:r>
        <w:rPr>
          <w:rFonts w:ascii="方正仿宋_GBK" w:eastAsia="方正仿宋_GBK" w:cs="宋体"/>
          <w:spacing w:val="-4"/>
          <w:kern w:val="0"/>
          <w:sz w:val="32"/>
          <w:szCs w:val="32"/>
          <w:lang w:bidi="ar-SA"/>
        </w:rPr>
        <w:t>（一）</w:t>
      </w:r>
      <w:r>
        <w:rPr>
          <w:rFonts w:ascii="方正仿宋_GBK" w:eastAsia="方正仿宋_GBK" w:cs="宋体" w:hint="eastAsia"/>
          <w:spacing w:val="-4"/>
          <w:kern w:val="0"/>
          <w:sz w:val="32"/>
          <w:szCs w:val="32"/>
          <w:lang w:bidi="ar-SA"/>
        </w:rPr>
        <w:t>企业拟设立两仓的，应根据本</w:t>
      </w:r>
      <w:r>
        <w:rPr>
          <w:rFonts w:ascii="方正仿宋_GBK" w:eastAsia="方正仿宋_GBK" w:cs="宋体"/>
          <w:spacing w:val="-4"/>
          <w:kern w:val="0"/>
          <w:sz w:val="32"/>
          <w:szCs w:val="32"/>
          <w:lang w:bidi="ar-SA"/>
        </w:rPr>
        <w:t>通告</w:t>
      </w:r>
      <w:r>
        <w:rPr>
          <w:rFonts w:ascii="方正仿宋_GBK" w:eastAsia="方正仿宋_GBK" w:cs="宋体" w:hint="eastAsia"/>
          <w:spacing w:val="-4"/>
          <w:kern w:val="0"/>
          <w:sz w:val="32"/>
          <w:szCs w:val="32"/>
          <w:lang w:bidi="ar-SA"/>
        </w:rPr>
        <w:t>向</w:t>
      </w:r>
      <w:r>
        <w:rPr>
          <w:rFonts w:ascii="方正仿宋_GBK" w:eastAsia="方正仿宋_GBK" w:cs="宋体"/>
          <w:spacing w:val="-4"/>
          <w:kern w:val="0"/>
          <w:sz w:val="32"/>
          <w:szCs w:val="32"/>
          <w:lang w:bidi="ar-SA"/>
        </w:rPr>
        <w:t>仓库</w:t>
      </w:r>
      <w:r>
        <w:rPr>
          <w:rFonts w:ascii="方正仿宋_GBK" w:eastAsia="方正仿宋_GBK" w:cs="宋体" w:hint="eastAsia"/>
          <w:spacing w:val="-4"/>
          <w:kern w:val="0"/>
          <w:sz w:val="32"/>
          <w:szCs w:val="32"/>
          <w:lang w:bidi="ar-SA"/>
        </w:rPr>
        <w:t>所在地隶属海关申请，北京海关可根据集约化管理等需求指定仓库主管海关。</w:t>
      </w:r>
    </w:p>
    <w:p>
      <w:pPr>
        <w:pStyle w:val="28"/>
        <w:spacing w:line="560" w:lineRule="exact"/>
        <w:ind w:firstLineChars="200" w:firstLine="624"/>
        <w:rPr>
          <w:szCs w:val="32"/>
        </w:rPr>
      </w:pPr>
      <w:r>
        <w:rPr>
          <w:rFonts w:ascii="方正仿宋_GBK" w:eastAsia="方正仿宋_GBK" w:cs="宋体"/>
          <w:spacing w:val="-4"/>
          <w:kern w:val="0"/>
          <w:sz w:val="32"/>
          <w:szCs w:val="32"/>
        </w:rPr>
        <w:t>（二）</w:t>
      </w:r>
      <w:r>
        <w:rPr>
          <w:szCs w:val="32"/>
        </w:rPr>
        <w:t>在两仓设立、变更、注销后，海关发现原申请材料不完整或者不准确的，仓库经营企业应限期内补正。</w:t>
      </w:r>
    </w:p>
    <w:p>
      <w:pPr>
        <w:pStyle w:val="28"/>
        <w:spacing w:line="560" w:lineRule="exact"/>
        <w:ind w:firstLineChars="200" w:firstLine="640"/>
      </w:pPr>
      <w:r>
        <w:rPr>
          <w:szCs w:val="32"/>
        </w:rPr>
        <w:t>（三）经营企业以隐瞒真实情况、提供虚假资料等不正当手段取得设立保税仓库、出口监管仓库行政许可的，依法撤销行政许可。</w:t>
      </w:r>
    </w:p>
    <w:p>
      <w:pPr>
        <w:pStyle w:val="28"/>
        <w:spacing w:line="560" w:lineRule="exact"/>
        <w:ind w:firstLineChars="200" w:firstLine="640"/>
        <w:rPr>
          <w:rStyle w:val="0"/>
          <w:rFonts w:ascii="Times New Roman" w:eastAsia="方正仿宋_GBK" w:hAnsi="Times New Roman"/>
          <w:sz w:val="32"/>
          <w:szCs w:val="32"/>
        </w:rPr>
      </w:pPr>
      <w:r>
        <w:rPr>
          <w:rStyle w:val="0"/>
          <w:rFonts w:ascii="Times New Roman" w:eastAsia="方正仿宋_GBK" w:hAnsi="Times New Roman"/>
          <w:sz w:val="32"/>
          <w:szCs w:val="32"/>
        </w:rPr>
        <w:t>（四）经营企业在设立两仓期间违反海关规定的，海关依照相关法律法规予以处罚。构成犯罪的，依法追究刑事责任。</w:t>
      </w:r>
    </w:p>
    <w:p>
      <w:pPr>
        <w:pStyle w:val="28"/>
        <w:spacing w:line="560" w:lineRule="exact"/>
        <w:ind w:firstLineChars="200" w:firstLine="640"/>
        <w:rPr>
          <w:rStyle w:val="0"/>
          <w:rFonts w:ascii="Times New Roman" w:eastAsia="方正仿宋_GBK" w:hAnsi="Times New Roman"/>
          <w:sz w:val="32"/>
          <w:szCs w:val="32"/>
        </w:rPr>
      </w:pPr>
      <w:r>
        <w:rPr>
          <w:rStyle w:val="0"/>
          <w:rFonts w:ascii="Times New Roman" w:eastAsia="方正仿宋_GBK" w:hAnsi="Times New Roman"/>
          <w:sz w:val="32"/>
          <w:szCs w:val="32"/>
        </w:rPr>
        <w:t>特此通告。</w:t>
      </w:r>
    </w:p>
    <w:p>
      <w:pPr>
        <w:pStyle w:val="16"/>
        <w:tabs>
          <w:tab w:val="center" w:pos="4153"/>
          <w:tab w:val="right" w:pos="8306"/>
        </w:tabs>
        <w:spacing w:line="560" w:lineRule="exact"/>
        <w:ind w:firstLineChars="200" w:firstLine="360"/>
      </w:pPr>
      <w:bookmarkStart w:id="0" w:name="_GoBack"/>
      <w:bookmarkEnd w:id="0"/>
    </w:p>
    <w:p>
      <w:pPr>
        <w:pStyle w:val="16"/>
        <w:tabs>
          <w:tab w:val="center" w:pos="4153"/>
          <w:tab w:val="right" w:pos="8306"/>
        </w:tabs>
        <w:spacing w:line="560" w:lineRule="exact"/>
        <w:ind w:firstLineChars="200" w:firstLine="360"/>
      </w:pPr>
    </w:p>
    <w:p>
      <w:pPr>
        <w:pStyle w:val="16"/>
        <w:tabs>
          <w:tab w:val="center" w:pos="4153"/>
          <w:tab w:val="right" w:pos="8306"/>
        </w:tabs>
        <w:spacing w:line="560" w:lineRule="exact"/>
        <w:ind w:firstLineChars="200" w:firstLine="360"/>
      </w:pPr>
    </w:p>
    <w:p>
      <w:pPr>
        <w:pStyle w:val="28"/>
        <w:spacing w:line="560" w:lineRule="exact"/>
        <w:ind w:firstLineChars="200" w:firstLine="640"/>
        <w:jc w:val="right"/>
        <w:rPr>
          <w:rStyle w:val="0"/>
          <w:rFonts w:ascii="Times New Roman" w:eastAsia="方正仿宋_GBK" w:hAnsi="Times New Roman"/>
          <w:sz w:val="32"/>
          <w:szCs w:val="32"/>
        </w:rPr>
      </w:pPr>
      <w:r>
        <w:rPr>
          <w:rStyle w:val="0"/>
          <w:rFonts w:ascii="Times New Roman" w:eastAsia="方正仿宋_GBK" w:hAnsi="Times New Roman"/>
          <w:sz w:val="32"/>
          <w:szCs w:val="32"/>
        </w:rPr>
        <w:t>北京海关</w:t>
      </w:r>
    </w:p>
    <w:p>
      <w:pPr>
        <w:pStyle w:val="28"/>
        <w:spacing w:line="560" w:lineRule="exact"/>
        <w:ind w:firstLineChars="200" w:firstLine="640"/>
        <w:jc w:val="right"/>
        <w:rPr>
          <w:rStyle w:val="0"/>
          <w:rFonts w:ascii="Times New Roman" w:eastAsia="方正仿宋_GBK" w:hAnsi="Times New Roman"/>
          <w:sz w:val="32"/>
          <w:szCs w:val="32"/>
        </w:rPr>
      </w:pPr>
      <w:r>
        <w:rPr>
          <w:rStyle w:val="0"/>
          <w:rFonts w:ascii="Times New Roman" w:eastAsia="方正仿宋_GBK" w:hAnsi="Times New Roman"/>
          <w:sz w:val="32"/>
          <w:szCs w:val="32"/>
        </w:rPr>
        <w:t>2023年9月1日</w:t>
      </w: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宋体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firstLineChars="200" w:firstLine="2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56 三号"/>
    <w:next w:val="16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826</TotalTime>
  <Application>Yozo_Office</Application>
  <Pages>3</Pages>
  <Words>961</Words>
  <Characters>976</Characters>
  <Lines>55</Lines>
  <Paragraphs>23</Paragraphs>
  <CharactersWithSpaces>980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方晓雯</dc:creator>
  <cp:lastModifiedBy>王宇光</cp:lastModifiedBy>
  <cp:revision>4</cp:revision>
  <dcterms:created xsi:type="dcterms:W3CDTF">2020-09-17T08:38:00Z</dcterms:created>
  <dcterms:modified xsi:type="dcterms:W3CDTF">2023-09-08T01:57:28Z</dcterms:modified>
</cp:coreProperties>
</file>