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480" w:lineRule="auto"/>
        <w:jc w:val="center"/>
        <w:rPr>
          <w:vanish w:val="0"/>
        </w:rPr>
      </w:pPr>
      <w:bookmarkStart w:id="0" w:name="_GoBack"/>
      <w:bookmarkEnd w:id="0"/>
      <w:r>
        <w:rPr>
          <w:vanish w:val="0"/>
        </w:rPr>
        <w:t>中华人民共和国海关总署</w:t>
      </w:r>
    </w:p>
    <w:p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480" w:lineRule="auto"/>
        <w:jc w:val="center"/>
        <w:rPr>
          <w:vanish w:val="0"/>
        </w:rPr>
      </w:pPr>
      <w:r>
        <w:rPr>
          <w:vanish w:val="0"/>
        </w:rPr>
        <w:t>公告</w:t>
      </w:r>
    </w:p>
    <w:p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480" w:lineRule="auto"/>
        <w:jc w:val="center"/>
        <w:rPr>
          <w:vanish w:val="0"/>
        </w:rPr>
      </w:pPr>
      <w:r>
        <w:rPr>
          <w:vanish w:val="0"/>
        </w:rPr>
        <w:t>2010年 第43号</w:t>
      </w:r>
    </w:p>
    <w:p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480" w:lineRule="auto"/>
        <w:rPr>
          <w:vanish w:val="0"/>
        </w:rPr>
      </w:pPr>
      <w:r>
        <w:rPr>
          <w:vanish w:val="0"/>
        </w:rPr>
        <w:t> </w:t>
        <w:br/>
        <w:t> </w:t>
        <w:br/>
        <w:t>    为进一步规范对进出境个人邮递物品的监管，照顾收件人、寄件人合理需要，现就有关事项公告如下：</w:t>
        <w:br/>
        <w:t>    一、个人邮寄进境物品，海关依法征收进口税，但应征进口税税额在人民币50元（含50元）以下的，海关予以免征。</w:t>
        <w:br/>
        <w:t>    二、个人寄自或寄往港、澳、台地区的物品，每次限值为800元人民币；寄自或寄往其它国家和地区的物品，每次限值为1000元人民币。</w:t>
        <w:br/>
        <w:t>    三、个人邮寄进出境物品超出规定限值的，应办理退运手续或者按照货物规定办理通关手续。但邮包内仅有一件物品且不可分割的，虽超出规定限值，经海关审核确属个人自用的，可以按照个人物品规定办理通关手续。</w:t>
        <w:br/>
        <w:t>    四、邮运进出口的商业性邮件，应按照货物规定办理通关手续。</w:t>
        <w:br/>
        <w:t>    五、本公告内容自2010年9月1日起实行。原《海关总署关于调整进出境邮件中个人物品的限值和免税额的通知》（署监〔1994〕774号）同时废止。</w:t>
        <w:br/>
        <w:t>    特此公告。</w:t>
        <w:br/>
        <w:br/>
        <w:t>                                       </w:t>
      </w:r>
    </w:p>
    <w:p>
      <w:pPr>
        <w:jc w:val="left"/>
      </w:pPr>
    </w:p>
    <w:sectPr>
      <w:footerReference w:type="default" r:id="rId2"/>
      <w:pgSz w:w="11907" w:h="16840"/>
      <w:pgMar w:top="2098" w:right="1474" w:bottom="1985" w:left="1588" w:header="1814" w:footer="1474" w:gutter="0"/>
      <w:pgNumType w:start="0"/>
      <w:titlePg/>
      <w:docGrid w:type="linesAndChars" w:linePitch="580" w:charSpace="-84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方正仿宋_GBK">
    <w:altName w:val="Arial Unicode MS"/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Normal (Web)"/>
    <w:pPr>
      <w:widowControl w:val="0"/>
      <w:spacing w:before="100" w:beforeAutospacing="1" w:after="100" w:afterAutospacing="1" w:line="240" w:lineRule="auto"/>
      <w:jc w:val="left"/>
    </w:pPr>
    <w:rPr>
      <w:rFonts w:ascii="宋体" w:eastAsia="宋体" w:cs="Times New Roman"/>
      <w:kern w:val="2"/>
      <w:sz w:val="24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364</Words>
  <Characters>383</Characters>
  <Lines>20</Lines>
  <Paragraphs>4</Paragraphs>
  <CharactersWithSpaces>463</CharactersWithSpaces>
  <Company>office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张立爽</dc:creator>
  <cp:lastModifiedBy>张立爽</cp:lastModifiedBy>
  <cp:revision>1</cp:revision>
  <dcterms:created xsi:type="dcterms:W3CDTF">2019-02-14T02:49:18Z</dcterms:created>
  <dcterms:modified xsi:type="dcterms:W3CDTF">2021-08-17T07:44:27Z</dcterms:modified>
</cp:coreProperties>
</file>