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before="100" w:beforeAutospacing="1" w:after="100" w:afterAutospacing="1"/>
        <w:jc w:val="left"/>
        <w:rPr>
          <w:rFonts w:ascii="宋体" w:eastAsia="宋体" w:cs="宋体"/>
          <w:kern w:val="0"/>
          <w:sz w:val="24"/>
          <w:szCs w:val="24"/>
        </w:rPr>
      </w:pPr>
      <w:r>
        <w:rPr>
          <w:rFonts w:ascii="宋体" w:eastAsia="宋体" w:cs="宋体"/>
          <w:kern w:val="0"/>
          <w:sz w:val="24"/>
          <w:szCs w:val="24"/>
        </w:rPr>
        <w:t>　</w:t>
      </w:r>
    </w:p>
    <w:tbl>
      <w:tblPr>
        <w:jc w:val="center"/>
        <w:tblW w:w="4700" w:type="pct"/>
        <w:tblCellSpacing w:w="15" w:type="dxa"/>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
      <w:tblGrid>
        <w:gridCol w:w="10463"/>
      </w:tblGrid>
      <w:tr>
        <w:tc>
          <w:tcPr>
            <w:tcW w:w="5000" w:type="pct"/>
            <w:vAlign w:val="center"/>
          </w:tcPr>
          <w:p>
            <w:pPr>
              <w:widowControl/>
              <w:jc w:val="left"/>
              <w:rPr>
                <w:rFonts w:ascii="宋体" w:eastAsia="宋体" w:cs="宋体"/>
                <w:kern w:val="0"/>
                <w:sz w:val="24"/>
                <w:szCs w:val="24"/>
              </w:rPr>
            </w:pPr>
          </w:p>
        </w:tc>
      </w:tr>
      <w:tr>
        <w:tc>
          <w:tcPr>
            <w:tcW w:w="5000" w:type="pct"/>
            <w:vAlign w:val="center"/>
          </w:tcPr>
          <w:tbl>
            <w:tblPr>
              <w:jc w:val="left"/>
              <w:tblW w:w="10348" w:type="dxa"/>
              <w:tblCellSpacing w:w="15" w:type="dxa"/>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
            <w:tblGrid>
              <w:gridCol w:w="10318"/>
            </w:tblGrid>
            <w:tr>
              <w:tc>
                <w:tcPr>
                  <w:tcW w:w="4971" w:type="pct"/>
                  <w:vAlign w:val="center"/>
                </w:tcPr>
                <w:p>
                  <w:pPr>
                    <w:widowControl/>
                    <w:spacing w:line="480" w:lineRule="auto"/>
                    <w:jc w:val="center"/>
                    <w:rPr>
                      <w:rFonts w:ascii="宋体" w:eastAsia="宋体" w:cs="宋体"/>
                      <w:kern w:val="0"/>
                      <w:sz w:val="24"/>
                      <w:szCs w:val="24"/>
                    </w:rPr>
                  </w:pPr>
                  <w:r>
                    <w:rPr>
                      <w:rFonts w:ascii="宋体" w:eastAsia="宋体" w:cs="宋体"/>
                      <w:kern w:val="0"/>
                      <w:sz w:val="24"/>
                      <w:szCs w:val="24"/>
                    </w:rPr>
                    <w:t>中华人民共和国海关总署</w:t>
                    <w:br/>
                    <w:t>公告</w:t>
                    <w:br/>
                    <w:t>2012年第15号</w:t>
                  </w:r>
                </w:p>
                <w:p>
                  <w:pPr>
                    <w:widowControl/>
                    <w:spacing w:line="480" w:lineRule="auto"/>
                    <w:jc w:val="left"/>
                    <w:rPr>
                      <w:rFonts w:ascii="宋体" w:eastAsia="宋体" w:cs="宋体"/>
                      <w:kern w:val="0"/>
                      <w:sz w:val="24"/>
                      <w:szCs w:val="24"/>
                    </w:rPr>
                  </w:pPr>
                  <w:r>
                    <w:rPr>
                      <w:rFonts w:ascii="宋体" w:eastAsia="宋体" w:cs="宋体"/>
                      <w:kern w:val="0"/>
                      <w:sz w:val="24"/>
                      <w:szCs w:val="24"/>
                    </w:rPr>
                    <w:br/>
                    <w:t>　</w:t>
                  </w:r>
                </w:p>
                <w:p>
                  <w:pPr>
                    <w:widowControl/>
                    <w:spacing w:line="480" w:lineRule="auto"/>
                    <w:jc w:val="left"/>
                    <w:rPr>
                      <w:rFonts w:ascii="宋体" w:eastAsia="宋体" w:cs="宋体"/>
                      <w:kern w:val="0"/>
                      <w:sz w:val="24"/>
                      <w:szCs w:val="24"/>
                    </w:rPr>
                  </w:pPr>
                  <w:r>
                    <w:rPr>
                      <w:rFonts w:ascii="宋体" w:eastAsia="宋体" w:cs="宋体"/>
                      <w:kern w:val="0"/>
                      <w:sz w:val="24"/>
                      <w:szCs w:val="24"/>
                    </w:rPr>
                    <w:t>　　为适应市场发展需要，根据《中华人民共和国进出口关税条例》和国务院2011年1月批准调整的《中华人民共和国进境物品进口税率表》（海关总署公告2011年第6号公布），海关总署重新修订了《中华人民共和国进境物品归类表》（以下简称《归类表》，详见附件1）及《中华人民共和国进境物品完税价格表》（以下简称《完税价格表》，详见附件2），现予以公布，自2012年4月15日起执行。海关总署2007年6月修订的《入境旅客行李物品和个人邮递物品进口税税则归类表》及《入境旅客行李物品和个人邮递物品完税价格表》（海关总署公告2007年第25号公布）同时废止。现就有关事宜公告如下：</w:t>
                    <w:br/>
                    <w:t>　　一、进境物品依次遵循以下原则归类：</w:t>
                    <w:br/>
                    <w:t>　　（一）《归类表》已列名的物品，归入其列名类别；</w:t>
                    <w:br/>
                    <w:t>　　（二）《归类表》未列名的物品，按其主要功能（或用途）归入相应类别；</w:t>
                    <w:br/>
                    <w:t>　　（三）不能按照上述原则归入相应类别的物品，归入“其他物品”类别。</w:t>
                    <w:br/>
                    <w:t>　　二、进境物品完税价格遵循以下原则确定：</w:t>
                    <w:br/>
                    <w:t>　　（一）进境物品的完税价格由海关依法遵循以下原则确定：</w:t>
                    <w:br/>
                    <w:t>　　1．《完税价格表》已列明完税价格的物品，按照《完税价格表》确定；</w:t>
                    <w:br/>
                    <w:t>　　2．《完税价格表》未列明完税价格的物品，按照相同物品相同来源地最近时间的主要市场零售价格确定其完税价格；</w:t>
                    <w:br/>
                    <w:t>　　3．实际购买价格是《完税价格表》列明完税价格的2倍及以上，或是《完税价格表》列明完税价格的1/2及以下的物品，进境物品所有人应向海关提供销售方依法开具的真实交易的购物发票或收据，并承担相关责任。海关可以根据物品所有人提供的上述相关凭证，依法确定应税物品完税价格。</w:t>
                    <w:br/>
                    <w:t>　　（二）边疆地区民族特需商品的完税价格按照海关总署另行审定的完税价格表执行。</w:t>
                    <w:br/>
                    <w:t>　　三、纳税义务人对进境物品的归类、完税价格的确定持有异议的，可以依法提请行政复议。</w:t>
                    <w:br/>
                    <w:t xml:space="preserve">　　特此公告。 </w:t>
                    <w:br/>
                    <w:t>　　附件：1．中华人民共和国进境物品归类表（略）</w:t>
                    <w:br/>
                    <w:t>　　　　　2．中华人民共和国进境物品完税价格表（略）</w:t>
                    <w:br/>
                    <w:br/>
                    <w:br/>
                    <w:t>                                                                     海关总署</w:t>
                    <w:br/>
                    <w:t>　　　　　　　　　　　　　　　　　　　　　　　　　　　　　　二○一二年三月二十六日</w:t>
                  </w:r>
                </w:p>
                <w:p>
                  <w:pPr>
                    <w:widowControl/>
                    <w:spacing w:line="480" w:lineRule="auto"/>
                    <w:jc w:val="left"/>
                    <w:rPr>
                      <w:rFonts w:ascii="宋体" w:eastAsia="宋体" w:cs="宋体"/>
                      <w:kern w:val="0"/>
                      <w:sz w:val="24"/>
                      <w:szCs w:val="24"/>
                    </w:rPr>
                  </w:pPr>
                  <w:r>
                    <w:rPr>
                      <w:rFonts w:ascii="宋体" w:eastAsia="宋体" w:cs="宋体"/>
                      <w:kern w:val="0"/>
                      <w:sz w:val="24"/>
                      <w:szCs w:val="24"/>
                    </w:rPr>
                    <w:t>　</w:t>
                  </w:r>
                </w:p>
                <w:p>
                  <w:pPr>
                    <w:widowControl/>
                    <w:spacing w:line="480" w:lineRule="auto"/>
                    <w:jc w:val="left"/>
                    <w:rPr>
                      <w:rFonts w:ascii="宋体" w:eastAsia="宋体" w:cs="宋体"/>
                      <w:kern w:val="0"/>
                      <w:sz w:val="24"/>
                      <w:szCs w:val="24"/>
                    </w:rPr>
                  </w:pPr>
                </w:p>
              </w:tc>
            </w:tr>
          </w:tbl>
          <w:p>
            <w:pPr>
              <w:widowControl/>
              <w:jc w:val="left"/>
              <w:rPr>
                <w:rFonts w:ascii="宋体" w:eastAsia="宋体" w:cs="宋体"/>
                <w:kern w:val="0"/>
                <w:sz w:val="24"/>
                <w:szCs w:val="24"/>
              </w:rPr>
            </w:pPr>
          </w:p>
        </w:tc>
      </w:tr>
    </w:tbl>
    <w:p>
      <w:pPr>
        <w:rPr>
          <w:rFonts w:hint="eastAsia"/>
        </w:rPr>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altName w:val="Arial Rounded MT Bold"/>
    <w:panose1 w:val="020F0502020204030204"/>
    <w:charset w:val="00"/>
    <w:family w:val="swiss"/>
    <w:pitch w:val="variable"/>
    <w:sig w:usb0="A00002EF" w:usb1="4000207B" w:usb2="00000000" w:usb3="00000000" w:csb0="0000009F" w:csb1="00000000"/>
  </w:font>
  <w:font w:name="Arial">
    <w:panose1 w:val="020B0604020202020204"/>
    <w:charset w:val="00"/>
    <w:family w:val="auto"/>
    <w:pitch w:val="variable"/>
    <w:sig w:usb0="00007A87" w:usb1="80000000" w:usb2="00000008" w:usb3="00000000" w:csb0="400001FF" w:csb1="FFFF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97"/>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Normal (Web)"/>
    <w:basedOn w:val="0"/>
    <w:pPr>
      <w:widowControl/>
      <w:spacing w:before="100" w:beforeAutospacing="1" w:after="100" w:afterAutospacing="1"/>
      <w:jc w:val="left"/>
    </w:pPr>
    <w:rPr>
      <w:rFonts w:ascii="宋体" w:eastAsia="宋体" w:cs="宋体"/>
      <w:kern w:val="0"/>
      <w:sz w:val="24"/>
      <w:szCs w:val="24"/>
    </w:rPr>
  </w:style>
  <w:style w:type="paragraph" w:customStyle="1" w:styleId="18">
    <w:name w:val="a0"/>
    <w:basedOn w:val="0"/>
    <w:pPr>
      <w:widowControl/>
      <w:spacing w:before="100" w:beforeAutospacing="1" w:after="100" w:afterAutospacing="1"/>
      <w:jc w:val="left"/>
    </w:pPr>
    <w:rPr>
      <w:rFonts w:ascii="宋体" w:eastAsia="宋体" w:cs="宋体"/>
      <w:kern w:val="0"/>
      <w:sz w:val="24"/>
      <w:szCs w:val="24"/>
    </w:rPr>
  </w:style>
  <w:style w:type="paragraph" w:styleId="19">
    <w:name w:val="Title"/>
    <w:basedOn w:val="0"/>
    <w:pPr>
      <w:widowControl/>
      <w:spacing w:before="100" w:beforeAutospacing="1" w:after="100" w:afterAutospacing="1"/>
      <w:jc w:val="left"/>
    </w:pPr>
    <w:rPr>
      <w:rFonts w:ascii="宋体" w:eastAsia="宋体" w:cs="宋体"/>
      <w:kern w:val="0"/>
      <w:sz w:val="24"/>
      <w:szCs w:val="24"/>
    </w:rPr>
  </w:style>
  <w:style w:type="paragraph" w:customStyle="1" w:styleId="20">
    <w:name w:val="a"/>
    <w:basedOn w:val="0"/>
    <w:pPr>
      <w:widowControl/>
      <w:spacing w:before="100" w:beforeAutospacing="1" w:after="100" w:afterAutospacing="1"/>
      <w:jc w:val="left"/>
    </w:pPr>
    <w:rPr>
      <w:rFonts w:ascii="宋体" w:eastAsia="宋体" w:cs="宋体"/>
      <w:kern w:val="0"/>
      <w:sz w:val="24"/>
      <w:szCs w:val="24"/>
    </w:rPr>
  </w:style>
  <w:style w:type="paragraph" w:customStyle="1" w:styleId="125">
    <w:name w:val="样式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3</TotalTime>
  <Application>Yozo_Office</Application>
  <Pages>1</Pages>
  <Words>13</Words>
  <Characters>13</Characters>
  <Lines>2</Lines>
  <Paragraphs>0</Paragraphs>
  <CharactersWithSpaces>14</CharactersWithSpaces>
  <Company>user</Company>
</Properties>
</file>

<file path=docProps/core.xml><?xml version="1.0" encoding="utf-8"?>
<cp:coreProperties xmlns:cp="http://schemas.openxmlformats.org/package/2006/metadata/core-properties" xmlns:dc="http://purl.org/dc/elements/1.1/" xmlns:dcterms="http://purl.org/dc/terms/" xmlns:xsi="http://www.w3.org/2001/XMLSchema-instance">
  <dc:creator>user</dc:creator>
  <cp:lastModifiedBy>张立爽</cp:lastModifiedBy>
  <cp:revision>3</cp:revision>
  <dcterms:created xsi:type="dcterms:W3CDTF">2015-06-25T05:21:00Z</dcterms:created>
  <dcterms:modified xsi:type="dcterms:W3CDTF">2021-08-17T08:12:15Z</dcterms:modified>
</cp:coreProperties>
</file>