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overflowPunct/>
        <w:spacing w:line="240" w:lineRule="auto"/>
        <w:ind w:firstLineChars="0" w:firstLine="0"/>
        <w:jc w:val="center"/>
        <w:rPr>
          <w:rFonts w:ascii="黑体" w:eastAsia="黑体" w:cs="Times New Roman"/>
          <w:sz w:val="48"/>
          <w:szCs w:val="48"/>
        </w:rPr>
      </w:pPr>
    </w:p>
    <w:p>
      <w:pPr>
        <w:overflowPunct/>
        <w:spacing w:line="240" w:lineRule="auto"/>
        <w:ind w:firstLineChars="0" w:firstLine="0"/>
        <w:jc w:val="center"/>
        <w:rPr>
          <w:rFonts w:ascii="黑体" w:eastAsia="黑体" w:cs="Times New Roman"/>
          <w:sz w:val="48"/>
          <w:szCs w:val="48"/>
        </w:rPr>
      </w:pPr>
    </w:p>
    <w:p>
      <w:pPr>
        <w:overflowPunct/>
        <w:spacing w:line="240" w:lineRule="auto"/>
        <w:ind w:firstLineChars="0" w:firstLine="0"/>
        <w:jc w:val="center"/>
        <w:rPr>
          <w:rFonts w:ascii="黑体" w:eastAsia="黑体" w:cs="Times New Roman"/>
          <w:sz w:val="48"/>
          <w:szCs w:val="48"/>
        </w:rPr>
      </w:pPr>
    </w:p>
    <w:p>
      <w:pPr>
        <w:overflowPunct/>
        <w:spacing w:line="240" w:lineRule="auto"/>
        <w:ind w:firstLineChars="0" w:firstLine="0"/>
        <w:jc w:val="center"/>
        <w:rPr>
          <w:rFonts w:ascii="黑体" w:eastAsia="黑体" w:cs="Times New Roman"/>
          <w:sz w:val="48"/>
          <w:szCs w:val="48"/>
        </w:rPr>
      </w:pPr>
    </w:p>
    <w:p>
      <w:pPr>
        <w:overflowPunct/>
        <w:spacing w:line="240" w:lineRule="auto"/>
        <w:ind w:firstLineChars="0" w:firstLine="0"/>
        <w:jc w:val="center"/>
        <w:rPr>
          <w:rFonts w:ascii="黑体" w:eastAsia="黑体" w:cs="Times New Roman"/>
          <w:sz w:val="48"/>
          <w:szCs w:val="48"/>
        </w:rPr>
      </w:pPr>
      <w:r>
        <w:rPr>
          <w:rFonts w:ascii="黑体" w:eastAsia="黑体" w:cs="Times New Roman"/>
          <w:color w:val="000000"/>
          <w:sz w:val="48"/>
          <w:szCs w:val="48"/>
        </w:rPr>
        <w:drawing>
          <wp:inline distT="0" distB="0" distL="0" distR="0">
            <wp:extent cx="3063875" cy="3063875"/>
            <wp:effectExtent l="0" t="0" r="0" b="0"/>
            <wp:docPr id="1" name="图片 3"/>
            <wp:cNvGraphicFramePr>
              <a:graphicFrameLocks noChangeAspect="1"/>
            </wp:cNvGraphicFramePr>
            <a:graphic>
              <a:graphicData uri="http://schemas.openxmlformats.org/drawingml/2006/picture">
                <pic:pic>
                  <pic:nvPicPr>
                    <pic:cNvPr id="3" name="图片 3 3"/>
                    <pic:cNvPicPr/>
                  </pic:nvPicPr>
                  <pic:blipFill>
                    <a:blip r:embed="rId5"/>
                    <a:stretch>
                      <a:fillRect/>
                    </a:stretch>
                  </pic:blipFill>
                  <pic:spPr>
                    <a:xfrm rot="0">
                      <a:off x="0" y="0"/>
                      <a:ext cx="3063875" cy="3063875"/>
                    </a:xfrm>
                    <a:prstGeom prst="rect"/>
                    <a:solidFill>
                      <a:srgbClr val="FFFFFF"/>
                    </a:solidFill>
                    <a:ln w="9525" cmpd="sng" cap="flat">
                      <a:noFill/>
                      <a:prstDash val="solid"/>
                      <a:round/>
                    </a:ln>
                  </pic:spPr>
                </pic:pic>
              </a:graphicData>
            </a:graphic>
          </wp:inline>
        </w:drawing>
      </w:r>
    </w:p>
    <w:p>
      <w:pPr>
        <w:overflowPunct/>
        <w:spacing w:line="240" w:lineRule="auto"/>
        <w:ind w:firstLineChars="0" w:firstLine="0"/>
        <w:jc w:val="center"/>
        <w:rPr>
          <w:rFonts w:ascii="黑体" w:eastAsia="黑体" w:cs="Times New Roman"/>
          <w:sz w:val="48"/>
          <w:szCs w:val="48"/>
        </w:rPr>
      </w:pPr>
    </w:p>
    <w:p>
      <w:pPr>
        <w:overflowPunct/>
        <w:spacing w:line="240" w:lineRule="auto"/>
        <w:ind w:firstLineChars="0" w:firstLine="0"/>
        <w:jc w:val="center"/>
        <w:rPr>
          <w:rFonts w:ascii="方正小标宋_GBK" w:eastAsia="方正小标宋_GBK" w:cs="Times New Roman"/>
          <w:sz w:val="84"/>
          <w:szCs w:val="84"/>
        </w:rPr>
      </w:pPr>
      <w:r>
        <w:rPr>
          <w:rFonts w:ascii="方正小标宋_GBK" w:eastAsia="方正小标宋_GBK" w:cs="Times New Roman" w:hint="eastAsia"/>
          <w:sz w:val="84"/>
          <w:szCs w:val="84"/>
        </w:rPr>
        <w:t>大连海关部门预算</w:t>
      </w:r>
    </w:p>
    <w:p/>
    <w:p>
      <w:pPr>
        <w:overflowPunct/>
        <w:spacing w:line="240" w:lineRule="auto"/>
        <w:ind w:firstLineChars="0" w:firstLine="0"/>
        <w:jc w:val="center"/>
        <w:rPr>
          <w:rFonts w:ascii="方正小标宋_GBK" w:eastAsia="方正小标宋_GBK" w:cs="Times New Roman"/>
          <w:sz w:val="44"/>
          <w:szCs w:val="44"/>
        </w:rPr>
      </w:pPr>
      <w:r>
        <w:rPr>
          <w:rFonts w:ascii="方正小标宋_GBK" w:eastAsia="方正小标宋_GBK" w:cs="Times New Roman" w:hint="eastAsia"/>
          <w:sz w:val="44"/>
          <w:szCs w:val="44"/>
        </w:rPr>
        <w:t>2</w:t>
      </w:r>
      <w:r>
        <w:rPr>
          <w:rFonts w:ascii="方正小标宋_GBK" w:eastAsia="方正小标宋_GBK" w:cs="Times New Roman"/>
          <w:sz w:val="44"/>
          <w:szCs w:val="44"/>
        </w:rPr>
        <w:t>02</w:t>
      </w:r>
      <w:r>
        <w:rPr>
          <w:rFonts w:ascii="方正小标宋_GBK" w:eastAsia="方正小标宋_GBK" w:cs="Times New Roman" w:hint="eastAsia"/>
          <w:sz w:val="44"/>
          <w:szCs w:val="44"/>
        </w:rPr>
        <w:t>5年</w:t>
      </w:r>
    </w:p>
    <w:p/>
    <w:p>
      <w:pPr>
        <w:widowControl/>
        <w:overflowPunct/>
        <w:spacing w:line="240" w:lineRule="auto"/>
        <w:ind w:firstLineChars="0" w:firstLine="0"/>
        <w:jc w:val="left"/>
      </w:pPr>
      <w:r>
        <w:br w:type="page"/>
      </w:r>
    </w:p>
    <w:p>
      <w:pPr>
        <w:spacing w:line="240" w:lineRule="auto"/>
        <w:ind w:firstLineChars="0" w:firstLine="0"/>
        <w:jc w:val="center"/>
        <w:outlineLvl w:val="0"/>
        <w:rPr>
          <w:rFonts w:ascii="方正小标宋_GBK" w:eastAsia="方正小标宋_GBK"/>
          <w:sz w:val="72"/>
          <w:szCs w:val="72"/>
        </w:rPr>
      </w:pPr>
      <w:r>
        <w:rPr>
          <w:rFonts w:ascii="方正小标宋_GBK" w:eastAsia="方正小标宋_GBK" w:hint="eastAsia"/>
          <w:sz w:val="72"/>
          <w:szCs w:val="72"/>
        </w:rPr>
        <w:t>目  录</w:t>
      </w:r>
    </w:p>
    <w:p/>
    <w:p>
      <w:pPr>
        <w:ind w:firstLineChars="0" w:firstLine="0"/>
        <w:rPr>
          <w:rFonts w:ascii="方正小标宋_GBK" w:eastAsia="方正小标宋_GBK"/>
          <w:sz w:val="36"/>
          <w:szCs w:val="36"/>
        </w:rPr>
      </w:pPr>
      <w:r>
        <w:rPr>
          <w:rFonts w:ascii="方正小标宋_GBK" w:eastAsia="方正小标宋_GBK" w:hint="eastAsia"/>
          <w:sz w:val="36"/>
          <w:szCs w:val="36"/>
        </w:rPr>
        <w:t>第一部分  大连海关部门概况</w:t>
      </w:r>
    </w:p>
    <w:p>
      <w:r>
        <w:rPr>
          <w:rFonts w:hint="eastAsia"/>
        </w:rPr>
        <w:t>一、主要职能</w:t>
      </w:r>
    </w:p>
    <w:p>
      <w:r>
        <w:rPr>
          <w:rFonts w:hint="eastAsia"/>
        </w:rPr>
        <w:t>二、大连海关预算单位构成情况</w:t>
      </w:r>
    </w:p>
    <w:p>
      <w:pPr>
        <w:ind w:firstLineChars="0" w:firstLine="0"/>
        <w:rPr>
          <w:rFonts w:ascii="方正小标宋_GBK" w:eastAsia="方正小标宋_GBK"/>
          <w:sz w:val="36"/>
          <w:szCs w:val="36"/>
        </w:rPr>
      </w:pPr>
      <w:r>
        <w:rPr>
          <w:rFonts w:ascii="方正小标宋_GBK" w:eastAsia="方正小标宋_GBK" w:hint="eastAsia"/>
          <w:sz w:val="36"/>
          <w:szCs w:val="36"/>
        </w:rPr>
        <w:t>第二部分  大连海关2025年部门预算表</w:t>
      </w:r>
    </w:p>
    <w:p>
      <w:r>
        <w:rPr>
          <w:rFonts w:hint="eastAsia"/>
        </w:rPr>
        <w:t>一、部门收支总表</w:t>
      </w:r>
    </w:p>
    <w:p>
      <w:r>
        <w:rPr>
          <w:rFonts w:hint="eastAsia"/>
        </w:rPr>
        <w:t>二、部门收入总表</w:t>
      </w:r>
    </w:p>
    <w:p>
      <w:r>
        <w:rPr>
          <w:rFonts w:hint="eastAsia"/>
        </w:rPr>
        <w:t>三、部门支出总表</w:t>
      </w:r>
    </w:p>
    <w:p>
      <w:r>
        <w:rPr>
          <w:rFonts w:hint="eastAsia"/>
        </w:rPr>
        <w:t>四、财政拨款收支总表</w:t>
      </w:r>
    </w:p>
    <w:p>
      <w:r>
        <w:rPr>
          <w:rFonts w:hint="eastAsia"/>
        </w:rPr>
        <w:t>五、一般公共预算支出表</w:t>
      </w:r>
    </w:p>
    <w:p>
      <w:r>
        <w:rPr>
          <w:rFonts w:hint="eastAsia"/>
        </w:rPr>
        <w:t>六、一般公共预算基本支出表</w:t>
      </w:r>
    </w:p>
    <w:p>
      <w:r>
        <w:rPr>
          <w:rFonts w:hint="eastAsia"/>
        </w:rPr>
        <w:t>七、政府性基金预算支出表</w:t>
      </w:r>
    </w:p>
    <w:p>
      <w:r>
        <w:rPr>
          <w:rFonts w:hint="eastAsia"/>
        </w:rPr>
        <w:t>八、国有资本经营预算支出表</w:t>
      </w:r>
    </w:p>
    <w:p>
      <w:r>
        <w:rPr>
          <w:rFonts w:hint="eastAsia"/>
        </w:rPr>
        <w:t>九、财政拨款预算“三公”经费支出表</w:t>
      </w:r>
    </w:p>
    <w:p>
      <w:pPr>
        <w:ind w:firstLineChars="0" w:firstLine="0"/>
        <w:rPr>
          <w:rFonts w:ascii="方正小标宋_GBK" w:eastAsia="方正小标宋_GBK"/>
          <w:sz w:val="36"/>
          <w:szCs w:val="36"/>
        </w:rPr>
      </w:pPr>
      <w:r>
        <w:rPr>
          <w:rFonts w:ascii="方正小标宋_GBK" w:eastAsia="方正小标宋_GBK" w:hint="eastAsia"/>
          <w:sz w:val="36"/>
          <w:szCs w:val="36"/>
        </w:rPr>
        <w:t>第三部分  大连海关2025年部门预算情况说明</w:t>
      </w:r>
    </w:p>
    <w:p>
      <w:pPr>
        <w:ind w:firstLineChars="0" w:firstLine="0"/>
        <w:rPr>
          <w:rFonts w:ascii="方正小标宋_GBK" w:eastAsia="方正小标宋_GBK"/>
          <w:sz w:val="36"/>
          <w:szCs w:val="36"/>
        </w:rPr>
      </w:pPr>
      <w:r>
        <w:rPr>
          <w:rFonts w:ascii="方正小标宋_GBK" w:eastAsia="方正小标宋_GBK" w:hint="eastAsia"/>
          <w:sz w:val="36"/>
          <w:szCs w:val="36"/>
        </w:rPr>
        <w:t>第四部分  名词解释</w:t>
      </w:r>
    </w:p>
    <w:p>
      <w:pPr>
        <w:widowControl/>
        <w:overflowPunct/>
        <w:spacing w:line="240" w:lineRule="auto"/>
        <w:ind w:firstLineChars="0" w:firstLine="0"/>
        <w:jc w:val="left"/>
        <w:rPr>
          <w:rFonts w:ascii="方正小标宋_GBK" w:eastAsia="方正小标宋_GBK"/>
          <w:sz w:val="36"/>
          <w:szCs w:val="36"/>
        </w:rPr>
      </w:pPr>
      <w:r>
        <w:rPr>
          <w:rFonts w:ascii="方正小标宋_GBK" w:eastAsia="方正小标宋_GBK"/>
          <w:sz w:val="36"/>
          <w:szCs w:val="36"/>
        </w:rPr>
        <w:br w:type="page"/>
      </w:r>
    </w:p>
    <w:p>
      <w:pPr>
        <w:spacing w:line="240" w:lineRule="auto"/>
        <w:ind w:firstLineChars="0" w:firstLine="0"/>
        <w:jc w:val="center"/>
        <w:rPr>
          <w:rFonts w:ascii="方正小标宋_GBK" w:eastAsia="方正小标宋_GBK"/>
          <w:sz w:val="72"/>
          <w:szCs w:val="72"/>
        </w:rPr>
      </w:pPr>
      <w:bookmarkStart w:id="0" w:name="_Hlk133949044"/>
    </w:p>
    <w:p>
      <w:pPr>
        <w:spacing w:line="240" w:lineRule="auto"/>
        <w:ind w:firstLineChars="0" w:firstLine="0"/>
        <w:jc w:val="center"/>
        <w:rPr>
          <w:rFonts w:ascii="方正小标宋_GBK" w:eastAsia="方正小标宋_GBK"/>
          <w:sz w:val="72"/>
          <w:szCs w:val="72"/>
        </w:rPr>
      </w:pPr>
    </w:p>
    <w:p>
      <w:pPr>
        <w:spacing w:line="240" w:lineRule="auto"/>
        <w:ind w:firstLineChars="0" w:firstLine="0"/>
        <w:jc w:val="center"/>
        <w:rPr>
          <w:rFonts w:ascii="方正小标宋_GBK" w:eastAsia="方正小标宋_GBK"/>
          <w:sz w:val="72"/>
          <w:szCs w:val="72"/>
        </w:rPr>
      </w:pPr>
    </w:p>
    <w:p>
      <w:pPr>
        <w:spacing w:line="240" w:lineRule="auto"/>
        <w:ind w:firstLineChars="0" w:firstLine="0"/>
        <w:jc w:val="center"/>
        <w:rPr>
          <w:rFonts w:ascii="方正小标宋_GBK" w:eastAsia="方正小标宋_GBK"/>
          <w:sz w:val="72"/>
          <w:szCs w:val="72"/>
        </w:rPr>
      </w:pPr>
    </w:p>
    <w:p>
      <w:pPr>
        <w:spacing w:line="240" w:lineRule="auto"/>
        <w:ind w:firstLineChars="0" w:firstLine="0"/>
        <w:jc w:val="center"/>
        <w:outlineLvl w:val="0"/>
        <w:rPr>
          <w:rFonts w:ascii="方正小标宋_GBK" w:eastAsia="方正小标宋_GBK"/>
          <w:sz w:val="84"/>
          <w:szCs w:val="84"/>
        </w:rPr>
      </w:pPr>
      <w:bookmarkEnd w:id="0"/>
      <w:r>
        <w:rPr>
          <w:rFonts w:ascii="方正小标宋_GBK" w:eastAsia="方正小标宋_GBK" w:hint="eastAsia"/>
          <w:sz w:val="84"/>
          <w:szCs w:val="84"/>
        </w:rPr>
        <w:t>第一部分</w:t>
      </w:r>
      <w:r>
        <w:rPr>
          <w:rFonts w:ascii="方正小标宋_GBK" w:eastAsia="方正小标宋_GBK"/>
          <w:sz w:val="84"/>
          <w:szCs w:val="84"/>
        </w:rPr>
        <w:br/>
      </w:r>
      <w:r>
        <w:rPr>
          <w:rFonts w:ascii="方正小标宋_GBK" w:eastAsia="方正小标宋_GBK" w:hint="eastAsia"/>
          <w:sz w:val="84"/>
          <w:szCs w:val="84"/>
        </w:rPr>
        <w:t>大连海关部门概况</w:t>
      </w:r>
    </w:p>
    <w:p>
      <w:pPr>
        <w:spacing w:line="240" w:lineRule="auto"/>
        <w:ind w:firstLineChars="0" w:firstLine="0"/>
        <w:jc w:val="center"/>
        <w:outlineLvl w:val="0"/>
        <w:rPr>
          <w:rFonts w:ascii="方正小标宋_GBK" w:eastAsia="方正小标宋_GBK"/>
          <w:sz w:val="72"/>
          <w:szCs w:val="72"/>
        </w:rPr>
      </w:pPr>
      <w:r>
        <w:rPr>
          <w:rFonts w:ascii="方正小标宋_GBK" w:eastAsia="方正小标宋_GBK"/>
          <w:sz w:val="72"/>
          <w:szCs w:val="72"/>
        </w:rPr>
        <w:br w:type="page"/>
      </w:r>
    </w:p>
    <w:p>
      <w:pPr>
        <w:pStyle w:val="22"/>
        <w:outlineLvl w:val="1"/>
      </w:pPr>
      <w:r>
        <w:rPr>
          <w:rFonts w:hint="eastAsia"/>
        </w:rPr>
        <w:t>一、主要职能</w:t>
      </w:r>
    </w:p>
    <w:p>
      <w:r>
        <w:rPr>
          <w:rFonts w:hint="eastAsia"/>
        </w:rPr>
        <w:t>大连海关是受海关总署直接领导，负责指定口岸及相关区域范围内海关工作运行管理、监督监控的正厅级直属海关，领导隶属海关。大连海关管辖范围为辽宁省大连市、鞍山市、本溪市、丹东市、营口市、盘锦市的各项海关管理工作。</w:t>
      </w:r>
    </w:p>
    <w:p>
      <w:r>
        <w:rPr>
          <w:rFonts w:hint="eastAsia"/>
        </w:rPr>
        <w:t>大连海关内设机构：办公室（党委办公室）、法规处、综合业务处、自贸区和特殊区域发展处、关税处、卫生检疫处、动植物检疫处、进出口食品安全处、商品检验处、口岸监管处、统计分析处、企业管理和稽查处、财务处、科技处、督察内审处、人事处（党委组织部）、教育处、机关党委（思想政治工作办公室、党委宣传部、党委巡察工作办公室）、监察室（党委纪检组）、离退休干部办公室，独立编制机构：大连海关风险防控分局、缉私局。</w:t>
      </w:r>
    </w:p>
    <w:p>
      <w:pPr>
        <w:pStyle w:val="22"/>
        <w:outlineLvl w:val="1"/>
      </w:pPr>
      <w:r>
        <w:rPr>
          <w:rFonts w:hint="eastAsia"/>
        </w:rPr>
        <w:t>二、大连海关预算单位构成</w:t>
      </w:r>
    </w:p>
    <w:p>
      <w:r>
        <w:rPr>
          <w:rFonts w:hint="eastAsia"/>
        </w:rPr>
        <w:t>大连海关所属单位31个，包括：</w:t>
      </w:r>
    </w:p>
    <w:p>
      <w:r>
        <w:rPr>
          <w:rFonts w:hint="eastAsia"/>
        </w:rPr>
        <w:t>（一）行政单位18个，包括：大窑湾海关、丹东海关、大东港海关、鞍山海关、鲅鱼圈海关、营口海关、金石滩海关、大连港湾海关、大连周水子机场海关、盘锦海关、北良港海关、金普海关、大连邮局海关、七贤岭海关、旅顺海关、庄河海关、大连长兴岛海关、本溪海关。</w:t>
      </w:r>
    </w:p>
    <w:p>
      <w:r>
        <w:rPr>
          <w:rFonts w:hint="eastAsia"/>
        </w:rPr>
        <w:t>（二）事业单位13个，包括：大窑湾海关综合技术服务中心、丹东海关综合技术服务中心、丹东国际旅行卫生保健中心（丹东海关口岸门诊部）、东港海关综合技术服务中心、鞍山海关综合技术服务中心、鲅鱼圈海关综合技术服务中心、营口海关综合技术服务中心、大连海关后勤管理中心、中国电子口岸数据中心大连分中心、盘锦海关综合技术服务中心、大连国际旅行卫生保健中心（大连海关口岸门诊部）、大连海关技术中心、大连海关综合技术服务中心。</w:t>
      </w:r>
    </w:p>
    <w:p>
      <w:r>
        <w:rPr>
          <w:rFonts w:hint="eastAsia"/>
        </w:rPr>
        <w:t>纳入大连海关2025年预算编制范围的三级单位如下：</w:t>
      </w:r>
    </w:p>
    <w:tbl>
      <w:tblPr>
        <w:jc w:val="left"/>
        <w:tblInd w:w="108" w:type="dxa"/>
        <w:tblW w:w="8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09"/>
        <w:gridCol w:w="3402"/>
        <w:gridCol w:w="709"/>
        <w:gridCol w:w="3544"/>
      </w:tblGrid>
      <w:tr>
        <w:trPr>
          <w:trHeight w:val="391"/>
        </w:trPr>
        <w:tc>
          <w:tcPr>
            <w:tcW w:w="709" w:type="dxa"/>
            <w:noWrap/>
            <w:vAlign w:val="center"/>
          </w:tcPr>
          <w:p>
            <w:pPr>
              <w:overflowPunct/>
              <w:spacing w:line="240" w:lineRule="auto"/>
              <w:ind w:firstLineChars="0" w:firstLine="0"/>
              <w:jc w:val="center"/>
              <w:rPr>
                <w:rFonts w:ascii="方正小标宋_GBK" w:eastAsia="方正小标宋_GBK" w:cs="Times New Roman"/>
                <w:color w:val="000000"/>
                <w:sz w:val="24"/>
                <w:szCs w:val="24"/>
              </w:rPr>
            </w:pPr>
            <w:r>
              <w:rPr>
                <w:rFonts w:ascii="方正小标宋_GBK" w:eastAsia="方正小标宋_GBK" w:cs="Times New Roman" w:hint="eastAsia"/>
                <w:color w:val="000000"/>
                <w:sz w:val="24"/>
                <w:szCs w:val="24"/>
              </w:rPr>
              <w:t>序号</w:t>
            </w:r>
          </w:p>
        </w:tc>
        <w:tc>
          <w:tcPr>
            <w:tcW w:w="3402" w:type="dxa"/>
            <w:noWrap/>
            <w:vAlign w:val="center"/>
          </w:tcPr>
          <w:p>
            <w:pPr>
              <w:overflowPunct/>
              <w:spacing w:line="240" w:lineRule="auto"/>
              <w:ind w:firstLineChars="0" w:firstLine="0"/>
              <w:jc w:val="center"/>
              <w:rPr>
                <w:rFonts w:ascii="方正小标宋_GBK" w:eastAsia="方正小标宋_GBK" w:cs="Times New Roman"/>
                <w:color w:val="000000"/>
                <w:sz w:val="24"/>
                <w:szCs w:val="24"/>
              </w:rPr>
            </w:pPr>
            <w:r>
              <w:rPr>
                <w:rFonts w:ascii="方正小标宋_GBK" w:eastAsia="方正小标宋_GBK" w:cs="Times New Roman" w:hint="eastAsia"/>
                <w:color w:val="000000"/>
                <w:sz w:val="24"/>
                <w:szCs w:val="24"/>
              </w:rPr>
              <w:t>单位</w:t>
            </w:r>
          </w:p>
        </w:tc>
        <w:tc>
          <w:tcPr>
            <w:tcW w:w="709" w:type="dxa"/>
            <w:noWrap/>
            <w:vAlign w:val="center"/>
          </w:tcPr>
          <w:p>
            <w:pPr>
              <w:overflowPunct/>
              <w:spacing w:line="240" w:lineRule="auto"/>
              <w:ind w:firstLineChars="0" w:firstLine="0"/>
              <w:jc w:val="center"/>
              <w:rPr>
                <w:rFonts w:ascii="方正小标宋_GBK" w:eastAsia="方正小标宋_GBK" w:cs="Times New Roman"/>
                <w:color w:val="000000"/>
                <w:sz w:val="24"/>
                <w:szCs w:val="24"/>
              </w:rPr>
            </w:pPr>
            <w:r>
              <w:rPr>
                <w:rFonts w:ascii="方正小标宋_GBK" w:eastAsia="方正小标宋_GBK" w:cs="Times New Roman" w:hint="eastAsia"/>
                <w:color w:val="000000"/>
                <w:sz w:val="24"/>
                <w:szCs w:val="24"/>
              </w:rPr>
              <w:t>序号</w:t>
            </w:r>
          </w:p>
        </w:tc>
        <w:tc>
          <w:tcPr>
            <w:tcW w:w="3544" w:type="dxa"/>
            <w:noWrap/>
            <w:vAlign w:val="center"/>
          </w:tcPr>
          <w:p>
            <w:pPr>
              <w:overflowPunct/>
              <w:spacing w:line="240" w:lineRule="auto"/>
              <w:ind w:firstLineChars="0" w:firstLine="0"/>
              <w:jc w:val="center"/>
              <w:rPr>
                <w:rFonts w:ascii="方正小标宋_GBK" w:eastAsia="方正小标宋_GBK" w:cs="Times New Roman"/>
                <w:color w:val="000000"/>
                <w:sz w:val="24"/>
                <w:szCs w:val="24"/>
              </w:rPr>
            </w:pPr>
            <w:r>
              <w:rPr>
                <w:rFonts w:ascii="方正小标宋_GBK" w:eastAsia="方正小标宋_GBK" w:cs="Times New Roman" w:hint="eastAsia"/>
                <w:color w:val="000000"/>
                <w:sz w:val="24"/>
                <w:szCs w:val="24"/>
              </w:rPr>
              <w:t>单位</w:t>
            </w:r>
          </w:p>
        </w:tc>
      </w:tr>
      <w:tr>
        <w:trPr>
          <w:trHeight w:val="624"/>
        </w:trPr>
        <w:tc>
          <w:tcPr>
            <w:tcW w:w="709" w:type="dxa"/>
            <w:noWrap/>
            <w:vAlign w:val="center"/>
          </w:tcPr>
          <w:p>
            <w:pPr>
              <w:overflowPunct/>
              <w:spacing w:line="240" w:lineRule="auto"/>
              <w:ind w:firstLineChars="0" w:firstLine="0"/>
              <w:jc w:val="center"/>
              <w:rPr>
                <w:rFonts w:eastAsia="方正黑体_GBK" w:cs="Times New Roman"/>
                <w:color w:val="000000"/>
                <w:sz w:val="21"/>
                <w:szCs w:val="21"/>
              </w:rPr>
            </w:pPr>
            <w:r>
              <w:rPr>
                <w:rFonts w:eastAsia="方正黑体_GBK" w:cs="Times New Roman"/>
                <w:color w:val="000000"/>
                <w:sz w:val="21"/>
                <w:szCs w:val="21"/>
              </w:rPr>
              <w:t>1</w:t>
            </w:r>
          </w:p>
        </w:tc>
        <w:tc>
          <w:tcPr>
            <w:tcW w:w="3402" w:type="dxa"/>
            <w:noWrap/>
            <w:vAlign w:val="center"/>
          </w:tcPr>
          <w:p>
            <w:pPr>
              <w:overflowPunct/>
              <w:spacing w:line="240" w:lineRule="auto"/>
              <w:ind w:firstLineChars="0" w:firstLine="0"/>
              <w:jc w:val="left"/>
              <w:rPr>
                <w:rFonts w:ascii="宋体" w:eastAsia="宋体" w:cs="Times New Roman"/>
                <w:color w:val="000000"/>
                <w:sz w:val="21"/>
                <w:szCs w:val="21"/>
              </w:rPr>
            </w:pPr>
            <w:r>
              <w:rPr>
                <w:rFonts w:hint="eastAsia"/>
                <w:color w:val="000000"/>
                <w:sz w:val="21"/>
                <w:szCs w:val="21"/>
              </w:rPr>
              <w:t>大连海关本级</w:t>
            </w:r>
          </w:p>
        </w:tc>
        <w:tc>
          <w:tcPr>
            <w:tcW w:w="709" w:type="dxa"/>
            <w:noWrap/>
            <w:vAlign w:val="center"/>
          </w:tcPr>
          <w:p>
            <w:pPr>
              <w:overflowPunct/>
              <w:spacing w:line="240" w:lineRule="auto"/>
              <w:ind w:firstLineChars="0" w:firstLine="0"/>
              <w:jc w:val="center"/>
              <w:rPr>
                <w:rFonts w:eastAsia="方正黑体_GBK" w:cs="Times New Roman"/>
                <w:color w:val="000000"/>
                <w:sz w:val="21"/>
                <w:szCs w:val="21"/>
              </w:rPr>
            </w:pPr>
            <w:r>
              <w:rPr>
                <w:rFonts w:eastAsia="方正黑体_GBK" w:cs="Times New Roman"/>
                <w:color w:val="000000"/>
                <w:sz w:val="21"/>
                <w:szCs w:val="21"/>
              </w:rPr>
              <w:t>1</w:t>
            </w:r>
            <w:r>
              <w:rPr>
                <w:rFonts w:eastAsia="方正黑体_GBK" w:cs="Times New Roman" w:hint="eastAsia"/>
                <w:color w:val="000000"/>
                <w:sz w:val="21"/>
                <w:szCs w:val="21"/>
              </w:rPr>
              <w:t>3</w:t>
            </w:r>
          </w:p>
        </w:tc>
        <w:tc>
          <w:tcPr>
            <w:tcW w:w="3544" w:type="dxa"/>
            <w:noWrap/>
            <w:vAlign w:val="center"/>
          </w:tcPr>
          <w:p>
            <w:pPr>
              <w:overflowPunct/>
              <w:spacing w:line="240" w:lineRule="auto"/>
              <w:ind w:firstLineChars="0" w:firstLine="0"/>
              <w:jc w:val="left"/>
              <w:rPr>
                <w:rFonts w:ascii="宋体" w:eastAsia="宋体" w:cs="Times New Roman"/>
                <w:color w:val="000000"/>
                <w:sz w:val="21"/>
                <w:szCs w:val="21"/>
              </w:rPr>
            </w:pPr>
            <w:r>
              <w:rPr>
                <w:rFonts w:hint="eastAsia"/>
                <w:color w:val="000000"/>
                <w:sz w:val="21"/>
                <w:szCs w:val="21"/>
              </w:rPr>
              <w:t>盘锦海关</w:t>
            </w:r>
          </w:p>
        </w:tc>
      </w:tr>
      <w:tr>
        <w:trPr>
          <w:trHeight w:val="624"/>
        </w:trPr>
        <w:tc>
          <w:tcPr>
            <w:tcW w:w="709" w:type="dxa"/>
            <w:noWrap/>
            <w:vAlign w:val="center"/>
          </w:tcPr>
          <w:p>
            <w:pPr>
              <w:overflowPunct/>
              <w:spacing w:line="240" w:lineRule="auto"/>
              <w:ind w:firstLineChars="0" w:firstLine="0"/>
              <w:jc w:val="center"/>
              <w:rPr>
                <w:rFonts w:eastAsia="方正黑体_GBK" w:cs="Times New Roman"/>
                <w:color w:val="000000"/>
                <w:sz w:val="21"/>
                <w:szCs w:val="21"/>
              </w:rPr>
            </w:pPr>
            <w:r>
              <w:rPr>
                <w:rFonts w:eastAsia="方正黑体_GBK" w:cs="Times New Roman"/>
                <w:color w:val="000000"/>
                <w:sz w:val="21"/>
                <w:szCs w:val="21"/>
              </w:rPr>
              <w:t>2</w:t>
            </w:r>
          </w:p>
        </w:tc>
        <w:tc>
          <w:tcPr>
            <w:tcW w:w="3402" w:type="dxa"/>
            <w:noWrap/>
            <w:vAlign w:val="center"/>
          </w:tcPr>
          <w:p>
            <w:pPr>
              <w:overflowPunct/>
              <w:spacing w:line="240" w:lineRule="auto"/>
              <w:ind w:firstLineChars="0" w:firstLine="0"/>
              <w:jc w:val="left"/>
              <w:rPr>
                <w:rFonts w:ascii="宋体" w:eastAsia="宋体" w:cs="Times New Roman"/>
                <w:color w:val="000000"/>
                <w:sz w:val="21"/>
                <w:szCs w:val="21"/>
              </w:rPr>
            </w:pPr>
            <w:r>
              <w:rPr>
                <w:rFonts w:hint="eastAsia"/>
                <w:color w:val="000000"/>
                <w:sz w:val="21"/>
                <w:szCs w:val="21"/>
              </w:rPr>
              <w:t>大窑湾海关</w:t>
            </w:r>
          </w:p>
        </w:tc>
        <w:tc>
          <w:tcPr>
            <w:tcW w:w="709" w:type="dxa"/>
            <w:noWrap/>
            <w:vAlign w:val="center"/>
          </w:tcPr>
          <w:p>
            <w:pPr>
              <w:overflowPunct/>
              <w:spacing w:line="240" w:lineRule="auto"/>
              <w:ind w:firstLineChars="0" w:firstLine="0"/>
              <w:jc w:val="center"/>
              <w:rPr>
                <w:rFonts w:eastAsia="方正黑体_GBK" w:cs="Times New Roman"/>
                <w:color w:val="000000"/>
                <w:sz w:val="21"/>
                <w:szCs w:val="21"/>
              </w:rPr>
            </w:pPr>
            <w:r>
              <w:rPr>
                <w:rFonts w:eastAsia="方正黑体_GBK" w:cs="Times New Roman"/>
                <w:color w:val="000000"/>
                <w:sz w:val="21"/>
                <w:szCs w:val="21"/>
              </w:rPr>
              <w:t>1</w:t>
            </w:r>
            <w:r>
              <w:rPr>
                <w:rFonts w:eastAsia="方正黑体_GBK" w:cs="Times New Roman" w:hint="eastAsia"/>
                <w:color w:val="000000"/>
                <w:sz w:val="21"/>
                <w:szCs w:val="21"/>
              </w:rPr>
              <w:t>4</w:t>
            </w:r>
          </w:p>
        </w:tc>
        <w:tc>
          <w:tcPr>
            <w:tcW w:w="3544" w:type="dxa"/>
            <w:noWrap/>
            <w:vAlign w:val="center"/>
          </w:tcPr>
          <w:p>
            <w:pPr>
              <w:overflowPunct/>
              <w:spacing w:line="240" w:lineRule="auto"/>
              <w:ind w:firstLineChars="0" w:firstLine="0"/>
              <w:jc w:val="left"/>
              <w:rPr>
                <w:rFonts w:ascii="宋体" w:eastAsia="宋体" w:cs="Times New Roman"/>
                <w:color w:val="000000"/>
                <w:sz w:val="21"/>
                <w:szCs w:val="21"/>
              </w:rPr>
            </w:pPr>
            <w:r>
              <w:rPr>
                <w:rFonts w:hint="eastAsia"/>
                <w:color w:val="000000"/>
                <w:sz w:val="21"/>
                <w:szCs w:val="21"/>
              </w:rPr>
              <w:t>大连国际旅行卫生保健中心（大连海关口岸门诊部）</w:t>
            </w:r>
          </w:p>
        </w:tc>
      </w:tr>
      <w:tr>
        <w:trPr>
          <w:trHeight w:val="624"/>
        </w:trPr>
        <w:tc>
          <w:tcPr>
            <w:tcW w:w="709" w:type="dxa"/>
            <w:noWrap/>
            <w:vAlign w:val="center"/>
          </w:tcPr>
          <w:p>
            <w:pPr>
              <w:overflowPunct/>
              <w:spacing w:line="240" w:lineRule="auto"/>
              <w:ind w:firstLineChars="0" w:firstLine="0"/>
              <w:jc w:val="center"/>
              <w:rPr>
                <w:rFonts w:eastAsia="方正黑体_GBK" w:cs="Times New Roman"/>
                <w:color w:val="000000"/>
                <w:sz w:val="21"/>
                <w:szCs w:val="21"/>
              </w:rPr>
            </w:pPr>
            <w:r>
              <w:rPr>
                <w:rFonts w:eastAsia="方正黑体_GBK" w:cs="Times New Roman"/>
                <w:color w:val="000000"/>
                <w:sz w:val="21"/>
                <w:szCs w:val="21"/>
              </w:rPr>
              <w:t>3</w:t>
            </w:r>
          </w:p>
        </w:tc>
        <w:tc>
          <w:tcPr>
            <w:tcW w:w="3402" w:type="dxa"/>
            <w:noWrap/>
            <w:vAlign w:val="center"/>
          </w:tcPr>
          <w:p>
            <w:pPr>
              <w:overflowPunct/>
              <w:spacing w:line="240" w:lineRule="auto"/>
              <w:ind w:firstLineChars="0" w:firstLine="0"/>
              <w:jc w:val="left"/>
              <w:rPr>
                <w:rFonts w:ascii="宋体" w:eastAsia="宋体" w:cs="Times New Roman"/>
                <w:color w:val="000000"/>
                <w:sz w:val="21"/>
                <w:szCs w:val="21"/>
              </w:rPr>
            </w:pPr>
            <w:r>
              <w:rPr>
                <w:rFonts w:hint="eastAsia"/>
                <w:color w:val="000000"/>
                <w:sz w:val="21"/>
                <w:szCs w:val="21"/>
              </w:rPr>
              <w:t>丹东海关</w:t>
            </w:r>
          </w:p>
        </w:tc>
        <w:tc>
          <w:tcPr>
            <w:tcW w:w="709" w:type="dxa"/>
            <w:noWrap/>
            <w:vAlign w:val="center"/>
          </w:tcPr>
          <w:p>
            <w:pPr>
              <w:overflowPunct/>
              <w:spacing w:line="240" w:lineRule="auto"/>
              <w:ind w:firstLineChars="0" w:firstLine="0"/>
              <w:jc w:val="center"/>
              <w:rPr>
                <w:rFonts w:eastAsia="方正黑体_GBK" w:cs="Times New Roman"/>
                <w:color w:val="000000"/>
                <w:sz w:val="21"/>
                <w:szCs w:val="21"/>
              </w:rPr>
            </w:pPr>
            <w:r>
              <w:rPr>
                <w:rFonts w:eastAsia="方正黑体_GBK" w:cs="Times New Roman"/>
                <w:color w:val="000000"/>
                <w:sz w:val="21"/>
                <w:szCs w:val="21"/>
              </w:rPr>
              <w:t>1</w:t>
            </w:r>
            <w:r>
              <w:rPr>
                <w:rFonts w:eastAsia="方正黑体_GBK" w:cs="Times New Roman" w:hint="eastAsia"/>
                <w:color w:val="000000"/>
                <w:sz w:val="21"/>
                <w:szCs w:val="21"/>
              </w:rPr>
              <w:t>5</w:t>
            </w:r>
          </w:p>
        </w:tc>
        <w:tc>
          <w:tcPr>
            <w:tcW w:w="3544" w:type="dxa"/>
            <w:noWrap/>
            <w:vAlign w:val="center"/>
          </w:tcPr>
          <w:p>
            <w:pPr>
              <w:overflowPunct/>
              <w:spacing w:line="240" w:lineRule="auto"/>
              <w:ind w:firstLineChars="0" w:firstLine="0"/>
              <w:jc w:val="left"/>
              <w:rPr>
                <w:rFonts w:ascii="宋体" w:eastAsia="宋体" w:cs="Times New Roman"/>
                <w:color w:val="000000"/>
                <w:sz w:val="21"/>
                <w:szCs w:val="21"/>
              </w:rPr>
            </w:pPr>
            <w:r>
              <w:rPr>
                <w:rFonts w:hint="eastAsia"/>
                <w:color w:val="000000"/>
                <w:sz w:val="21"/>
                <w:szCs w:val="21"/>
              </w:rPr>
              <w:t>大连海关技术中心</w:t>
            </w:r>
          </w:p>
        </w:tc>
      </w:tr>
      <w:tr>
        <w:trPr>
          <w:trHeight w:val="624"/>
        </w:trPr>
        <w:tc>
          <w:tcPr>
            <w:tcW w:w="709" w:type="dxa"/>
            <w:noWrap/>
            <w:vAlign w:val="center"/>
          </w:tcPr>
          <w:p>
            <w:pPr>
              <w:overflowPunct/>
              <w:spacing w:line="240" w:lineRule="auto"/>
              <w:ind w:firstLineChars="0" w:firstLine="0"/>
              <w:jc w:val="center"/>
              <w:rPr>
                <w:rFonts w:eastAsia="方正黑体_GBK" w:cs="Times New Roman"/>
                <w:color w:val="000000"/>
                <w:sz w:val="21"/>
                <w:szCs w:val="21"/>
              </w:rPr>
            </w:pPr>
            <w:r>
              <w:rPr>
                <w:rFonts w:eastAsia="方正黑体_GBK" w:cs="Times New Roman"/>
                <w:color w:val="000000"/>
                <w:sz w:val="21"/>
                <w:szCs w:val="21"/>
              </w:rPr>
              <w:t>4</w:t>
            </w:r>
          </w:p>
        </w:tc>
        <w:tc>
          <w:tcPr>
            <w:tcW w:w="3402" w:type="dxa"/>
            <w:noWrap/>
            <w:vAlign w:val="center"/>
          </w:tcPr>
          <w:p>
            <w:pPr>
              <w:overflowPunct/>
              <w:spacing w:line="240" w:lineRule="auto"/>
              <w:ind w:firstLineChars="0" w:firstLine="0"/>
              <w:jc w:val="left"/>
              <w:rPr>
                <w:rFonts w:ascii="宋体" w:eastAsia="宋体" w:cs="Times New Roman"/>
                <w:color w:val="000000"/>
                <w:sz w:val="21"/>
                <w:szCs w:val="21"/>
              </w:rPr>
            </w:pPr>
            <w:r>
              <w:rPr>
                <w:rFonts w:hint="eastAsia"/>
                <w:color w:val="000000"/>
                <w:sz w:val="21"/>
                <w:szCs w:val="21"/>
              </w:rPr>
              <w:t>大东港海关</w:t>
            </w:r>
          </w:p>
        </w:tc>
        <w:tc>
          <w:tcPr>
            <w:tcW w:w="709" w:type="dxa"/>
            <w:noWrap/>
            <w:vAlign w:val="center"/>
          </w:tcPr>
          <w:p>
            <w:pPr>
              <w:overflowPunct/>
              <w:spacing w:line="240" w:lineRule="auto"/>
              <w:ind w:firstLineChars="0" w:firstLine="0"/>
              <w:jc w:val="center"/>
              <w:rPr>
                <w:rFonts w:eastAsia="方正黑体_GBK" w:cs="Times New Roman"/>
                <w:color w:val="000000"/>
                <w:sz w:val="21"/>
                <w:szCs w:val="21"/>
              </w:rPr>
            </w:pPr>
            <w:r>
              <w:rPr>
                <w:rFonts w:eastAsia="方正黑体_GBK" w:cs="Times New Roman"/>
                <w:color w:val="000000"/>
                <w:sz w:val="21"/>
                <w:szCs w:val="21"/>
              </w:rPr>
              <w:t>1</w:t>
            </w:r>
            <w:r>
              <w:rPr>
                <w:rFonts w:eastAsia="方正黑体_GBK" w:cs="Times New Roman" w:hint="eastAsia"/>
                <w:color w:val="000000"/>
                <w:sz w:val="21"/>
                <w:szCs w:val="21"/>
              </w:rPr>
              <w:t>6</w:t>
            </w:r>
          </w:p>
        </w:tc>
        <w:tc>
          <w:tcPr>
            <w:tcW w:w="3544" w:type="dxa"/>
            <w:noWrap/>
            <w:vAlign w:val="center"/>
          </w:tcPr>
          <w:p>
            <w:pPr>
              <w:overflowPunct/>
              <w:spacing w:line="240" w:lineRule="auto"/>
              <w:ind w:firstLineChars="0" w:firstLine="0"/>
              <w:jc w:val="left"/>
              <w:rPr>
                <w:rFonts w:ascii="宋体" w:eastAsia="宋体" w:cs="Times New Roman"/>
                <w:color w:val="000000"/>
                <w:sz w:val="21"/>
                <w:szCs w:val="21"/>
              </w:rPr>
            </w:pPr>
            <w:r>
              <w:rPr>
                <w:rFonts w:hint="eastAsia"/>
                <w:color w:val="000000"/>
                <w:sz w:val="21"/>
                <w:szCs w:val="21"/>
              </w:rPr>
              <w:t>大连海关综合技术服务中心</w:t>
            </w:r>
          </w:p>
        </w:tc>
      </w:tr>
      <w:tr>
        <w:trPr>
          <w:trHeight w:val="624"/>
        </w:trPr>
        <w:tc>
          <w:tcPr>
            <w:tcW w:w="709" w:type="dxa"/>
            <w:noWrap/>
            <w:vAlign w:val="center"/>
          </w:tcPr>
          <w:p>
            <w:pPr>
              <w:overflowPunct/>
              <w:spacing w:line="240" w:lineRule="auto"/>
              <w:ind w:firstLineChars="0" w:firstLine="0"/>
              <w:jc w:val="center"/>
              <w:rPr>
                <w:rFonts w:eastAsia="方正黑体_GBK" w:cs="Times New Roman"/>
                <w:color w:val="000000"/>
                <w:sz w:val="21"/>
                <w:szCs w:val="21"/>
              </w:rPr>
            </w:pPr>
            <w:r>
              <w:rPr>
                <w:rFonts w:eastAsia="方正黑体_GBK" w:cs="Times New Roman"/>
                <w:color w:val="000000"/>
                <w:sz w:val="21"/>
                <w:szCs w:val="21"/>
              </w:rPr>
              <w:t>5</w:t>
            </w:r>
          </w:p>
        </w:tc>
        <w:tc>
          <w:tcPr>
            <w:tcW w:w="3402" w:type="dxa"/>
            <w:noWrap/>
            <w:vAlign w:val="center"/>
          </w:tcPr>
          <w:p>
            <w:pPr>
              <w:overflowPunct/>
              <w:spacing w:line="240" w:lineRule="auto"/>
              <w:ind w:firstLineChars="0" w:firstLine="0"/>
              <w:jc w:val="left"/>
              <w:rPr>
                <w:rFonts w:ascii="宋体" w:eastAsia="宋体" w:cs="Times New Roman"/>
                <w:color w:val="000000"/>
                <w:sz w:val="21"/>
                <w:szCs w:val="21"/>
              </w:rPr>
            </w:pPr>
            <w:r>
              <w:rPr>
                <w:rFonts w:hint="eastAsia"/>
                <w:color w:val="000000"/>
                <w:sz w:val="21"/>
                <w:szCs w:val="21"/>
              </w:rPr>
              <w:t>鞍山海关</w:t>
            </w:r>
          </w:p>
        </w:tc>
        <w:tc>
          <w:tcPr>
            <w:tcW w:w="709" w:type="dxa"/>
            <w:noWrap/>
            <w:vAlign w:val="center"/>
          </w:tcPr>
          <w:p>
            <w:pPr>
              <w:overflowPunct/>
              <w:spacing w:line="240" w:lineRule="auto"/>
              <w:ind w:firstLineChars="0" w:firstLine="0"/>
              <w:jc w:val="center"/>
              <w:rPr>
                <w:rFonts w:eastAsia="方正黑体_GBK" w:cs="Times New Roman"/>
                <w:color w:val="000000"/>
                <w:sz w:val="21"/>
                <w:szCs w:val="21"/>
              </w:rPr>
            </w:pPr>
            <w:r>
              <w:rPr>
                <w:rFonts w:eastAsia="方正黑体_GBK" w:cs="Times New Roman"/>
                <w:color w:val="000000"/>
                <w:sz w:val="21"/>
                <w:szCs w:val="21"/>
              </w:rPr>
              <w:t>1</w:t>
            </w:r>
            <w:r>
              <w:rPr>
                <w:rFonts w:eastAsia="方正黑体_GBK" w:cs="Times New Roman" w:hint="eastAsia"/>
                <w:color w:val="000000"/>
                <w:sz w:val="21"/>
                <w:szCs w:val="21"/>
              </w:rPr>
              <w:t>7</w:t>
            </w:r>
          </w:p>
        </w:tc>
        <w:tc>
          <w:tcPr>
            <w:tcW w:w="3544" w:type="dxa"/>
            <w:noWrap/>
            <w:vAlign w:val="center"/>
          </w:tcPr>
          <w:p>
            <w:pPr>
              <w:overflowPunct/>
              <w:spacing w:line="240" w:lineRule="auto"/>
              <w:ind w:firstLineChars="0" w:firstLine="0"/>
              <w:jc w:val="left"/>
              <w:rPr>
                <w:rFonts w:ascii="宋体" w:eastAsia="宋体" w:cs="Times New Roman"/>
                <w:color w:val="000000"/>
                <w:sz w:val="21"/>
                <w:szCs w:val="21"/>
              </w:rPr>
            </w:pPr>
            <w:r>
              <w:rPr>
                <w:rFonts w:hint="eastAsia"/>
                <w:color w:val="000000"/>
                <w:sz w:val="21"/>
                <w:szCs w:val="21"/>
              </w:rPr>
              <w:t>北良港海关</w:t>
            </w:r>
          </w:p>
        </w:tc>
      </w:tr>
      <w:tr>
        <w:trPr>
          <w:trHeight w:val="624"/>
        </w:trPr>
        <w:tc>
          <w:tcPr>
            <w:tcW w:w="709" w:type="dxa"/>
            <w:noWrap/>
            <w:vAlign w:val="center"/>
          </w:tcPr>
          <w:p>
            <w:pPr>
              <w:overflowPunct/>
              <w:spacing w:line="240" w:lineRule="auto"/>
              <w:ind w:firstLineChars="0" w:firstLine="0"/>
              <w:jc w:val="center"/>
              <w:rPr>
                <w:rFonts w:eastAsia="方正黑体_GBK" w:cs="Times New Roman"/>
                <w:color w:val="000000"/>
                <w:sz w:val="21"/>
                <w:szCs w:val="21"/>
              </w:rPr>
            </w:pPr>
            <w:r>
              <w:rPr>
                <w:rFonts w:eastAsia="方正黑体_GBK" w:cs="Times New Roman"/>
                <w:color w:val="000000"/>
                <w:sz w:val="21"/>
                <w:szCs w:val="21"/>
              </w:rPr>
              <w:t>6</w:t>
            </w:r>
          </w:p>
        </w:tc>
        <w:tc>
          <w:tcPr>
            <w:tcW w:w="3402" w:type="dxa"/>
            <w:noWrap/>
            <w:vAlign w:val="center"/>
          </w:tcPr>
          <w:p>
            <w:pPr>
              <w:overflowPunct/>
              <w:spacing w:line="240" w:lineRule="auto"/>
              <w:ind w:firstLineChars="0" w:firstLine="0"/>
              <w:jc w:val="left"/>
              <w:rPr>
                <w:rFonts w:ascii="宋体" w:eastAsia="宋体" w:cs="Times New Roman"/>
                <w:color w:val="000000"/>
                <w:sz w:val="21"/>
                <w:szCs w:val="21"/>
              </w:rPr>
            </w:pPr>
            <w:r>
              <w:rPr>
                <w:rFonts w:hint="eastAsia"/>
                <w:color w:val="000000"/>
                <w:sz w:val="21"/>
                <w:szCs w:val="21"/>
              </w:rPr>
              <w:t>鲅鱼圈海关</w:t>
            </w:r>
          </w:p>
        </w:tc>
        <w:tc>
          <w:tcPr>
            <w:tcW w:w="709" w:type="dxa"/>
            <w:noWrap/>
            <w:vAlign w:val="center"/>
          </w:tcPr>
          <w:p>
            <w:pPr>
              <w:overflowPunct/>
              <w:spacing w:line="240" w:lineRule="auto"/>
              <w:ind w:firstLineChars="0" w:firstLine="0"/>
              <w:jc w:val="center"/>
              <w:rPr>
                <w:rFonts w:eastAsia="方正黑体_GBK" w:cs="Times New Roman"/>
                <w:color w:val="000000"/>
                <w:sz w:val="21"/>
                <w:szCs w:val="21"/>
              </w:rPr>
            </w:pPr>
            <w:r>
              <w:rPr>
                <w:rFonts w:eastAsia="方正黑体_GBK" w:cs="Times New Roman"/>
                <w:color w:val="000000"/>
                <w:sz w:val="21"/>
                <w:szCs w:val="21"/>
              </w:rPr>
              <w:t>1</w:t>
            </w:r>
            <w:r>
              <w:rPr>
                <w:rFonts w:eastAsia="方正黑体_GBK" w:cs="Times New Roman" w:hint="eastAsia"/>
                <w:color w:val="000000"/>
                <w:sz w:val="21"/>
                <w:szCs w:val="21"/>
              </w:rPr>
              <w:t>8</w:t>
            </w:r>
          </w:p>
        </w:tc>
        <w:tc>
          <w:tcPr>
            <w:tcW w:w="3544" w:type="dxa"/>
            <w:noWrap/>
            <w:vAlign w:val="center"/>
          </w:tcPr>
          <w:p>
            <w:pPr>
              <w:overflowPunct/>
              <w:spacing w:line="240" w:lineRule="auto"/>
              <w:ind w:firstLineChars="0" w:firstLine="0"/>
              <w:jc w:val="left"/>
              <w:rPr>
                <w:rFonts w:ascii="宋体" w:eastAsia="宋体" w:cs="Times New Roman"/>
                <w:color w:val="000000"/>
                <w:sz w:val="21"/>
                <w:szCs w:val="21"/>
              </w:rPr>
            </w:pPr>
            <w:r>
              <w:rPr>
                <w:rFonts w:hint="eastAsia"/>
                <w:color w:val="000000"/>
                <w:sz w:val="21"/>
                <w:szCs w:val="21"/>
              </w:rPr>
              <w:t>金普海关</w:t>
            </w:r>
          </w:p>
        </w:tc>
      </w:tr>
      <w:tr>
        <w:trPr>
          <w:trHeight w:val="624"/>
        </w:trPr>
        <w:tc>
          <w:tcPr>
            <w:tcW w:w="709" w:type="dxa"/>
            <w:noWrap/>
            <w:vAlign w:val="center"/>
          </w:tcPr>
          <w:p>
            <w:pPr>
              <w:overflowPunct/>
              <w:spacing w:line="240" w:lineRule="auto"/>
              <w:ind w:firstLineChars="0" w:firstLine="0"/>
              <w:jc w:val="center"/>
              <w:rPr>
                <w:rFonts w:eastAsia="方正黑体_GBK" w:cs="Times New Roman"/>
                <w:color w:val="000000"/>
                <w:sz w:val="21"/>
                <w:szCs w:val="21"/>
              </w:rPr>
            </w:pPr>
            <w:r>
              <w:rPr>
                <w:rFonts w:eastAsia="方正黑体_GBK" w:cs="Times New Roman"/>
                <w:color w:val="000000"/>
                <w:sz w:val="21"/>
                <w:szCs w:val="21"/>
              </w:rPr>
              <w:t>7</w:t>
            </w:r>
          </w:p>
        </w:tc>
        <w:tc>
          <w:tcPr>
            <w:tcW w:w="3402" w:type="dxa"/>
            <w:noWrap/>
            <w:vAlign w:val="center"/>
          </w:tcPr>
          <w:p>
            <w:pPr>
              <w:overflowPunct/>
              <w:spacing w:line="240" w:lineRule="auto"/>
              <w:ind w:firstLineChars="0" w:firstLine="0"/>
              <w:jc w:val="left"/>
              <w:rPr>
                <w:rFonts w:ascii="宋体" w:eastAsia="宋体" w:cs="Times New Roman"/>
                <w:color w:val="000000"/>
                <w:sz w:val="21"/>
                <w:szCs w:val="21"/>
              </w:rPr>
            </w:pPr>
            <w:r>
              <w:rPr>
                <w:rFonts w:hint="eastAsia"/>
                <w:color w:val="000000"/>
                <w:sz w:val="21"/>
                <w:szCs w:val="21"/>
              </w:rPr>
              <w:t>营口海关</w:t>
            </w:r>
          </w:p>
        </w:tc>
        <w:tc>
          <w:tcPr>
            <w:tcW w:w="709" w:type="dxa"/>
            <w:noWrap/>
            <w:vAlign w:val="center"/>
          </w:tcPr>
          <w:p>
            <w:pPr>
              <w:overflowPunct/>
              <w:spacing w:line="240" w:lineRule="auto"/>
              <w:ind w:firstLineChars="0" w:firstLine="0"/>
              <w:jc w:val="center"/>
              <w:rPr>
                <w:rFonts w:eastAsia="方正黑体_GBK" w:cs="Times New Roman"/>
                <w:color w:val="000000"/>
                <w:sz w:val="21"/>
                <w:szCs w:val="21"/>
              </w:rPr>
            </w:pPr>
            <w:r>
              <w:rPr>
                <w:rFonts w:eastAsia="方正黑体_GBK" w:cs="Times New Roman" w:hint="eastAsia"/>
                <w:color w:val="000000"/>
                <w:sz w:val="21"/>
                <w:szCs w:val="21"/>
              </w:rPr>
              <w:t>19</w:t>
            </w:r>
          </w:p>
        </w:tc>
        <w:tc>
          <w:tcPr>
            <w:tcW w:w="3544" w:type="dxa"/>
            <w:noWrap/>
            <w:vAlign w:val="center"/>
          </w:tcPr>
          <w:p>
            <w:pPr>
              <w:overflowPunct/>
              <w:spacing w:line="240" w:lineRule="auto"/>
              <w:ind w:firstLineChars="0" w:firstLine="0"/>
              <w:jc w:val="left"/>
              <w:rPr>
                <w:rFonts w:ascii="宋体" w:eastAsia="宋体" w:cs="Times New Roman"/>
                <w:color w:val="000000"/>
                <w:sz w:val="21"/>
                <w:szCs w:val="21"/>
              </w:rPr>
            </w:pPr>
            <w:r>
              <w:rPr>
                <w:rFonts w:hint="eastAsia"/>
                <w:color w:val="000000"/>
                <w:sz w:val="21"/>
                <w:szCs w:val="21"/>
              </w:rPr>
              <w:t>大连邮局海关</w:t>
            </w:r>
          </w:p>
        </w:tc>
      </w:tr>
      <w:tr>
        <w:trPr>
          <w:trHeight w:val="624"/>
        </w:trPr>
        <w:tc>
          <w:tcPr>
            <w:tcW w:w="709" w:type="dxa"/>
            <w:noWrap/>
            <w:vAlign w:val="center"/>
          </w:tcPr>
          <w:p>
            <w:pPr>
              <w:overflowPunct/>
              <w:spacing w:line="240" w:lineRule="auto"/>
              <w:ind w:firstLineChars="0" w:firstLine="0"/>
              <w:jc w:val="center"/>
              <w:rPr>
                <w:rFonts w:eastAsia="方正黑体_GBK" w:cs="Times New Roman"/>
                <w:color w:val="000000"/>
                <w:sz w:val="21"/>
                <w:szCs w:val="21"/>
              </w:rPr>
            </w:pPr>
            <w:r>
              <w:rPr>
                <w:rFonts w:eastAsia="方正黑体_GBK" w:cs="Times New Roman"/>
                <w:color w:val="000000"/>
                <w:sz w:val="21"/>
                <w:szCs w:val="21"/>
              </w:rPr>
              <w:t>8</w:t>
            </w:r>
          </w:p>
        </w:tc>
        <w:tc>
          <w:tcPr>
            <w:tcW w:w="3402" w:type="dxa"/>
            <w:noWrap/>
            <w:vAlign w:val="center"/>
          </w:tcPr>
          <w:p>
            <w:pPr>
              <w:overflowPunct/>
              <w:spacing w:line="240" w:lineRule="auto"/>
              <w:ind w:firstLineChars="0" w:firstLine="0"/>
              <w:jc w:val="left"/>
              <w:rPr>
                <w:rFonts w:ascii="宋体" w:eastAsia="宋体" w:cs="Times New Roman"/>
                <w:color w:val="000000"/>
                <w:sz w:val="21"/>
                <w:szCs w:val="21"/>
              </w:rPr>
            </w:pPr>
            <w:r>
              <w:rPr>
                <w:rFonts w:hint="eastAsia"/>
                <w:color w:val="000000"/>
                <w:sz w:val="21"/>
                <w:szCs w:val="21"/>
              </w:rPr>
              <w:t>大连海关后勤管理中心</w:t>
            </w:r>
          </w:p>
        </w:tc>
        <w:tc>
          <w:tcPr>
            <w:tcW w:w="709" w:type="dxa"/>
            <w:noWrap/>
            <w:vAlign w:val="center"/>
          </w:tcPr>
          <w:p>
            <w:pPr>
              <w:overflowPunct/>
              <w:spacing w:line="240" w:lineRule="auto"/>
              <w:ind w:firstLineChars="0" w:firstLine="0"/>
              <w:jc w:val="center"/>
              <w:rPr>
                <w:rFonts w:eastAsia="方正黑体_GBK" w:cs="Times New Roman"/>
                <w:color w:val="000000"/>
                <w:sz w:val="21"/>
                <w:szCs w:val="21"/>
              </w:rPr>
            </w:pPr>
            <w:r>
              <w:rPr>
                <w:rFonts w:eastAsia="方正黑体_GBK" w:cs="Times New Roman"/>
                <w:color w:val="000000"/>
                <w:sz w:val="21"/>
                <w:szCs w:val="21"/>
              </w:rPr>
              <w:t>2</w:t>
            </w:r>
            <w:r>
              <w:rPr>
                <w:rFonts w:eastAsia="方正黑体_GBK" w:cs="Times New Roman" w:hint="eastAsia"/>
                <w:color w:val="000000"/>
                <w:sz w:val="21"/>
                <w:szCs w:val="21"/>
              </w:rPr>
              <w:t>0</w:t>
            </w:r>
          </w:p>
        </w:tc>
        <w:tc>
          <w:tcPr>
            <w:tcW w:w="3544" w:type="dxa"/>
            <w:noWrap/>
            <w:vAlign w:val="center"/>
          </w:tcPr>
          <w:p>
            <w:pPr>
              <w:overflowPunct/>
              <w:spacing w:line="240" w:lineRule="auto"/>
              <w:ind w:firstLineChars="0" w:firstLine="0"/>
              <w:jc w:val="left"/>
              <w:rPr>
                <w:rFonts w:ascii="宋体" w:eastAsia="宋体" w:cs="Times New Roman"/>
                <w:color w:val="000000"/>
                <w:sz w:val="21"/>
                <w:szCs w:val="21"/>
              </w:rPr>
            </w:pPr>
            <w:r>
              <w:rPr>
                <w:rFonts w:hint="eastAsia"/>
                <w:color w:val="000000"/>
                <w:sz w:val="21"/>
                <w:szCs w:val="21"/>
              </w:rPr>
              <w:t>七贤岭海关</w:t>
            </w:r>
          </w:p>
        </w:tc>
      </w:tr>
      <w:tr>
        <w:trPr>
          <w:trHeight w:val="624"/>
        </w:trPr>
        <w:tc>
          <w:tcPr>
            <w:tcW w:w="709" w:type="dxa"/>
            <w:noWrap/>
            <w:vAlign w:val="center"/>
          </w:tcPr>
          <w:p>
            <w:pPr>
              <w:overflowPunct/>
              <w:spacing w:line="240" w:lineRule="auto"/>
              <w:ind w:firstLineChars="0" w:firstLine="0"/>
              <w:jc w:val="center"/>
              <w:rPr>
                <w:rFonts w:eastAsia="方正黑体_GBK" w:cs="Times New Roman"/>
                <w:color w:val="000000"/>
                <w:sz w:val="21"/>
                <w:szCs w:val="21"/>
              </w:rPr>
            </w:pPr>
            <w:r>
              <w:rPr>
                <w:rFonts w:eastAsia="方正黑体_GBK" w:cs="Times New Roman"/>
                <w:color w:val="000000"/>
                <w:sz w:val="21"/>
                <w:szCs w:val="21"/>
              </w:rPr>
              <w:t>9</w:t>
            </w:r>
          </w:p>
        </w:tc>
        <w:tc>
          <w:tcPr>
            <w:tcW w:w="3402" w:type="dxa"/>
            <w:noWrap/>
            <w:vAlign w:val="center"/>
          </w:tcPr>
          <w:p>
            <w:pPr>
              <w:overflowPunct/>
              <w:spacing w:line="240" w:lineRule="auto"/>
              <w:ind w:firstLineChars="0" w:firstLine="0"/>
              <w:jc w:val="left"/>
              <w:rPr>
                <w:rFonts w:ascii="宋体" w:eastAsia="宋体" w:cs="Times New Roman"/>
                <w:color w:val="000000"/>
                <w:sz w:val="21"/>
                <w:szCs w:val="21"/>
              </w:rPr>
            </w:pPr>
            <w:r>
              <w:rPr>
                <w:rFonts w:hint="eastAsia"/>
                <w:color w:val="000000"/>
                <w:sz w:val="21"/>
                <w:szCs w:val="21"/>
              </w:rPr>
              <w:t>中国电子口岸数据中心大连分中心</w:t>
            </w:r>
          </w:p>
        </w:tc>
        <w:tc>
          <w:tcPr>
            <w:tcW w:w="709" w:type="dxa"/>
            <w:noWrap/>
            <w:vAlign w:val="center"/>
          </w:tcPr>
          <w:p>
            <w:pPr>
              <w:overflowPunct/>
              <w:spacing w:line="240" w:lineRule="auto"/>
              <w:ind w:firstLineChars="0" w:firstLine="0"/>
              <w:jc w:val="center"/>
              <w:rPr>
                <w:rFonts w:eastAsia="方正黑体_GBK" w:cs="Times New Roman"/>
                <w:color w:val="000000"/>
                <w:sz w:val="21"/>
                <w:szCs w:val="21"/>
              </w:rPr>
            </w:pPr>
            <w:r>
              <w:rPr>
                <w:rFonts w:eastAsia="方正黑体_GBK" w:cs="Times New Roman"/>
                <w:color w:val="000000"/>
                <w:sz w:val="21"/>
                <w:szCs w:val="21"/>
              </w:rPr>
              <w:t>2</w:t>
            </w:r>
            <w:r>
              <w:rPr>
                <w:rFonts w:eastAsia="方正黑体_GBK" w:cs="Times New Roman" w:hint="eastAsia"/>
                <w:color w:val="000000"/>
                <w:sz w:val="21"/>
                <w:szCs w:val="21"/>
              </w:rPr>
              <w:t>1</w:t>
            </w:r>
          </w:p>
        </w:tc>
        <w:tc>
          <w:tcPr>
            <w:tcW w:w="3544" w:type="dxa"/>
            <w:noWrap/>
            <w:vAlign w:val="center"/>
          </w:tcPr>
          <w:p>
            <w:pPr>
              <w:overflowPunct/>
              <w:spacing w:line="240" w:lineRule="auto"/>
              <w:ind w:firstLineChars="0" w:firstLine="0"/>
              <w:jc w:val="left"/>
              <w:rPr>
                <w:rFonts w:ascii="宋体" w:eastAsia="宋体" w:cs="Times New Roman"/>
                <w:color w:val="000000"/>
                <w:sz w:val="21"/>
                <w:szCs w:val="21"/>
              </w:rPr>
            </w:pPr>
            <w:r>
              <w:rPr>
                <w:rFonts w:hint="eastAsia"/>
                <w:color w:val="000000"/>
                <w:sz w:val="21"/>
                <w:szCs w:val="21"/>
              </w:rPr>
              <w:t>旅顺海关</w:t>
            </w:r>
          </w:p>
        </w:tc>
      </w:tr>
      <w:tr>
        <w:trPr>
          <w:trHeight w:val="624"/>
        </w:trPr>
        <w:tc>
          <w:tcPr>
            <w:tcW w:w="709" w:type="dxa"/>
            <w:noWrap/>
            <w:vAlign w:val="center"/>
          </w:tcPr>
          <w:p>
            <w:pPr>
              <w:overflowPunct/>
              <w:spacing w:line="240" w:lineRule="auto"/>
              <w:ind w:firstLineChars="0" w:firstLine="0"/>
              <w:jc w:val="center"/>
              <w:rPr>
                <w:rFonts w:eastAsia="方正黑体_GBK" w:cs="Times New Roman"/>
                <w:color w:val="000000"/>
                <w:sz w:val="21"/>
                <w:szCs w:val="21"/>
              </w:rPr>
            </w:pPr>
            <w:r>
              <w:rPr>
                <w:rFonts w:eastAsia="方正黑体_GBK" w:cs="Times New Roman"/>
                <w:color w:val="000000"/>
                <w:sz w:val="21"/>
                <w:szCs w:val="21"/>
              </w:rPr>
              <w:t>10</w:t>
            </w:r>
          </w:p>
        </w:tc>
        <w:tc>
          <w:tcPr>
            <w:tcW w:w="3402" w:type="dxa"/>
            <w:noWrap/>
            <w:vAlign w:val="center"/>
          </w:tcPr>
          <w:p>
            <w:pPr>
              <w:overflowPunct/>
              <w:spacing w:line="240" w:lineRule="auto"/>
              <w:ind w:firstLineChars="0" w:firstLine="0"/>
              <w:jc w:val="left"/>
              <w:rPr>
                <w:rFonts w:ascii="宋体" w:eastAsia="宋体" w:cs="Times New Roman"/>
                <w:color w:val="000000"/>
                <w:sz w:val="21"/>
                <w:szCs w:val="21"/>
              </w:rPr>
            </w:pPr>
            <w:r>
              <w:rPr>
                <w:rFonts w:hint="eastAsia"/>
                <w:color w:val="000000"/>
                <w:sz w:val="21"/>
                <w:szCs w:val="21"/>
              </w:rPr>
              <w:t>金石滩海关</w:t>
            </w:r>
          </w:p>
        </w:tc>
        <w:tc>
          <w:tcPr>
            <w:tcW w:w="709" w:type="dxa"/>
            <w:noWrap/>
            <w:vAlign w:val="center"/>
          </w:tcPr>
          <w:p>
            <w:pPr>
              <w:overflowPunct/>
              <w:spacing w:line="240" w:lineRule="auto"/>
              <w:ind w:firstLineChars="0" w:firstLine="0"/>
              <w:jc w:val="center"/>
              <w:rPr>
                <w:rFonts w:eastAsia="方正黑体_GBK" w:cs="Times New Roman"/>
                <w:color w:val="000000"/>
                <w:sz w:val="21"/>
                <w:szCs w:val="21"/>
              </w:rPr>
            </w:pPr>
            <w:r>
              <w:rPr>
                <w:rFonts w:eastAsia="方正黑体_GBK" w:cs="Times New Roman"/>
                <w:color w:val="000000"/>
                <w:sz w:val="21"/>
                <w:szCs w:val="21"/>
              </w:rPr>
              <w:t>2</w:t>
            </w:r>
            <w:r>
              <w:rPr>
                <w:rFonts w:eastAsia="方正黑体_GBK" w:cs="Times New Roman" w:hint="eastAsia"/>
                <w:color w:val="000000"/>
                <w:sz w:val="21"/>
                <w:szCs w:val="21"/>
              </w:rPr>
              <w:t>2</w:t>
            </w:r>
          </w:p>
        </w:tc>
        <w:tc>
          <w:tcPr>
            <w:tcW w:w="3544" w:type="dxa"/>
            <w:noWrap/>
            <w:vAlign w:val="center"/>
          </w:tcPr>
          <w:p>
            <w:pPr>
              <w:overflowPunct/>
              <w:spacing w:line="240" w:lineRule="auto"/>
              <w:ind w:firstLineChars="0" w:firstLine="0"/>
              <w:jc w:val="left"/>
              <w:rPr>
                <w:rFonts w:ascii="宋体" w:eastAsia="宋体" w:cs="Times New Roman"/>
                <w:color w:val="000000"/>
                <w:sz w:val="21"/>
                <w:szCs w:val="21"/>
              </w:rPr>
            </w:pPr>
            <w:r>
              <w:rPr>
                <w:rFonts w:hint="eastAsia"/>
                <w:color w:val="000000"/>
                <w:sz w:val="21"/>
                <w:szCs w:val="21"/>
              </w:rPr>
              <w:t>庄河海关</w:t>
            </w:r>
          </w:p>
        </w:tc>
      </w:tr>
      <w:tr>
        <w:trPr>
          <w:trHeight w:val="624"/>
        </w:trPr>
        <w:tc>
          <w:tcPr>
            <w:tcW w:w="709" w:type="dxa"/>
            <w:noWrap/>
            <w:vAlign w:val="center"/>
          </w:tcPr>
          <w:p>
            <w:pPr>
              <w:overflowPunct/>
              <w:spacing w:line="240" w:lineRule="auto"/>
              <w:ind w:firstLineChars="0" w:firstLine="0"/>
              <w:jc w:val="center"/>
              <w:rPr>
                <w:rFonts w:eastAsia="方正黑体_GBK" w:cs="Times New Roman"/>
                <w:color w:val="000000"/>
                <w:sz w:val="21"/>
                <w:szCs w:val="21"/>
              </w:rPr>
            </w:pPr>
            <w:r>
              <w:rPr>
                <w:rFonts w:eastAsia="方正黑体_GBK" w:cs="Times New Roman"/>
                <w:color w:val="000000"/>
                <w:sz w:val="21"/>
                <w:szCs w:val="21"/>
              </w:rPr>
              <w:t>11</w:t>
            </w:r>
          </w:p>
        </w:tc>
        <w:tc>
          <w:tcPr>
            <w:tcW w:w="3402" w:type="dxa"/>
            <w:noWrap/>
            <w:vAlign w:val="center"/>
          </w:tcPr>
          <w:p>
            <w:pPr>
              <w:overflowPunct/>
              <w:spacing w:line="240" w:lineRule="auto"/>
              <w:ind w:firstLineChars="0" w:firstLine="0"/>
              <w:jc w:val="left"/>
              <w:rPr>
                <w:rFonts w:ascii="宋体" w:eastAsia="宋体" w:cs="Times New Roman"/>
                <w:color w:val="000000"/>
                <w:sz w:val="21"/>
                <w:szCs w:val="21"/>
              </w:rPr>
            </w:pPr>
            <w:r>
              <w:rPr>
                <w:rFonts w:hint="eastAsia"/>
                <w:color w:val="000000"/>
                <w:sz w:val="21"/>
                <w:szCs w:val="21"/>
              </w:rPr>
              <w:t>大连港湾海关</w:t>
            </w:r>
          </w:p>
        </w:tc>
        <w:tc>
          <w:tcPr>
            <w:tcW w:w="709" w:type="dxa"/>
            <w:noWrap/>
            <w:vAlign w:val="center"/>
          </w:tcPr>
          <w:p>
            <w:pPr>
              <w:overflowPunct/>
              <w:spacing w:line="240" w:lineRule="auto"/>
              <w:ind w:firstLineChars="0" w:firstLine="0"/>
              <w:jc w:val="center"/>
              <w:rPr>
                <w:rFonts w:eastAsia="方正黑体_GBK" w:cs="Times New Roman"/>
                <w:color w:val="000000"/>
                <w:sz w:val="21"/>
                <w:szCs w:val="21"/>
              </w:rPr>
            </w:pPr>
            <w:r>
              <w:rPr>
                <w:rFonts w:eastAsia="方正黑体_GBK" w:cs="Times New Roman"/>
                <w:color w:val="000000"/>
                <w:sz w:val="21"/>
                <w:szCs w:val="21"/>
              </w:rPr>
              <w:t>2</w:t>
            </w:r>
            <w:r>
              <w:rPr>
                <w:rFonts w:eastAsia="方正黑体_GBK" w:cs="Times New Roman" w:hint="eastAsia"/>
                <w:color w:val="000000"/>
                <w:sz w:val="21"/>
                <w:szCs w:val="21"/>
              </w:rPr>
              <w:t>3</w:t>
            </w:r>
          </w:p>
        </w:tc>
        <w:tc>
          <w:tcPr>
            <w:tcW w:w="3544" w:type="dxa"/>
            <w:noWrap/>
            <w:vAlign w:val="center"/>
          </w:tcPr>
          <w:p>
            <w:pPr>
              <w:overflowPunct/>
              <w:spacing w:line="240" w:lineRule="auto"/>
              <w:ind w:firstLineChars="0" w:firstLine="0"/>
              <w:jc w:val="left"/>
              <w:rPr>
                <w:rFonts w:ascii="宋体" w:eastAsia="宋体" w:cs="Times New Roman"/>
                <w:color w:val="000000"/>
                <w:sz w:val="21"/>
                <w:szCs w:val="21"/>
              </w:rPr>
            </w:pPr>
            <w:r>
              <w:rPr>
                <w:rFonts w:hint="eastAsia"/>
                <w:color w:val="000000"/>
                <w:sz w:val="21"/>
                <w:szCs w:val="21"/>
              </w:rPr>
              <w:t>大连长兴岛海关</w:t>
            </w:r>
          </w:p>
        </w:tc>
      </w:tr>
      <w:tr>
        <w:trPr>
          <w:trHeight w:val="624"/>
        </w:trPr>
        <w:tc>
          <w:tcPr>
            <w:tcW w:w="709" w:type="dxa"/>
            <w:noWrap/>
            <w:vAlign w:val="center"/>
          </w:tcPr>
          <w:p>
            <w:pPr>
              <w:overflowPunct/>
              <w:spacing w:line="240" w:lineRule="auto"/>
              <w:ind w:firstLineChars="0" w:firstLine="0"/>
              <w:jc w:val="center"/>
              <w:rPr>
                <w:rFonts w:eastAsia="方正黑体_GBK" w:cs="Times New Roman"/>
                <w:color w:val="000000"/>
                <w:sz w:val="21"/>
                <w:szCs w:val="21"/>
              </w:rPr>
            </w:pPr>
            <w:r>
              <w:rPr>
                <w:rFonts w:eastAsia="方正黑体_GBK" w:cs="Times New Roman"/>
                <w:color w:val="000000"/>
                <w:sz w:val="21"/>
                <w:szCs w:val="21"/>
              </w:rPr>
              <w:t>12</w:t>
            </w:r>
          </w:p>
        </w:tc>
        <w:tc>
          <w:tcPr>
            <w:tcW w:w="3402" w:type="dxa"/>
            <w:noWrap/>
            <w:vAlign w:val="center"/>
          </w:tcPr>
          <w:p>
            <w:pPr>
              <w:overflowPunct/>
              <w:spacing w:line="240" w:lineRule="auto"/>
              <w:ind w:firstLineChars="0" w:firstLine="0"/>
              <w:jc w:val="left"/>
              <w:rPr>
                <w:rFonts w:ascii="宋体" w:eastAsia="宋体" w:cs="Times New Roman"/>
                <w:color w:val="000000"/>
                <w:sz w:val="21"/>
                <w:szCs w:val="21"/>
              </w:rPr>
            </w:pPr>
            <w:r>
              <w:rPr>
                <w:rFonts w:hint="eastAsia"/>
                <w:color w:val="000000"/>
                <w:sz w:val="21"/>
                <w:szCs w:val="21"/>
              </w:rPr>
              <w:t>大连周水子机场海关</w:t>
            </w:r>
          </w:p>
        </w:tc>
        <w:tc>
          <w:tcPr>
            <w:tcW w:w="709" w:type="dxa"/>
            <w:noWrap/>
            <w:vAlign w:val="center"/>
          </w:tcPr>
          <w:p>
            <w:pPr>
              <w:overflowPunct/>
              <w:spacing w:line="240" w:lineRule="auto"/>
              <w:ind w:firstLineChars="0" w:firstLine="0"/>
              <w:jc w:val="center"/>
              <w:rPr>
                <w:rFonts w:eastAsia="方正黑体_GBK" w:cs="Times New Roman"/>
                <w:color w:val="000000"/>
                <w:sz w:val="21"/>
                <w:szCs w:val="21"/>
              </w:rPr>
            </w:pPr>
            <w:r>
              <w:rPr>
                <w:rFonts w:eastAsia="方正黑体_GBK" w:cs="Times New Roman" w:hint="eastAsia"/>
                <w:color w:val="000000"/>
                <w:sz w:val="21"/>
                <w:szCs w:val="21"/>
              </w:rPr>
              <w:t>24</w:t>
            </w:r>
          </w:p>
        </w:tc>
        <w:tc>
          <w:tcPr>
            <w:tcW w:w="3544" w:type="dxa"/>
            <w:noWrap/>
            <w:vAlign w:val="center"/>
          </w:tcPr>
          <w:p>
            <w:pPr>
              <w:overflowPunct/>
              <w:spacing w:line="240" w:lineRule="auto"/>
              <w:ind w:firstLineChars="0" w:firstLine="0"/>
              <w:jc w:val="left"/>
              <w:rPr>
                <w:rFonts w:ascii="宋体" w:eastAsia="宋体" w:cs="Times New Roman"/>
                <w:color w:val="000000"/>
                <w:sz w:val="21"/>
                <w:szCs w:val="21"/>
              </w:rPr>
            </w:pPr>
            <w:r>
              <w:rPr>
                <w:rFonts w:hint="eastAsia"/>
                <w:color w:val="000000"/>
                <w:sz w:val="21"/>
                <w:szCs w:val="21"/>
              </w:rPr>
              <w:t>本溪海关</w:t>
            </w:r>
          </w:p>
        </w:tc>
      </w:tr>
    </w:tbl>
    <w:p>
      <w:pPr>
        <w:widowControl/>
        <w:overflowPunct/>
        <w:spacing w:line="240" w:lineRule="auto"/>
        <w:ind w:firstLineChars="0" w:firstLine="0"/>
        <w:jc w:val="left"/>
      </w:pPr>
      <w:r>
        <w:br w:type="page"/>
      </w:r>
    </w:p>
    <w:p>
      <w:pPr>
        <w:spacing w:line="240" w:lineRule="auto"/>
        <w:ind w:firstLineChars="0" w:firstLine="0"/>
        <w:jc w:val="center"/>
        <w:rPr>
          <w:rFonts w:ascii="方正小标宋_GBK" w:eastAsia="方正小标宋_GBK"/>
          <w:sz w:val="72"/>
          <w:szCs w:val="72"/>
        </w:rPr>
      </w:pPr>
    </w:p>
    <w:p>
      <w:pPr>
        <w:spacing w:line="240" w:lineRule="auto"/>
        <w:ind w:firstLineChars="0" w:firstLine="0"/>
        <w:jc w:val="center"/>
        <w:rPr>
          <w:rFonts w:ascii="方正小标宋_GBK" w:eastAsia="方正小标宋_GBK"/>
          <w:sz w:val="72"/>
          <w:szCs w:val="72"/>
        </w:rPr>
      </w:pPr>
    </w:p>
    <w:p>
      <w:pPr>
        <w:spacing w:line="240" w:lineRule="auto"/>
        <w:ind w:firstLineChars="0" w:firstLine="0"/>
        <w:jc w:val="center"/>
        <w:rPr>
          <w:rFonts w:ascii="方正小标宋_GBK" w:eastAsia="方正小标宋_GBK"/>
          <w:sz w:val="72"/>
          <w:szCs w:val="72"/>
        </w:rPr>
      </w:pPr>
    </w:p>
    <w:p>
      <w:pPr>
        <w:spacing w:line="240" w:lineRule="auto"/>
        <w:ind w:firstLineChars="0" w:firstLine="0"/>
        <w:jc w:val="center"/>
        <w:rPr>
          <w:rFonts w:ascii="方正小标宋_GBK" w:eastAsia="方正小标宋_GBK"/>
          <w:sz w:val="72"/>
          <w:szCs w:val="72"/>
        </w:rPr>
      </w:pPr>
    </w:p>
    <w:p>
      <w:pPr>
        <w:spacing w:line="240" w:lineRule="auto"/>
        <w:ind w:firstLineChars="0" w:firstLine="0"/>
        <w:jc w:val="center"/>
        <w:outlineLvl w:val="0"/>
        <w:rPr>
          <w:rFonts w:ascii="方正小标宋_GBK" w:eastAsia="方正小标宋_GBK"/>
          <w:sz w:val="84"/>
          <w:szCs w:val="84"/>
        </w:rPr>
      </w:pPr>
      <w:r>
        <w:rPr>
          <w:rFonts w:ascii="方正小标宋_GBK" w:eastAsia="方正小标宋_GBK" w:hint="eastAsia"/>
          <w:sz w:val="84"/>
          <w:szCs w:val="84"/>
        </w:rPr>
        <w:t>第二部分</w:t>
      </w:r>
      <w:r>
        <w:rPr>
          <w:rFonts w:ascii="方正小标宋_GBK" w:eastAsia="方正小标宋_GBK"/>
          <w:sz w:val="84"/>
          <w:szCs w:val="84"/>
        </w:rPr>
        <w:br/>
      </w:r>
      <w:r>
        <w:rPr>
          <w:rFonts w:ascii="方正小标宋_GBK" w:eastAsia="方正小标宋_GBK" w:hint="eastAsia"/>
          <w:sz w:val="84"/>
          <w:szCs w:val="84"/>
        </w:rPr>
        <w:t>大连海关2025年</w:t>
      </w:r>
      <w:r>
        <w:rPr>
          <w:rFonts w:ascii="方正小标宋_GBK" w:eastAsia="方正小标宋_GBK"/>
          <w:sz w:val="84"/>
          <w:szCs w:val="84"/>
        </w:rPr>
        <w:br/>
      </w:r>
      <w:r>
        <w:rPr>
          <w:rFonts w:ascii="方正小标宋_GBK" w:eastAsia="方正小标宋_GBK" w:hint="eastAsia"/>
          <w:sz w:val="84"/>
          <w:szCs w:val="84"/>
        </w:rPr>
        <w:t>部门预算表</w:t>
      </w:r>
    </w:p>
    <w:p>
      <w:pPr>
        <w:widowControl/>
        <w:overflowPunct/>
        <w:spacing w:line="240" w:lineRule="auto"/>
        <w:ind w:firstLineChars="0" w:firstLine="0"/>
        <w:jc w:val="left"/>
        <w:rPr>
          <w:rFonts w:ascii="方正小标宋_GBK" w:eastAsia="方正小标宋_GBK"/>
          <w:sz w:val="84"/>
          <w:szCs w:val="84"/>
        </w:rPr>
      </w:pPr>
      <w:r>
        <w:rPr>
          <w:rFonts w:ascii="方正小标宋_GBK" w:eastAsia="方正小标宋_GBK"/>
          <w:sz w:val="84"/>
          <w:szCs w:val="84"/>
        </w:rPr>
        <w:br w:type="page"/>
      </w:r>
    </w:p>
    <w:p>
      <w:pPr>
        <w:pStyle w:val="22"/>
        <w:sectPr>
          <w:headerReference w:type="default" r:id="rId2"/>
          <w:headerReference w:type="first" r:id="rId3"/>
          <w:footerReference w:type="default" r:id="rId4"/>
          <w:pgSz w:w="11906" w:h="16838"/>
          <w:pgMar w:top="1440" w:right="1800" w:bottom="1440" w:left="1800" w:header="851" w:footer="992" w:gutter="0"/>
          <w:pgNumType w:start="0"/>
          <w:titlePg/>
          <w:docGrid w:type="lines" w:linePitch="435" w:charSpace="0"/>
        </w:sectPr>
      </w:pPr>
    </w:p>
    <w:p>
      <w:pPr>
        <w:pStyle w:val="22"/>
        <w:outlineLvl w:val="1"/>
      </w:pPr>
      <w:r>
        <w:rPr>
          <w:rFonts w:hint="eastAsia"/>
        </w:rPr>
        <w:t>一、部门收支总表</w:t>
      </w:r>
    </w:p>
    <w:tbl>
      <w:tblPr>
        <w:jc w:val="center"/>
        <w:tblW w:w="13892"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3686"/>
        <w:gridCol w:w="3260"/>
        <w:gridCol w:w="3827"/>
        <w:gridCol w:w="3119"/>
      </w:tblGrid>
      <w:tr>
        <w:trPr>
          <w:trHeight w:val="319"/>
        </w:trPr>
        <w:tc>
          <w:tcPr>
            <w:tcW w:w="10773" w:type="dxa"/>
            <w:gridSpan w:val="3"/>
            <w:tcBorders>
              <w:top w:val="nil"/>
              <w:left w:val="nil"/>
              <w:bottom w:val="nil"/>
              <w:right w:val="nil"/>
            </w:tcBorders>
            <w:shd w:val="clear" w:color="auto" w:fill="auto"/>
            <w:noWrap/>
            <w:vAlign w:val="center"/>
          </w:tcPr>
          <w:p>
            <w:pPr>
              <w:widowControl/>
              <w:overflowPunct/>
              <w:spacing w:line="240" w:lineRule="auto"/>
              <w:ind w:firstLineChars="0" w:firstLine="0"/>
              <w:jc w:val="left"/>
              <w:rPr>
                <w:rFonts w:eastAsia="宋体" w:cs="宋体"/>
                <w:kern w:val="0"/>
                <w:sz w:val="24"/>
                <w:szCs w:val="24"/>
              </w:rPr>
            </w:pPr>
          </w:p>
        </w:tc>
        <w:tc>
          <w:tcPr>
            <w:tcW w:w="3119" w:type="dxa"/>
            <w:tcBorders>
              <w:top w:val="nil"/>
              <w:left w:val="nil"/>
              <w:bottom w:val="nil"/>
              <w:right w:val="nil"/>
            </w:tcBorders>
            <w:shd w:val="clear" w:color="auto" w:fill="auto"/>
            <w:noWrap/>
            <w:vAlign w:val="center"/>
          </w:tcPr>
          <w:p>
            <w:pPr>
              <w:widowControl/>
              <w:overflowPunct/>
              <w:spacing w:line="240" w:lineRule="auto"/>
              <w:ind w:firstLineChars="0" w:firstLine="0"/>
              <w:jc w:val="right"/>
              <w:rPr>
                <w:rFonts w:eastAsia="黑体" w:cs="宋体"/>
                <w:color w:val="000000"/>
                <w:kern w:val="0"/>
                <w:sz w:val="20"/>
                <w:szCs w:val="20"/>
              </w:rPr>
            </w:pPr>
            <w:r>
              <w:rPr>
                <w:rFonts w:eastAsia="黑体" w:cs="宋体" w:hint="eastAsia"/>
                <w:color w:val="000000"/>
                <w:kern w:val="0"/>
                <w:sz w:val="20"/>
                <w:szCs w:val="20"/>
              </w:rPr>
              <w:t>部门公开表1</w:t>
            </w:r>
          </w:p>
        </w:tc>
      </w:tr>
      <w:tr>
        <w:trPr>
          <w:trHeight w:val="540"/>
        </w:trPr>
        <w:tc>
          <w:tcPr>
            <w:tcW w:w="13892" w:type="dxa"/>
            <w:gridSpan w:val="4"/>
            <w:tcBorders>
              <w:top w:val="nil"/>
              <w:left w:val="nil"/>
              <w:bottom w:val="nil"/>
              <w:right w:val="nil"/>
            </w:tcBorders>
            <w:shd w:val="clear" w:color="auto" w:fill="auto"/>
            <w:noWrap/>
            <w:vAlign w:val="center"/>
          </w:tcPr>
          <w:p>
            <w:pPr>
              <w:widowControl/>
              <w:overflowPunct/>
              <w:spacing w:line="240" w:lineRule="auto"/>
              <w:ind w:firstLineChars="0" w:firstLine="0"/>
              <w:jc w:val="center"/>
              <w:rPr>
                <w:rFonts w:eastAsia="宋体" w:cs="宋体"/>
                <w:color w:val="000000"/>
                <w:kern w:val="0"/>
                <w:sz w:val="36"/>
                <w:szCs w:val="36"/>
              </w:rPr>
            </w:pPr>
            <w:r>
              <w:rPr>
                <w:rFonts w:eastAsia="宋体" w:cs="宋体" w:hint="eastAsia"/>
                <w:color w:val="000000"/>
                <w:kern w:val="0"/>
                <w:sz w:val="36"/>
                <w:szCs w:val="36"/>
              </w:rPr>
              <w:t>部门收支总表</w:t>
            </w:r>
          </w:p>
        </w:tc>
      </w:tr>
      <w:tr>
        <w:trPr>
          <w:trHeight w:val="360"/>
        </w:trPr>
        <w:tc>
          <w:tcPr>
            <w:tcW w:w="3686" w:type="dxa"/>
            <w:tcBorders>
              <w:top w:val="nil"/>
              <w:left w:val="nil"/>
              <w:bottom w:val="single" w:sz="4" w:space="0" w:color="auto"/>
              <w:right w:val="nil"/>
            </w:tcBorders>
            <w:shd w:val="clear" w:color="auto" w:fill="auto"/>
            <w:noWrap/>
            <w:vAlign w:val="center"/>
          </w:tcPr>
          <w:p>
            <w:pPr>
              <w:widowControl/>
              <w:overflowPunct/>
              <w:spacing w:line="240" w:lineRule="auto"/>
              <w:ind w:firstLineChars="0" w:firstLine="0"/>
              <w:jc w:val="left"/>
              <w:rPr>
                <w:rFonts w:eastAsia="宋体" w:cs="宋体"/>
                <w:color w:val="000000"/>
                <w:kern w:val="0"/>
                <w:sz w:val="18"/>
                <w:szCs w:val="18"/>
              </w:rPr>
            </w:pPr>
            <w:r>
              <w:rPr>
                <w:rFonts w:eastAsia="宋体" w:cs="宋体" w:hint="eastAsia"/>
                <w:color w:val="000000"/>
                <w:kern w:val="0"/>
                <w:sz w:val="18"/>
                <w:szCs w:val="18"/>
              </w:rPr>
              <w:t>　</w:t>
            </w:r>
          </w:p>
        </w:tc>
        <w:tc>
          <w:tcPr>
            <w:tcW w:w="3260" w:type="dxa"/>
            <w:tcBorders>
              <w:top w:val="nil"/>
              <w:left w:val="nil"/>
              <w:bottom w:val="single" w:sz="4" w:space="0" w:color="auto"/>
              <w:right w:val="nil"/>
            </w:tcBorders>
            <w:shd w:val="clear" w:color="auto" w:fill="auto"/>
            <w:noWrap/>
            <w:vAlign w:val="center"/>
          </w:tcPr>
          <w:p>
            <w:pPr>
              <w:widowControl/>
              <w:overflowPunct/>
              <w:spacing w:line="240" w:lineRule="auto"/>
              <w:ind w:firstLineChars="0" w:firstLine="0"/>
              <w:jc w:val="left"/>
              <w:rPr>
                <w:rFonts w:eastAsia="宋体" w:cs="宋体"/>
                <w:color w:val="000000"/>
                <w:kern w:val="0"/>
                <w:sz w:val="22"/>
              </w:rPr>
            </w:pPr>
            <w:r>
              <w:rPr>
                <w:rFonts w:eastAsia="宋体" w:cs="宋体" w:hint="eastAsia"/>
                <w:color w:val="000000"/>
                <w:kern w:val="0"/>
                <w:sz w:val="22"/>
              </w:rPr>
              <w:t>　</w:t>
            </w:r>
          </w:p>
        </w:tc>
        <w:tc>
          <w:tcPr>
            <w:tcW w:w="3827" w:type="dxa"/>
            <w:tcBorders>
              <w:top w:val="nil"/>
              <w:left w:val="nil"/>
              <w:bottom w:val="single" w:sz="4" w:space="0" w:color="auto"/>
              <w:right w:val="nil"/>
            </w:tcBorders>
            <w:shd w:val="clear" w:color="auto" w:fill="auto"/>
            <w:noWrap/>
            <w:vAlign w:val="center"/>
          </w:tcPr>
          <w:p>
            <w:pPr>
              <w:widowControl/>
              <w:overflowPunct/>
              <w:spacing w:line="240" w:lineRule="auto"/>
              <w:ind w:firstLineChars="0" w:firstLine="0"/>
              <w:jc w:val="left"/>
              <w:rPr>
                <w:rFonts w:eastAsia="宋体" w:cs="宋体"/>
                <w:color w:val="000000"/>
                <w:kern w:val="0"/>
                <w:sz w:val="22"/>
              </w:rPr>
            </w:pPr>
            <w:r>
              <w:rPr>
                <w:rFonts w:eastAsia="宋体" w:cs="宋体" w:hint="eastAsia"/>
                <w:color w:val="000000"/>
                <w:kern w:val="0"/>
                <w:sz w:val="22"/>
              </w:rPr>
              <w:t>　</w:t>
            </w:r>
          </w:p>
        </w:tc>
        <w:tc>
          <w:tcPr>
            <w:tcW w:w="3119" w:type="dxa"/>
            <w:tcBorders>
              <w:top w:val="nil"/>
              <w:left w:val="nil"/>
              <w:bottom w:val="nil"/>
              <w:right w:val="nil"/>
            </w:tcBorders>
            <w:shd w:val="clear" w:color="auto" w:fill="auto"/>
            <w:noWrap/>
            <w:vAlign w:val="center"/>
          </w:tcPr>
          <w:p>
            <w:pPr>
              <w:widowControl/>
              <w:overflowPunct/>
              <w:spacing w:line="240" w:lineRule="auto"/>
              <w:ind w:firstLineChars="0" w:firstLine="0"/>
              <w:jc w:val="right"/>
              <w:rPr>
                <w:rFonts w:eastAsia="宋体" w:cs="宋体"/>
                <w:color w:val="000000"/>
                <w:kern w:val="0"/>
                <w:sz w:val="20"/>
                <w:szCs w:val="20"/>
              </w:rPr>
            </w:pPr>
            <w:r>
              <w:rPr>
                <w:rFonts w:eastAsia="宋体" w:cs="宋体" w:hint="eastAsia"/>
                <w:color w:val="000000"/>
                <w:kern w:val="0"/>
                <w:sz w:val="20"/>
                <w:szCs w:val="20"/>
              </w:rPr>
              <w:t>单位：万元</w:t>
            </w:r>
          </w:p>
        </w:tc>
      </w:tr>
      <w:tr>
        <w:trPr>
          <w:trHeight w:val="360"/>
        </w:trPr>
        <w:tc>
          <w:tcPr>
            <w:tcW w:w="69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overflowPunct/>
              <w:spacing w:line="240" w:lineRule="auto"/>
              <w:ind w:firstLineChars="0" w:firstLine="0"/>
              <w:jc w:val="center"/>
              <w:rPr>
                <w:rFonts w:eastAsia="宋体" w:cs="宋体"/>
                <w:color w:val="000000"/>
                <w:kern w:val="0"/>
                <w:sz w:val="20"/>
                <w:szCs w:val="20"/>
              </w:rPr>
            </w:pPr>
            <w:r>
              <w:rPr>
                <w:rFonts w:eastAsia="宋体" w:cs="宋体" w:hint="eastAsia"/>
                <w:color w:val="000000"/>
                <w:kern w:val="0"/>
                <w:sz w:val="20"/>
                <w:szCs w:val="20"/>
              </w:rPr>
              <w:t>收      入</w:t>
            </w:r>
          </w:p>
        </w:tc>
        <w:tc>
          <w:tcPr>
            <w:tcW w:w="6946" w:type="dxa"/>
            <w:gridSpan w:val="2"/>
            <w:tcBorders>
              <w:top w:val="single" w:sz="4" w:space="0" w:color="auto"/>
              <w:left w:val="nil"/>
              <w:bottom w:val="single" w:sz="4" w:space="0" w:color="auto"/>
              <w:right w:val="single" w:sz="4" w:space="0" w:color="auto"/>
            </w:tcBorders>
            <w:shd w:val="clear" w:color="auto" w:fill="auto"/>
            <w:vAlign w:val="center"/>
          </w:tcPr>
          <w:p>
            <w:pPr>
              <w:widowControl/>
              <w:overflowPunct/>
              <w:spacing w:line="240" w:lineRule="auto"/>
              <w:ind w:firstLineChars="0" w:firstLine="0"/>
              <w:jc w:val="center"/>
              <w:rPr>
                <w:rFonts w:eastAsia="宋体" w:cs="宋体"/>
                <w:color w:val="000000"/>
                <w:kern w:val="0"/>
                <w:sz w:val="20"/>
                <w:szCs w:val="20"/>
              </w:rPr>
            </w:pPr>
            <w:r>
              <w:rPr>
                <w:rFonts w:eastAsia="宋体" w:cs="宋体" w:hint="eastAsia"/>
                <w:color w:val="000000"/>
                <w:kern w:val="0"/>
                <w:sz w:val="20"/>
                <w:szCs w:val="20"/>
              </w:rPr>
              <w:t>支      出</w:t>
            </w:r>
          </w:p>
        </w:tc>
      </w:tr>
      <w:tr>
        <w:trPr>
          <w:trHeight w:val="360"/>
        </w:trPr>
        <w:tc>
          <w:tcPr>
            <w:tcW w:w="3686" w:type="dxa"/>
            <w:tcBorders>
              <w:top w:val="nil"/>
              <w:left w:val="single" w:sz="4" w:space="0" w:color="auto"/>
              <w:bottom w:val="single" w:sz="4" w:space="0" w:color="auto"/>
              <w:right w:val="single" w:sz="4" w:space="0" w:color="auto"/>
            </w:tcBorders>
            <w:shd w:val="clear" w:color="auto" w:fill="auto"/>
            <w:vAlign w:val="center"/>
          </w:tcPr>
          <w:p>
            <w:pPr>
              <w:widowControl/>
              <w:overflowPunct/>
              <w:spacing w:line="240" w:lineRule="auto"/>
              <w:ind w:firstLineChars="0" w:firstLine="0"/>
              <w:jc w:val="center"/>
              <w:rPr>
                <w:rFonts w:eastAsia="宋体" w:cs="宋体"/>
                <w:color w:val="000000"/>
                <w:kern w:val="0"/>
                <w:sz w:val="20"/>
                <w:szCs w:val="20"/>
              </w:rPr>
            </w:pPr>
            <w:r>
              <w:rPr>
                <w:rFonts w:eastAsia="宋体" w:cs="宋体" w:hint="eastAsia"/>
                <w:color w:val="000000"/>
                <w:kern w:val="0"/>
                <w:sz w:val="20"/>
                <w:szCs w:val="20"/>
              </w:rPr>
              <w:t>项    目</w:t>
            </w:r>
          </w:p>
        </w:tc>
        <w:tc>
          <w:tcPr>
            <w:tcW w:w="3260" w:type="dxa"/>
            <w:tcBorders>
              <w:top w:val="nil"/>
              <w:left w:val="nil"/>
              <w:bottom w:val="single" w:sz="4" w:space="0" w:color="auto"/>
              <w:right w:val="single" w:sz="4" w:space="0" w:color="auto"/>
            </w:tcBorders>
            <w:shd w:val="clear" w:color="auto" w:fill="auto"/>
            <w:vAlign w:val="center"/>
          </w:tcPr>
          <w:p>
            <w:pPr>
              <w:widowControl/>
              <w:overflowPunct/>
              <w:spacing w:line="240" w:lineRule="auto"/>
              <w:ind w:firstLineChars="0" w:firstLine="0"/>
              <w:jc w:val="center"/>
              <w:rPr>
                <w:rFonts w:eastAsia="宋体" w:cs="宋体"/>
                <w:color w:val="000000"/>
                <w:kern w:val="0"/>
                <w:sz w:val="20"/>
                <w:szCs w:val="20"/>
              </w:rPr>
            </w:pPr>
            <w:r>
              <w:rPr>
                <w:rFonts w:eastAsia="宋体" w:cs="宋体" w:hint="eastAsia"/>
                <w:color w:val="000000"/>
                <w:kern w:val="0"/>
                <w:sz w:val="20"/>
                <w:szCs w:val="20"/>
              </w:rPr>
              <w:t>预算数</w:t>
            </w:r>
          </w:p>
        </w:tc>
        <w:tc>
          <w:tcPr>
            <w:tcW w:w="3827" w:type="dxa"/>
            <w:tcBorders>
              <w:top w:val="nil"/>
              <w:left w:val="nil"/>
              <w:bottom w:val="single" w:sz="4" w:space="0" w:color="auto"/>
              <w:right w:val="single" w:sz="4" w:space="0" w:color="auto"/>
            </w:tcBorders>
            <w:shd w:val="clear" w:color="auto" w:fill="auto"/>
            <w:vAlign w:val="center"/>
          </w:tcPr>
          <w:p>
            <w:pPr>
              <w:widowControl/>
              <w:overflowPunct/>
              <w:spacing w:line="240" w:lineRule="auto"/>
              <w:ind w:firstLineChars="0" w:firstLine="0"/>
              <w:jc w:val="center"/>
              <w:rPr>
                <w:rFonts w:eastAsia="宋体" w:cs="宋体"/>
                <w:color w:val="000000"/>
                <w:kern w:val="0"/>
                <w:sz w:val="20"/>
                <w:szCs w:val="20"/>
              </w:rPr>
            </w:pPr>
            <w:r>
              <w:rPr>
                <w:rFonts w:eastAsia="宋体" w:cs="宋体" w:hint="eastAsia"/>
                <w:color w:val="000000"/>
                <w:kern w:val="0"/>
                <w:sz w:val="20"/>
                <w:szCs w:val="20"/>
              </w:rPr>
              <w:t>项    目</w:t>
            </w:r>
          </w:p>
        </w:tc>
        <w:tc>
          <w:tcPr>
            <w:tcW w:w="3119" w:type="dxa"/>
            <w:tcBorders>
              <w:top w:val="nil"/>
              <w:left w:val="nil"/>
              <w:bottom w:val="single" w:sz="4" w:space="0" w:color="auto"/>
              <w:right w:val="single" w:sz="4" w:space="0" w:color="auto"/>
            </w:tcBorders>
            <w:shd w:val="clear" w:color="auto" w:fill="auto"/>
            <w:vAlign w:val="center"/>
          </w:tcPr>
          <w:p>
            <w:pPr>
              <w:widowControl/>
              <w:overflowPunct/>
              <w:spacing w:line="240" w:lineRule="auto"/>
              <w:ind w:firstLineChars="0" w:firstLine="0"/>
              <w:jc w:val="center"/>
              <w:rPr>
                <w:rFonts w:eastAsia="宋体" w:cs="宋体"/>
                <w:color w:val="000000"/>
                <w:kern w:val="0"/>
                <w:sz w:val="20"/>
                <w:szCs w:val="20"/>
              </w:rPr>
            </w:pPr>
            <w:r>
              <w:rPr>
                <w:rFonts w:eastAsia="宋体" w:cs="宋体" w:hint="eastAsia"/>
                <w:color w:val="000000"/>
                <w:kern w:val="0"/>
                <w:sz w:val="20"/>
                <w:szCs w:val="20"/>
              </w:rPr>
              <w:t>预算数</w:t>
            </w:r>
          </w:p>
        </w:tc>
      </w:tr>
      <w:tr>
        <w:trPr>
          <w:trHeight w:val="360"/>
        </w:trPr>
        <w:tc>
          <w:tcPr>
            <w:tcW w:w="3686" w:type="dxa"/>
            <w:tcBorders>
              <w:top w:val="nil"/>
              <w:left w:val="single" w:sz="4" w:space="0" w:color="auto"/>
              <w:bottom w:val="single" w:sz="4" w:space="0" w:color="auto"/>
              <w:right w:val="single" w:sz="4" w:space="0" w:color="auto"/>
            </w:tcBorders>
            <w:shd w:val="clear" w:color="auto" w:fill="auto"/>
            <w:noWrap/>
            <w:vAlign w:val="center"/>
          </w:tcPr>
          <w:p>
            <w:pPr>
              <w:widowControl/>
              <w:overflowPunct/>
              <w:spacing w:line="240" w:lineRule="auto"/>
              <w:ind w:firstLineChars="0" w:firstLine="0"/>
              <w:jc w:val="left"/>
              <w:rPr>
                <w:rFonts w:eastAsia="宋体" w:cs="宋体"/>
                <w:color w:val="000000"/>
                <w:kern w:val="0"/>
                <w:sz w:val="20"/>
                <w:szCs w:val="20"/>
              </w:rPr>
            </w:pPr>
            <w:r>
              <w:rPr>
                <w:rFonts w:eastAsia="宋体" w:cs="宋体" w:hint="eastAsia"/>
                <w:color w:val="000000"/>
                <w:kern w:val="0"/>
                <w:sz w:val="20"/>
                <w:szCs w:val="20"/>
              </w:rPr>
              <w:t>一、一般公共预算拨款收入</w:t>
            </w:r>
          </w:p>
        </w:tc>
        <w:tc>
          <w:tcPr>
            <w:tcW w:w="3260"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right"/>
              <w:rPr>
                <w:rFonts w:eastAsia="宋体" w:cs="Times New Roman"/>
                <w:color w:val="000000"/>
                <w:kern w:val="0"/>
                <w:sz w:val="20"/>
                <w:szCs w:val="20"/>
              </w:rPr>
            </w:pPr>
            <w:r>
              <w:rPr>
                <w:rFonts w:cs="Calibri" w:hint="eastAsia"/>
                <w:sz w:val="20"/>
                <w:szCs w:val="20"/>
              </w:rPr>
              <w:t>91,539.51</w:t>
            </w:r>
          </w:p>
        </w:tc>
        <w:tc>
          <w:tcPr>
            <w:tcW w:w="3827"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left"/>
              <w:rPr>
                <w:rFonts w:eastAsia="宋体" w:cs="Times New Roman"/>
                <w:color w:val="000000"/>
                <w:kern w:val="0"/>
                <w:sz w:val="20"/>
                <w:szCs w:val="20"/>
              </w:rPr>
            </w:pPr>
            <w:r>
              <w:rPr>
                <w:rFonts w:eastAsia="宋体" w:cs="Times New Roman" w:hint="eastAsia"/>
                <w:color w:val="000000"/>
                <w:kern w:val="0"/>
                <w:sz w:val="20"/>
                <w:szCs w:val="20"/>
              </w:rPr>
              <w:t>一、一般公共服务支出</w:t>
            </w:r>
          </w:p>
        </w:tc>
        <w:tc>
          <w:tcPr>
            <w:tcW w:w="3119"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right"/>
              <w:rPr>
                <w:rFonts w:eastAsia="宋体" w:cs="Times New Roman"/>
                <w:color w:val="000000"/>
                <w:kern w:val="0"/>
                <w:sz w:val="20"/>
                <w:szCs w:val="20"/>
              </w:rPr>
            </w:pPr>
            <w:r>
              <w:rPr>
                <w:rFonts w:cs="Calibri" w:hint="eastAsia"/>
                <w:sz w:val="20"/>
                <w:szCs w:val="20"/>
              </w:rPr>
              <w:t>109,685.34</w:t>
            </w:r>
          </w:p>
        </w:tc>
      </w:tr>
      <w:tr>
        <w:trPr>
          <w:trHeight w:val="360"/>
        </w:trPr>
        <w:tc>
          <w:tcPr>
            <w:tcW w:w="3686" w:type="dxa"/>
            <w:tcBorders>
              <w:top w:val="nil"/>
              <w:left w:val="single" w:sz="4" w:space="0" w:color="auto"/>
              <w:bottom w:val="single" w:sz="4" w:space="0" w:color="auto"/>
              <w:right w:val="single" w:sz="4" w:space="0" w:color="auto"/>
            </w:tcBorders>
            <w:shd w:val="clear" w:color="auto" w:fill="auto"/>
            <w:noWrap/>
            <w:vAlign w:val="center"/>
          </w:tcPr>
          <w:p>
            <w:pPr>
              <w:widowControl/>
              <w:overflowPunct/>
              <w:spacing w:line="240" w:lineRule="auto"/>
              <w:ind w:firstLineChars="0" w:firstLine="0"/>
              <w:jc w:val="left"/>
              <w:rPr>
                <w:rFonts w:eastAsia="宋体" w:cs="宋体"/>
                <w:color w:val="000000"/>
                <w:kern w:val="0"/>
                <w:sz w:val="20"/>
                <w:szCs w:val="20"/>
              </w:rPr>
            </w:pPr>
            <w:r>
              <w:rPr>
                <w:rFonts w:eastAsia="宋体" w:cs="宋体" w:hint="eastAsia"/>
                <w:color w:val="000000"/>
                <w:kern w:val="0"/>
                <w:sz w:val="20"/>
                <w:szCs w:val="20"/>
              </w:rPr>
              <w:t>二、政府性基金预算拨款收入</w:t>
            </w:r>
          </w:p>
        </w:tc>
        <w:tc>
          <w:tcPr>
            <w:tcW w:w="3260"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right"/>
              <w:rPr>
                <w:rFonts w:eastAsia="宋体" w:cs="Times New Roman"/>
                <w:color w:val="000000"/>
                <w:kern w:val="0"/>
                <w:sz w:val="20"/>
                <w:szCs w:val="20"/>
              </w:rPr>
            </w:pPr>
            <w:r>
              <w:rPr>
                <w:rFonts w:cs="Calibri" w:hint="eastAsia"/>
                <w:sz w:val="20"/>
                <w:szCs w:val="20"/>
              </w:rPr>
              <w:t>　</w:t>
            </w:r>
          </w:p>
        </w:tc>
        <w:tc>
          <w:tcPr>
            <w:tcW w:w="3827"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left"/>
              <w:rPr>
                <w:rFonts w:eastAsia="宋体" w:cs="Times New Roman"/>
                <w:color w:val="000000"/>
                <w:kern w:val="0"/>
                <w:sz w:val="20"/>
                <w:szCs w:val="20"/>
              </w:rPr>
            </w:pPr>
            <w:r>
              <w:rPr>
                <w:rFonts w:eastAsia="宋体" w:cs="Times New Roman" w:hint="eastAsia"/>
                <w:color w:val="000000"/>
                <w:kern w:val="0"/>
                <w:sz w:val="20"/>
                <w:szCs w:val="20"/>
              </w:rPr>
              <w:t>二、公共安全支出</w:t>
            </w:r>
          </w:p>
        </w:tc>
        <w:tc>
          <w:tcPr>
            <w:tcW w:w="3119"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right"/>
              <w:rPr>
                <w:rFonts w:eastAsia="宋体" w:cs="Times New Roman"/>
                <w:color w:val="000000"/>
                <w:kern w:val="0"/>
                <w:sz w:val="20"/>
                <w:szCs w:val="20"/>
              </w:rPr>
            </w:pPr>
            <w:r>
              <w:rPr>
                <w:rFonts w:cs="Calibri" w:hint="eastAsia"/>
                <w:sz w:val="20"/>
                <w:szCs w:val="20"/>
              </w:rPr>
              <w:t>7,633.86</w:t>
            </w:r>
          </w:p>
        </w:tc>
      </w:tr>
      <w:tr>
        <w:trPr>
          <w:trHeight w:val="360"/>
        </w:trPr>
        <w:tc>
          <w:tcPr>
            <w:tcW w:w="3686" w:type="dxa"/>
            <w:tcBorders>
              <w:top w:val="nil"/>
              <w:left w:val="single" w:sz="4" w:space="0" w:color="auto"/>
              <w:bottom w:val="single" w:sz="4" w:space="0" w:color="auto"/>
              <w:right w:val="single" w:sz="4" w:space="0" w:color="auto"/>
            </w:tcBorders>
            <w:shd w:val="clear" w:color="auto" w:fill="auto"/>
            <w:noWrap/>
            <w:vAlign w:val="center"/>
          </w:tcPr>
          <w:p>
            <w:pPr>
              <w:widowControl/>
              <w:overflowPunct/>
              <w:spacing w:line="240" w:lineRule="auto"/>
              <w:ind w:firstLineChars="0" w:firstLine="0"/>
              <w:jc w:val="left"/>
              <w:rPr>
                <w:rFonts w:eastAsia="宋体" w:cs="宋体"/>
                <w:color w:val="000000"/>
                <w:kern w:val="0"/>
                <w:sz w:val="20"/>
                <w:szCs w:val="20"/>
              </w:rPr>
            </w:pPr>
            <w:r>
              <w:rPr>
                <w:rFonts w:eastAsia="宋体" w:cs="宋体" w:hint="eastAsia"/>
                <w:color w:val="000000"/>
                <w:kern w:val="0"/>
                <w:sz w:val="20"/>
                <w:szCs w:val="20"/>
              </w:rPr>
              <w:t>三、国有资本经营预算拨款收入</w:t>
            </w:r>
          </w:p>
        </w:tc>
        <w:tc>
          <w:tcPr>
            <w:tcW w:w="3260"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right"/>
              <w:rPr>
                <w:rFonts w:eastAsia="宋体" w:cs="Times New Roman"/>
                <w:color w:val="000000"/>
                <w:kern w:val="0"/>
                <w:sz w:val="20"/>
                <w:szCs w:val="20"/>
              </w:rPr>
            </w:pPr>
            <w:r>
              <w:rPr>
                <w:rFonts w:cs="Calibri" w:hint="eastAsia"/>
                <w:sz w:val="20"/>
                <w:szCs w:val="20"/>
              </w:rPr>
              <w:t>　</w:t>
            </w:r>
          </w:p>
        </w:tc>
        <w:tc>
          <w:tcPr>
            <w:tcW w:w="3827"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left"/>
              <w:rPr>
                <w:rFonts w:eastAsia="宋体" w:cs="Times New Roman"/>
                <w:color w:val="000000"/>
                <w:kern w:val="0"/>
                <w:sz w:val="20"/>
                <w:szCs w:val="20"/>
              </w:rPr>
            </w:pPr>
            <w:r>
              <w:rPr>
                <w:rFonts w:eastAsia="宋体" w:cs="Times New Roman" w:hint="eastAsia"/>
                <w:color w:val="000000"/>
                <w:kern w:val="0"/>
                <w:sz w:val="20"/>
                <w:szCs w:val="20"/>
              </w:rPr>
              <w:t>三、社会保障和就业支出</w:t>
            </w:r>
          </w:p>
        </w:tc>
        <w:tc>
          <w:tcPr>
            <w:tcW w:w="3119"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right"/>
              <w:rPr>
                <w:rFonts w:eastAsia="宋体" w:cs="Times New Roman"/>
                <w:color w:val="000000"/>
                <w:kern w:val="0"/>
                <w:sz w:val="20"/>
                <w:szCs w:val="20"/>
              </w:rPr>
            </w:pPr>
            <w:r>
              <w:rPr>
                <w:rFonts w:cs="Calibri" w:hint="eastAsia"/>
                <w:sz w:val="20"/>
                <w:szCs w:val="20"/>
              </w:rPr>
              <w:t>11,779.23</w:t>
            </w:r>
          </w:p>
        </w:tc>
      </w:tr>
      <w:tr>
        <w:trPr>
          <w:trHeight w:val="360"/>
        </w:trPr>
        <w:tc>
          <w:tcPr>
            <w:tcW w:w="3686" w:type="dxa"/>
            <w:tcBorders>
              <w:top w:val="nil"/>
              <w:left w:val="single" w:sz="4" w:space="0" w:color="auto"/>
              <w:bottom w:val="single" w:sz="4" w:space="0" w:color="auto"/>
              <w:right w:val="single" w:sz="4" w:space="0" w:color="auto"/>
            </w:tcBorders>
            <w:shd w:val="clear" w:color="auto" w:fill="auto"/>
            <w:noWrap/>
            <w:vAlign w:val="center"/>
          </w:tcPr>
          <w:p>
            <w:pPr>
              <w:widowControl/>
              <w:overflowPunct/>
              <w:spacing w:line="240" w:lineRule="auto"/>
              <w:ind w:firstLineChars="0" w:firstLine="0"/>
              <w:jc w:val="left"/>
              <w:rPr>
                <w:rFonts w:eastAsia="宋体" w:cs="宋体"/>
                <w:color w:val="000000"/>
                <w:kern w:val="0"/>
                <w:sz w:val="20"/>
                <w:szCs w:val="20"/>
              </w:rPr>
            </w:pPr>
            <w:r>
              <w:rPr>
                <w:rFonts w:eastAsia="宋体" w:cs="宋体" w:hint="eastAsia"/>
                <w:color w:val="000000"/>
                <w:kern w:val="0"/>
                <w:sz w:val="20"/>
                <w:szCs w:val="20"/>
              </w:rPr>
              <w:t>四、事业收入</w:t>
            </w:r>
          </w:p>
        </w:tc>
        <w:tc>
          <w:tcPr>
            <w:tcW w:w="3260"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right"/>
              <w:rPr>
                <w:rFonts w:eastAsia="宋体" w:cs="Times New Roman"/>
                <w:color w:val="000000"/>
                <w:kern w:val="0"/>
                <w:sz w:val="20"/>
                <w:szCs w:val="20"/>
              </w:rPr>
            </w:pPr>
            <w:r>
              <w:rPr>
                <w:rFonts w:cs="Calibri" w:hint="eastAsia"/>
                <w:sz w:val="20"/>
                <w:szCs w:val="20"/>
              </w:rPr>
              <w:t>17,498.10</w:t>
            </w:r>
          </w:p>
        </w:tc>
        <w:tc>
          <w:tcPr>
            <w:tcW w:w="3827"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left"/>
              <w:rPr>
                <w:rFonts w:eastAsia="宋体" w:cs="Times New Roman"/>
                <w:color w:val="000000"/>
                <w:kern w:val="0"/>
                <w:sz w:val="20"/>
                <w:szCs w:val="20"/>
              </w:rPr>
            </w:pPr>
            <w:r>
              <w:rPr>
                <w:rFonts w:eastAsia="宋体" w:cs="Times New Roman" w:hint="eastAsia"/>
                <w:color w:val="000000"/>
                <w:kern w:val="0"/>
                <w:sz w:val="20"/>
                <w:szCs w:val="20"/>
              </w:rPr>
              <w:t>四、卫生健康支出</w:t>
            </w:r>
          </w:p>
        </w:tc>
        <w:tc>
          <w:tcPr>
            <w:tcW w:w="3119"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right"/>
              <w:rPr>
                <w:rFonts w:eastAsia="宋体" w:cs="Times New Roman"/>
                <w:color w:val="000000"/>
                <w:kern w:val="0"/>
                <w:sz w:val="20"/>
                <w:szCs w:val="20"/>
              </w:rPr>
            </w:pPr>
            <w:r>
              <w:rPr>
                <w:rFonts w:cs="Calibri" w:hint="eastAsia"/>
                <w:sz w:val="20"/>
                <w:szCs w:val="20"/>
              </w:rPr>
              <w:t>5,454.86</w:t>
            </w:r>
          </w:p>
        </w:tc>
      </w:tr>
      <w:tr>
        <w:trPr>
          <w:trHeight w:val="360"/>
        </w:trPr>
        <w:tc>
          <w:tcPr>
            <w:tcW w:w="3686" w:type="dxa"/>
            <w:tcBorders>
              <w:top w:val="nil"/>
              <w:left w:val="single" w:sz="4" w:space="0" w:color="auto"/>
              <w:bottom w:val="single" w:sz="4" w:space="0" w:color="auto"/>
              <w:right w:val="single" w:sz="4" w:space="0" w:color="auto"/>
            </w:tcBorders>
            <w:shd w:val="clear" w:color="auto" w:fill="auto"/>
            <w:noWrap/>
            <w:vAlign w:val="center"/>
          </w:tcPr>
          <w:p>
            <w:pPr>
              <w:widowControl/>
              <w:overflowPunct/>
              <w:spacing w:line="240" w:lineRule="auto"/>
              <w:ind w:firstLineChars="0" w:firstLine="0"/>
              <w:jc w:val="left"/>
              <w:rPr>
                <w:rFonts w:eastAsia="宋体" w:cs="宋体"/>
                <w:color w:val="000000"/>
                <w:kern w:val="0"/>
                <w:sz w:val="20"/>
                <w:szCs w:val="20"/>
              </w:rPr>
            </w:pPr>
            <w:r>
              <w:rPr>
                <w:rFonts w:eastAsia="宋体" w:cs="宋体" w:hint="eastAsia"/>
                <w:color w:val="000000"/>
                <w:kern w:val="0"/>
                <w:sz w:val="20"/>
                <w:szCs w:val="20"/>
              </w:rPr>
              <w:t>五、事业单位经营收入</w:t>
            </w:r>
          </w:p>
        </w:tc>
        <w:tc>
          <w:tcPr>
            <w:tcW w:w="3260"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right"/>
              <w:rPr>
                <w:rFonts w:eastAsia="宋体" w:cs="Times New Roman"/>
                <w:color w:val="000000"/>
                <w:kern w:val="0"/>
                <w:sz w:val="20"/>
                <w:szCs w:val="20"/>
              </w:rPr>
            </w:pPr>
            <w:r>
              <w:rPr>
                <w:rFonts w:cs="Calibri" w:hint="eastAsia"/>
                <w:sz w:val="20"/>
                <w:szCs w:val="20"/>
              </w:rPr>
              <w:t>　</w:t>
            </w:r>
          </w:p>
        </w:tc>
        <w:tc>
          <w:tcPr>
            <w:tcW w:w="3827"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left"/>
              <w:rPr>
                <w:rFonts w:eastAsia="宋体" w:cs="Times New Roman"/>
                <w:color w:val="000000"/>
                <w:kern w:val="0"/>
                <w:sz w:val="20"/>
                <w:szCs w:val="20"/>
              </w:rPr>
            </w:pPr>
            <w:r>
              <w:rPr>
                <w:rFonts w:eastAsia="宋体" w:cs="Times New Roman" w:hint="eastAsia"/>
                <w:color w:val="000000"/>
                <w:kern w:val="0"/>
                <w:sz w:val="20"/>
                <w:szCs w:val="20"/>
              </w:rPr>
              <w:t>五、住房保障支出</w:t>
            </w:r>
          </w:p>
        </w:tc>
        <w:tc>
          <w:tcPr>
            <w:tcW w:w="3119"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right"/>
              <w:rPr>
                <w:rFonts w:eastAsia="宋体" w:cs="Times New Roman"/>
                <w:color w:val="000000"/>
                <w:kern w:val="0"/>
                <w:sz w:val="20"/>
                <w:szCs w:val="20"/>
              </w:rPr>
            </w:pPr>
            <w:r>
              <w:rPr>
                <w:rFonts w:cs="Calibri" w:hint="eastAsia"/>
                <w:sz w:val="20"/>
                <w:szCs w:val="20"/>
              </w:rPr>
              <w:t>16,299.40</w:t>
            </w:r>
          </w:p>
        </w:tc>
      </w:tr>
      <w:tr>
        <w:trPr>
          <w:trHeight w:val="360"/>
        </w:trPr>
        <w:tc>
          <w:tcPr>
            <w:tcW w:w="3686" w:type="dxa"/>
            <w:tcBorders>
              <w:top w:val="nil"/>
              <w:left w:val="single" w:sz="4" w:space="0" w:color="auto"/>
              <w:bottom w:val="single" w:sz="4" w:space="0" w:color="auto"/>
              <w:right w:val="single" w:sz="4" w:space="0" w:color="auto"/>
            </w:tcBorders>
            <w:shd w:val="clear" w:color="auto" w:fill="auto"/>
            <w:noWrap/>
            <w:vAlign w:val="center"/>
          </w:tcPr>
          <w:p>
            <w:pPr>
              <w:widowControl/>
              <w:overflowPunct/>
              <w:spacing w:line="240" w:lineRule="auto"/>
              <w:ind w:firstLineChars="0" w:firstLine="0"/>
              <w:jc w:val="left"/>
              <w:rPr>
                <w:rFonts w:eastAsia="宋体" w:cs="宋体"/>
                <w:color w:val="000000"/>
                <w:kern w:val="0"/>
                <w:sz w:val="20"/>
                <w:szCs w:val="20"/>
              </w:rPr>
            </w:pPr>
            <w:r>
              <w:rPr>
                <w:rFonts w:eastAsia="宋体" w:cs="宋体" w:hint="eastAsia"/>
                <w:color w:val="000000"/>
                <w:kern w:val="0"/>
                <w:sz w:val="20"/>
                <w:szCs w:val="20"/>
              </w:rPr>
              <w:t>六、其他收入</w:t>
            </w:r>
          </w:p>
        </w:tc>
        <w:tc>
          <w:tcPr>
            <w:tcW w:w="3260"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right"/>
              <w:rPr>
                <w:rFonts w:eastAsia="宋体" w:cs="Times New Roman"/>
                <w:color w:val="000000"/>
                <w:kern w:val="0"/>
                <w:sz w:val="20"/>
                <w:szCs w:val="20"/>
              </w:rPr>
            </w:pPr>
            <w:r>
              <w:rPr>
                <w:rFonts w:cs="Calibri" w:hint="eastAsia"/>
                <w:sz w:val="20"/>
                <w:szCs w:val="20"/>
              </w:rPr>
              <w:t>22,714.07</w:t>
            </w:r>
          </w:p>
        </w:tc>
        <w:tc>
          <w:tcPr>
            <w:tcW w:w="3827"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left"/>
              <w:rPr>
                <w:rFonts w:eastAsia="宋体" w:cs="宋体"/>
                <w:color w:val="000000"/>
                <w:kern w:val="0"/>
                <w:sz w:val="20"/>
                <w:szCs w:val="20"/>
              </w:rPr>
            </w:pPr>
            <w:r>
              <w:rPr>
                <w:rFonts w:eastAsia="宋体" w:cs="宋体" w:hint="eastAsia"/>
                <w:color w:val="000000"/>
                <w:kern w:val="0"/>
                <w:sz w:val="20"/>
                <w:szCs w:val="20"/>
              </w:rPr>
              <w:t>六、其他支出</w:t>
            </w:r>
          </w:p>
        </w:tc>
        <w:tc>
          <w:tcPr>
            <w:tcW w:w="3119"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right"/>
              <w:rPr>
                <w:rFonts w:eastAsia="宋体" w:cs="Times New Roman"/>
                <w:color w:val="000000"/>
                <w:kern w:val="0"/>
                <w:sz w:val="20"/>
                <w:szCs w:val="20"/>
              </w:rPr>
            </w:pPr>
            <w:r>
              <w:rPr>
                <w:rFonts w:cs="Calibri" w:hint="eastAsia"/>
                <w:sz w:val="20"/>
                <w:szCs w:val="20"/>
              </w:rPr>
              <w:t>2,948.23</w:t>
            </w:r>
          </w:p>
        </w:tc>
      </w:tr>
      <w:tr>
        <w:trPr>
          <w:trHeight w:val="360"/>
        </w:trPr>
        <w:tc>
          <w:tcPr>
            <w:tcW w:w="3686" w:type="dxa"/>
            <w:tcBorders>
              <w:top w:val="nil"/>
              <w:left w:val="single" w:sz="4" w:space="0" w:color="auto"/>
              <w:bottom w:val="single" w:sz="4" w:space="0" w:color="auto"/>
              <w:right w:val="single" w:sz="4" w:space="0" w:color="auto"/>
            </w:tcBorders>
            <w:shd w:val="clear" w:color="auto" w:fill="auto"/>
            <w:noWrap/>
            <w:vAlign w:val="center"/>
          </w:tcPr>
          <w:p>
            <w:pPr>
              <w:widowControl/>
              <w:overflowPunct/>
              <w:spacing w:line="240" w:lineRule="auto"/>
              <w:ind w:firstLineChars="0" w:firstLine="0"/>
              <w:jc w:val="left"/>
              <w:rPr>
                <w:rFonts w:eastAsia="宋体" w:cs="宋体"/>
                <w:color w:val="000000"/>
                <w:kern w:val="0"/>
                <w:sz w:val="20"/>
                <w:szCs w:val="20"/>
              </w:rPr>
            </w:pPr>
            <w:r>
              <w:rPr>
                <w:rFonts w:eastAsia="宋体" w:cs="宋体" w:hint="eastAsia"/>
                <w:color w:val="000000"/>
                <w:kern w:val="0"/>
                <w:sz w:val="20"/>
                <w:szCs w:val="20"/>
              </w:rPr>
              <w:t>　</w:t>
            </w:r>
          </w:p>
        </w:tc>
        <w:tc>
          <w:tcPr>
            <w:tcW w:w="3260"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right"/>
              <w:rPr>
                <w:rFonts w:eastAsia="宋体" w:cs="Times New Roman"/>
                <w:color w:val="000000"/>
                <w:kern w:val="0"/>
                <w:sz w:val="20"/>
                <w:szCs w:val="20"/>
              </w:rPr>
            </w:pPr>
          </w:p>
        </w:tc>
        <w:tc>
          <w:tcPr>
            <w:tcW w:w="3827"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left"/>
              <w:rPr>
                <w:rFonts w:eastAsia="宋体" w:cs="宋体"/>
                <w:color w:val="000000"/>
                <w:kern w:val="0"/>
                <w:sz w:val="20"/>
                <w:szCs w:val="20"/>
              </w:rPr>
            </w:pPr>
          </w:p>
        </w:tc>
        <w:tc>
          <w:tcPr>
            <w:tcW w:w="3119"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right"/>
              <w:rPr>
                <w:rFonts w:eastAsia="宋体" w:cs="Times New Roman"/>
                <w:color w:val="000000"/>
                <w:kern w:val="0"/>
                <w:sz w:val="20"/>
                <w:szCs w:val="20"/>
              </w:rPr>
            </w:pPr>
            <w:r>
              <w:rPr>
                <w:rFonts w:cs="Calibri" w:hint="eastAsia"/>
                <w:sz w:val="20"/>
                <w:szCs w:val="20"/>
              </w:rPr>
              <w:t>　</w:t>
            </w:r>
          </w:p>
        </w:tc>
      </w:tr>
      <w:tr>
        <w:trPr>
          <w:trHeight w:val="360"/>
        </w:trPr>
        <w:tc>
          <w:tcPr>
            <w:tcW w:w="3686" w:type="dxa"/>
            <w:tcBorders>
              <w:top w:val="nil"/>
              <w:left w:val="single" w:sz="4" w:space="0" w:color="auto"/>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宋体"/>
                <w:color w:val="000000"/>
                <w:kern w:val="0"/>
                <w:sz w:val="20"/>
                <w:szCs w:val="20"/>
              </w:rPr>
            </w:pPr>
            <w:r>
              <w:rPr>
                <w:rFonts w:eastAsia="宋体" w:cs="宋体" w:hint="eastAsia"/>
                <w:color w:val="000000"/>
                <w:kern w:val="0"/>
                <w:sz w:val="20"/>
                <w:szCs w:val="20"/>
              </w:rPr>
              <w:t>本年收入合计</w:t>
            </w:r>
          </w:p>
        </w:tc>
        <w:tc>
          <w:tcPr>
            <w:tcW w:w="3260"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right"/>
              <w:rPr>
                <w:rFonts w:eastAsia="宋体" w:cs="Times New Roman"/>
                <w:color w:val="000000"/>
                <w:kern w:val="0"/>
                <w:sz w:val="20"/>
                <w:szCs w:val="20"/>
              </w:rPr>
            </w:pPr>
            <w:r>
              <w:rPr>
                <w:rFonts w:cs="Calibri" w:hint="eastAsia"/>
                <w:sz w:val="20"/>
                <w:szCs w:val="20"/>
              </w:rPr>
              <w:t>131,751.68</w:t>
            </w:r>
          </w:p>
        </w:tc>
        <w:tc>
          <w:tcPr>
            <w:tcW w:w="3827"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left"/>
              <w:rPr>
                <w:rFonts w:eastAsia="宋体" w:cs="Times New Roman"/>
                <w:color w:val="000000"/>
                <w:kern w:val="0"/>
                <w:sz w:val="20"/>
                <w:szCs w:val="20"/>
              </w:rPr>
            </w:pPr>
            <w:r>
              <w:rPr>
                <w:rFonts w:eastAsia="宋体" w:cs="Times New Roman" w:hint="eastAsia"/>
                <w:color w:val="000000"/>
                <w:kern w:val="0"/>
                <w:sz w:val="20"/>
                <w:szCs w:val="20"/>
              </w:rPr>
              <w:t>本年支出合计</w:t>
            </w:r>
          </w:p>
        </w:tc>
        <w:tc>
          <w:tcPr>
            <w:tcW w:w="3119"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right"/>
              <w:rPr>
                <w:rFonts w:eastAsia="宋体" w:cs="Times New Roman"/>
                <w:color w:val="000000"/>
                <w:kern w:val="0"/>
                <w:sz w:val="20"/>
                <w:szCs w:val="20"/>
              </w:rPr>
            </w:pPr>
            <w:r>
              <w:rPr>
                <w:rFonts w:cs="Calibri" w:hint="eastAsia"/>
                <w:sz w:val="20"/>
                <w:szCs w:val="20"/>
              </w:rPr>
              <w:t>153,800.92</w:t>
            </w:r>
          </w:p>
        </w:tc>
      </w:tr>
      <w:tr>
        <w:trPr>
          <w:trHeight w:val="360"/>
        </w:trPr>
        <w:tc>
          <w:tcPr>
            <w:tcW w:w="3686" w:type="dxa"/>
            <w:tcBorders>
              <w:top w:val="nil"/>
              <w:left w:val="single" w:sz="4" w:space="0" w:color="auto"/>
              <w:bottom w:val="single" w:sz="4" w:space="0" w:color="auto"/>
              <w:right w:val="single" w:sz="4" w:space="0" w:color="auto"/>
            </w:tcBorders>
            <w:shd w:val="clear" w:color="auto" w:fill="auto"/>
            <w:noWrap/>
            <w:vAlign w:val="center"/>
          </w:tcPr>
          <w:p>
            <w:pPr>
              <w:widowControl/>
              <w:overflowPunct/>
              <w:spacing w:line="240" w:lineRule="auto"/>
              <w:ind w:firstLineChars="0" w:firstLine="0"/>
              <w:jc w:val="left"/>
              <w:rPr>
                <w:rFonts w:eastAsia="宋体" w:cs="宋体"/>
                <w:color w:val="000000"/>
                <w:kern w:val="0"/>
                <w:sz w:val="20"/>
                <w:szCs w:val="20"/>
              </w:rPr>
            </w:pPr>
            <w:r>
              <w:rPr>
                <w:rFonts w:eastAsia="宋体" w:cs="宋体" w:hint="eastAsia"/>
                <w:color w:val="000000"/>
                <w:kern w:val="0"/>
                <w:sz w:val="20"/>
                <w:szCs w:val="20"/>
              </w:rPr>
              <w:t>使用非财政拨款结余</w:t>
            </w:r>
          </w:p>
        </w:tc>
        <w:tc>
          <w:tcPr>
            <w:tcW w:w="3260"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right"/>
              <w:rPr>
                <w:rFonts w:eastAsia="宋体" w:cs="Times New Roman"/>
                <w:color w:val="000000"/>
                <w:kern w:val="0"/>
                <w:sz w:val="20"/>
                <w:szCs w:val="20"/>
              </w:rPr>
            </w:pPr>
            <w:r>
              <w:rPr>
                <w:rFonts w:cs="Calibri" w:hint="eastAsia"/>
                <w:sz w:val="20"/>
                <w:szCs w:val="20"/>
              </w:rPr>
              <w:t>10,780.99</w:t>
            </w:r>
          </w:p>
        </w:tc>
        <w:tc>
          <w:tcPr>
            <w:tcW w:w="3827"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left"/>
              <w:rPr>
                <w:rFonts w:eastAsia="宋体" w:cs="Times New Roman"/>
                <w:color w:val="000000"/>
                <w:kern w:val="0"/>
                <w:sz w:val="20"/>
                <w:szCs w:val="20"/>
              </w:rPr>
            </w:pPr>
            <w:r>
              <w:rPr>
                <w:rFonts w:eastAsia="宋体" w:cs="Times New Roman" w:hint="eastAsia"/>
                <w:color w:val="000000"/>
                <w:kern w:val="0"/>
                <w:sz w:val="20"/>
                <w:szCs w:val="20"/>
              </w:rPr>
              <w:t>结转下年（非财政拨款）</w:t>
            </w:r>
          </w:p>
        </w:tc>
        <w:tc>
          <w:tcPr>
            <w:tcW w:w="3119"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left"/>
              <w:rPr>
                <w:rFonts w:eastAsia="宋体" w:cs="Times New Roman"/>
                <w:color w:val="000000"/>
                <w:kern w:val="0"/>
                <w:sz w:val="20"/>
                <w:szCs w:val="20"/>
              </w:rPr>
            </w:pPr>
            <w:r>
              <w:rPr>
                <w:rFonts w:cs="Calibri" w:hint="eastAsia"/>
                <w:sz w:val="20"/>
                <w:szCs w:val="20"/>
              </w:rPr>
              <w:t>　</w:t>
            </w:r>
          </w:p>
        </w:tc>
      </w:tr>
      <w:tr>
        <w:trPr>
          <w:trHeight w:val="360"/>
        </w:trPr>
        <w:tc>
          <w:tcPr>
            <w:tcW w:w="3686" w:type="dxa"/>
            <w:tcBorders>
              <w:top w:val="nil"/>
              <w:left w:val="single" w:sz="4" w:space="0" w:color="auto"/>
              <w:bottom w:val="single" w:sz="4" w:space="0" w:color="auto"/>
              <w:right w:val="single" w:sz="4" w:space="0" w:color="auto"/>
            </w:tcBorders>
            <w:shd w:val="clear" w:color="auto" w:fill="auto"/>
            <w:noWrap/>
            <w:vAlign w:val="center"/>
          </w:tcPr>
          <w:p>
            <w:pPr>
              <w:widowControl/>
              <w:overflowPunct/>
              <w:spacing w:line="240" w:lineRule="auto"/>
              <w:ind w:firstLineChars="0" w:firstLine="0"/>
              <w:jc w:val="left"/>
              <w:rPr>
                <w:rFonts w:eastAsia="宋体" w:cs="宋体"/>
                <w:color w:val="000000"/>
                <w:kern w:val="0"/>
                <w:sz w:val="20"/>
                <w:szCs w:val="20"/>
              </w:rPr>
            </w:pPr>
            <w:r>
              <w:rPr>
                <w:rFonts w:eastAsia="宋体" w:cs="宋体" w:hint="eastAsia"/>
                <w:color w:val="000000"/>
                <w:kern w:val="0"/>
                <w:sz w:val="20"/>
                <w:szCs w:val="20"/>
              </w:rPr>
              <w:t>上年结转</w:t>
            </w:r>
          </w:p>
        </w:tc>
        <w:tc>
          <w:tcPr>
            <w:tcW w:w="3260"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right"/>
              <w:rPr>
                <w:rFonts w:eastAsia="宋体" w:cs="Times New Roman"/>
                <w:color w:val="000000"/>
                <w:kern w:val="0"/>
                <w:sz w:val="20"/>
                <w:szCs w:val="20"/>
              </w:rPr>
            </w:pPr>
            <w:r>
              <w:rPr>
                <w:rFonts w:cs="Calibri" w:hint="eastAsia"/>
                <w:sz w:val="20"/>
                <w:szCs w:val="20"/>
              </w:rPr>
              <w:t>11,268.25</w:t>
            </w:r>
          </w:p>
        </w:tc>
        <w:tc>
          <w:tcPr>
            <w:tcW w:w="3827"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left"/>
              <w:rPr>
                <w:rFonts w:eastAsia="宋体" w:cs="Times New Roman"/>
                <w:color w:val="000000"/>
                <w:kern w:val="0"/>
                <w:sz w:val="20"/>
                <w:szCs w:val="20"/>
              </w:rPr>
            </w:pPr>
          </w:p>
        </w:tc>
        <w:tc>
          <w:tcPr>
            <w:tcW w:w="3119"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right"/>
              <w:rPr>
                <w:rFonts w:eastAsia="宋体" w:cs="Times New Roman"/>
                <w:color w:val="000000"/>
                <w:kern w:val="0"/>
                <w:sz w:val="20"/>
                <w:szCs w:val="20"/>
              </w:rPr>
            </w:pPr>
            <w:r>
              <w:rPr>
                <w:rFonts w:cs="Calibri" w:hint="eastAsia"/>
                <w:sz w:val="20"/>
                <w:szCs w:val="20"/>
              </w:rPr>
              <w:t>　</w:t>
            </w:r>
          </w:p>
        </w:tc>
      </w:tr>
      <w:tr>
        <w:trPr>
          <w:trHeight w:val="360"/>
        </w:trPr>
        <w:tc>
          <w:tcPr>
            <w:tcW w:w="3686" w:type="dxa"/>
            <w:tcBorders>
              <w:top w:val="nil"/>
              <w:left w:val="single" w:sz="4" w:space="0" w:color="auto"/>
              <w:bottom w:val="single" w:sz="4" w:space="0" w:color="auto"/>
              <w:right w:val="single" w:sz="4" w:space="0" w:color="auto"/>
            </w:tcBorders>
            <w:shd w:val="clear" w:color="auto" w:fill="auto"/>
            <w:noWrap/>
            <w:vAlign w:val="center"/>
          </w:tcPr>
          <w:p>
            <w:pPr>
              <w:widowControl/>
              <w:overflowPunct/>
              <w:spacing w:line="240" w:lineRule="auto"/>
              <w:ind w:firstLineChars="0" w:firstLine="0"/>
              <w:jc w:val="left"/>
              <w:rPr>
                <w:rFonts w:eastAsia="宋体" w:cs="宋体"/>
                <w:color w:val="000000"/>
                <w:kern w:val="0"/>
                <w:sz w:val="20"/>
                <w:szCs w:val="20"/>
              </w:rPr>
            </w:pPr>
          </w:p>
        </w:tc>
        <w:tc>
          <w:tcPr>
            <w:tcW w:w="3260"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right"/>
              <w:rPr>
                <w:rFonts w:eastAsia="宋体" w:cs="Times New Roman"/>
                <w:color w:val="000000"/>
                <w:kern w:val="0"/>
                <w:sz w:val="20"/>
                <w:szCs w:val="20"/>
              </w:rPr>
            </w:pPr>
            <w:r>
              <w:rPr>
                <w:rFonts w:cs="Calibri" w:hint="eastAsia"/>
                <w:sz w:val="20"/>
                <w:szCs w:val="20"/>
              </w:rPr>
              <w:t>　</w:t>
            </w:r>
          </w:p>
        </w:tc>
        <w:tc>
          <w:tcPr>
            <w:tcW w:w="3827"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left"/>
              <w:rPr>
                <w:rFonts w:eastAsia="宋体" w:cs="Times New Roman"/>
                <w:color w:val="000000"/>
                <w:kern w:val="0"/>
                <w:sz w:val="20"/>
                <w:szCs w:val="20"/>
              </w:rPr>
            </w:pPr>
            <w:r>
              <w:rPr>
                <w:rFonts w:eastAsia="宋体" w:cs="Times New Roman"/>
                <w:color w:val="000000"/>
                <w:kern w:val="0"/>
                <w:sz w:val="20"/>
                <w:szCs w:val="20"/>
              </w:rPr>
              <w:t>　</w:t>
            </w:r>
          </w:p>
        </w:tc>
        <w:tc>
          <w:tcPr>
            <w:tcW w:w="3119"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right"/>
              <w:rPr>
                <w:rFonts w:eastAsia="宋体" w:cs="Times New Roman"/>
                <w:color w:val="000000"/>
                <w:kern w:val="0"/>
                <w:sz w:val="20"/>
                <w:szCs w:val="20"/>
              </w:rPr>
            </w:pPr>
            <w:r>
              <w:rPr>
                <w:rFonts w:cs="Calibri" w:hint="eastAsia"/>
                <w:sz w:val="20"/>
                <w:szCs w:val="20"/>
              </w:rPr>
              <w:t>　</w:t>
            </w:r>
          </w:p>
        </w:tc>
      </w:tr>
      <w:tr>
        <w:trPr>
          <w:trHeight w:val="360"/>
        </w:trPr>
        <w:tc>
          <w:tcPr>
            <w:tcW w:w="3686" w:type="dxa"/>
            <w:tcBorders>
              <w:top w:val="nil"/>
              <w:left w:val="single" w:sz="4" w:space="0" w:color="auto"/>
              <w:bottom w:val="single" w:sz="4" w:space="0" w:color="auto"/>
              <w:right w:val="single" w:sz="4" w:space="0" w:color="auto"/>
            </w:tcBorders>
            <w:shd w:val="clear" w:color="auto" w:fill="auto"/>
            <w:noWrap/>
            <w:vAlign w:val="center"/>
          </w:tcPr>
          <w:p>
            <w:pPr>
              <w:widowControl/>
              <w:overflowPunct/>
              <w:spacing w:line="240" w:lineRule="auto"/>
              <w:ind w:firstLineChars="0" w:firstLine="0"/>
              <w:jc w:val="left"/>
              <w:rPr>
                <w:rFonts w:eastAsia="宋体" w:cs="宋体"/>
                <w:color w:val="000000"/>
                <w:kern w:val="0"/>
                <w:sz w:val="20"/>
                <w:szCs w:val="20"/>
              </w:rPr>
            </w:pPr>
            <w:r>
              <w:rPr>
                <w:rFonts w:eastAsia="宋体" w:cs="宋体" w:hint="eastAsia"/>
                <w:color w:val="000000"/>
                <w:kern w:val="0"/>
                <w:sz w:val="20"/>
                <w:szCs w:val="20"/>
              </w:rPr>
              <w:t xml:space="preserve">            收    入    总    计</w:t>
            </w:r>
          </w:p>
        </w:tc>
        <w:tc>
          <w:tcPr>
            <w:tcW w:w="3260"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right"/>
              <w:rPr>
                <w:rFonts w:eastAsia="宋体" w:cs="Times New Roman"/>
                <w:color w:val="000000"/>
                <w:kern w:val="0"/>
                <w:sz w:val="20"/>
                <w:szCs w:val="20"/>
              </w:rPr>
            </w:pPr>
            <w:r>
              <w:rPr>
                <w:rFonts w:cs="Calibri" w:hint="eastAsia"/>
                <w:sz w:val="20"/>
                <w:szCs w:val="20"/>
              </w:rPr>
              <w:t>153,800.92</w:t>
            </w:r>
          </w:p>
        </w:tc>
        <w:tc>
          <w:tcPr>
            <w:tcW w:w="3827"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left"/>
              <w:rPr>
                <w:rFonts w:eastAsia="宋体" w:cs="Times New Roman"/>
                <w:color w:val="000000"/>
                <w:kern w:val="0"/>
                <w:sz w:val="20"/>
                <w:szCs w:val="20"/>
              </w:rPr>
            </w:pPr>
            <w:r>
              <w:rPr>
                <w:rFonts w:eastAsia="宋体" w:cs="Times New Roman" w:hint="eastAsia"/>
                <w:color w:val="000000"/>
                <w:kern w:val="0"/>
                <w:sz w:val="20"/>
                <w:szCs w:val="20"/>
              </w:rPr>
              <w:t>支出总计</w:t>
            </w:r>
          </w:p>
        </w:tc>
        <w:tc>
          <w:tcPr>
            <w:tcW w:w="3119"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right"/>
              <w:rPr>
                <w:rFonts w:eastAsia="宋体" w:cs="Times New Roman"/>
                <w:color w:val="000000"/>
                <w:kern w:val="0"/>
                <w:sz w:val="20"/>
                <w:szCs w:val="20"/>
              </w:rPr>
            </w:pPr>
            <w:r>
              <w:rPr>
                <w:rFonts w:cs="Calibri" w:hint="eastAsia"/>
                <w:sz w:val="20"/>
                <w:szCs w:val="20"/>
              </w:rPr>
              <w:t>153,800.92</w:t>
            </w:r>
          </w:p>
        </w:tc>
      </w:tr>
    </w:tbl>
    <w:p>
      <w:pPr>
        <w:widowControl/>
        <w:overflowPunct/>
        <w:spacing w:line="240" w:lineRule="auto"/>
        <w:ind w:firstLineChars="0" w:firstLine="0"/>
        <w:jc w:val="left"/>
      </w:pPr>
      <w:r>
        <w:br w:type="page"/>
      </w:r>
    </w:p>
    <w:p>
      <w:pPr>
        <w:pStyle w:val="22"/>
        <w:outlineLvl w:val="1"/>
      </w:pPr>
      <w:r>
        <w:rPr>
          <w:rFonts w:hint="eastAsia"/>
        </w:rPr>
        <w:t>二、部门收入总表</w:t>
      </w:r>
    </w:p>
    <w:tbl>
      <w:tblPr>
        <w:jc w:val="center"/>
        <w:tblW w:w="14174"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803"/>
        <w:gridCol w:w="1524"/>
        <w:gridCol w:w="1199"/>
        <w:gridCol w:w="866"/>
        <w:gridCol w:w="866"/>
        <w:gridCol w:w="1097"/>
        <w:gridCol w:w="1101"/>
        <w:gridCol w:w="1120"/>
        <w:gridCol w:w="1115"/>
        <w:gridCol w:w="1069"/>
        <w:gridCol w:w="1146"/>
        <w:gridCol w:w="1268"/>
      </w:tblGrid>
      <w:tr>
        <w:trPr>
          <w:trHeight w:val="270"/>
        </w:trPr>
        <w:tc>
          <w:tcPr>
            <w:tcW w:w="1803" w:type="dxa"/>
            <w:tcBorders>
              <w:top w:val="nil"/>
              <w:left w:val="nil"/>
              <w:bottom w:val="nil"/>
              <w:right w:val="nil"/>
            </w:tcBorders>
            <w:shd w:val="clear" w:color="auto" w:fill="auto"/>
            <w:noWrap/>
            <w:vAlign w:val="center"/>
          </w:tcPr>
          <w:p>
            <w:pPr>
              <w:widowControl/>
              <w:overflowPunct/>
              <w:spacing w:line="240" w:lineRule="auto"/>
              <w:ind w:firstLineChars="0" w:firstLine="0"/>
              <w:jc w:val="left"/>
              <w:rPr>
                <w:rFonts w:eastAsia="宋体" w:cs="宋体"/>
                <w:kern w:val="0"/>
                <w:sz w:val="24"/>
                <w:szCs w:val="24"/>
              </w:rPr>
            </w:pPr>
          </w:p>
        </w:tc>
        <w:tc>
          <w:tcPr>
            <w:tcW w:w="1524" w:type="dxa"/>
            <w:tcBorders>
              <w:top w:val="nil"/>
              <w:left w:val="nil"/>
              <w:bottom w:val="nil"/>
              <w:right w:val="nil"/>
            </w:tcBorders>
            <w:shd w:val="clear" w:color="auto" w:fill="auto"/>
            <w:noWrap/>
            <w:vAlign w:val="center"/>
          </w:tcPr>
          <w:p>
            <w:pPr>
              <w:widowControl/>
              <w:overflowPunct/>
              <w:spacing w:line="240" w:lineRule="auto"/>
              <w:ind w:firstLineChars="0" w:firstLine="0"/>
              <w:jc w:val="left"/>
              <w:rPr>
                <w:rFonts w:eastAsia="Times New Roman" w:cs="Times New Roman"/>
                <w:kern w:val="0"/>
                <w:sz w:val="20"/>
                <w:szCs w:val="20"/>
              </w:rPr>
            </w:pPr>
          </w:p>
        </w:tc>
        <w:tc>
          <w:tcPr>
            <w:tcW w:w="1199" w:type="dxa"/>
            <w:tcBorders>
              <w:top w:val="nil"/>
              <w:left w:val="nil"/>
              <w:bottom w:val="nil"/>
              <w:right w:val="nil"/>
            </w:tcBorders>
            <w:shd w:val="clear" w:color="auto" w:fill="auto"/>
            <w:noWrap/>
            <w:vAlign w:val="center"/>
          </w:tcPr>
          <w:p>
            <w:pPr>
              <w:widowControl/>
              <w:overflowPunct/>
              <w:spacing w:line="240" w:lineRule="auto"/>
              <w:ind w:firstLineChars="0" w:firstLine="0"/>
              <w:jc w:val="left"/>
              <w:rPr>
                <w:rFonts w:eastAsia="Times New Roman" w:cs="Times New Roman"/>
                <w:kern w:val="0"/>
                <w:sz w:val="20"/>
                <w:szCs w:val="20"/>
              </w:rPr>
            </w:pPr>
          </w:p>
        </w:tc>
        <w:tc>
          <w:tcPr>
            <w:tcW w:w="866" w:type="dxa"/>
            <w:tcBorders>
              <w:top w:val="nil"/>
              <w:left w:val="nil"/>
              <w:bottom w:val="nil"/>
              <w:right w:val="nil"/>
            </w:tcBorders>
            <w:shd w:val="clear" w:color="auto" w:fill="auto"/>
            <w:noWrap/>
            <w:vAlign w:val="center"/>
          </w:tcPr>
          <w:p>
            <w:pPr>
              <w:widowControl/>
              <w:overflowPunct/>
              <w:spacing w:line="240" w:lineRule="auto"/>
              <w:ind w:firstLineChars="0" w:firstLine="0"/>
              <w:jc w:val="left"/>
              <w:rPr>
                <w:rFonts w:eastAsia="Times New Roman" w:cs="Times New Roman"/>
                <w:kern w:val="0"/>
                <w:sz w:val="20"/>
                <w:szCs w:val="20"/>
              </w:rPr>
            </w:pPr>
          </w:p>
        </w:tc>
        <w:tc>
          <w:tcPr>
            <w:tcW w:w="866" w:type="dxa"/>
            <w:tcBorders>
              <w:top w:val="nil"/>
              <w:left w:val="nil"/>
              <w:bottom w:val="nil"/>
              <w:right w:val="nil"/>
            </w:tcBorders>
            <w:shd w:val="clear" w:color="auto" w:fill="auto"/>
            <w:noWrap/>
            <w:vAlign w:val="center"/>
          </w:tcPr>
          <w:p>
            <w:pPr>
              <w:widowControl/>
              <w:overflowPunct/>
              <w:spacing w:line="240" w:lineRule="auto"/>
              <w:ind w:firstLineChars="0" w:firstLine="0"/>
              <w:jc w:val="left"/>
              <w:rPr>
                <w:rFonts w:eastAsia="Times New Roman" w:cs="Times New Roman"/>
                <w:kern w:val="0"/>
                <w:sz w:val="20"/>
                <w:szCs w:val="20"/>
              </w:rPr>
            </w:pPr>
          </w:p>
        </w:tc>
        <w:tc>
          <w:tcPr>
            <w:tcW w:w="1097" w:type="dxa"/>
            <w:tcBorders>
              <w:top w:val="nil"/>
              <w:left w:val="nil"/>
              <w:bottom w:val="nil"/>
              <w:right w:val="nil"/>
            </w:tcBorders>
            <w:shd w:val="clear" w:color="auto" w:fill="auto"/>
            <w:noWrap/>
            <w:vAlign w:val="center"/>
          </w:tcPr>
          <w:p>
            <w:pPr>
              <w:widowControl/>
              <w:overflowPunct/>
              <w:spacing w:line="240" w:lineRule="auto"/>
              <w:ind w:firstLineChars="0" w:firstLine="0"/>
              <w:jc w:val="left"/>
              <w:rPr>
                <w:rFonts w:eastAsia="Times New Roman" w:cs="Times New Roman"/>
                <w:kern w:val="0"/>
                <w:sz w:val="20"/>
                <w:szCs w:val="20"/>
              </w:rPr>
            </w:pPr>
          </w:p>
        </w:tc>
        <w:tc>
          <w:tcPr>
            <w:tcW w:w="1101" w:type="dxa"/>
            <w:tcBorders>
              <w:top w:val="nil"/>
              <w:left w:val="nil"/>
              <w:bottom w:val="nil"/>
              <w:right w:val="nil"/>
            </w:tcBorders>
            <w:shd w:val="clear" w:color="auto" w:fill="auto"/>
            <w:noWrap/>
            <w:vAlign w:val="center"/>
          </w:tcPr>
          <w:p>
            <w:pPr>
              <w:widowControl/>
              <w:overflowPunct/>
              <w:spacing w:line="240" w:lineRule="auto"/>
              <w:ind w:firstLineChars="0" w:firstLine="0"/>
              <w:jc w:val="left"/>
              <w:rPr>
                <w:rFonts w:eastAsia="Times New Roman" w:cs="Times New Roman"/>
                <w:kern w:val="0"/>
                <w:sz w:val="20"/>
                <w:szCs w:val="20"/>
              </w:rPr>
            </w:pPr>
          </w:p>
        </w:tc>
        <w:tc>
          <w:tcPr>
            <w:tcW w:w="1120" w:type="dxa"/>
            <w:tcBorders>
              <w:top w:val="nil"/>
              <w:left w:val="nil"/>
              <w:bottom w:val="nil"/>
              <w:right w:val="nil"/>
            </w:tcBorders>
            <w:shd w:val="clear" w:color="auto" w:fill="auto"/>
            <w:noWrap/>
            <w:vAlign w:val="center"/>
          </w:tcPr>
          <w:p>
            <w:pPr>
              <w:widowControl/>
              <w:overflowPunct/>
              <w:spacing w:line="240" w:lineRule="auto"/>
              <w:ind w:firstLineChars="0" w:firstLine="0"/>
              <w:jc w:val="left"/>
              <w:rPr>
                <w:rFonts w:eastAsia="Times New Roman" w:cs="Times New Roman"/>
                <w:kern w:val="0"/>
                <w:sz w:val="20"/>
                <w:szCs w:val="20"/>
              </w:rPr>
            </w:pPr>
          </w:p>
        </w:tc>
        <w:tc>
          <w:tcPr>
            <w:tcW w:w="1115" w:type="dxa"/>
            <w:tcBorders>
              <w:top w:val="nil"/>
              <w:left w:val="nil"/>
              <w:bottom w:val="nil"/>
              <w:right w:val="nil"/>
            </w:tcBorders>
            <w:shd w:val="clear" w:color="auto" w:fill="auto"/>
            <w:noWrap/>
            <w:vAlign w:val="center"/>
          </w:tcPr>
          <w:p>
            <w:pPr>
              <w:widowControl/>
              <w:overflowPunct/>
              <w:spacing w:line="240" w:lineRule="auto"/>
              <w:ind w:firstLineChars="0" w:firstLine="0"/>
              <w:jc w:val="left"/>
              <w:rPr>
                <w:rFonts w:eastAsia="Times New Roman" w:cs="Times New Roman"/>
                <w:kern w:val="0"/>
                <w:sz w:val="20"/>
                <w:szCs w:val="20"/>
              </w:rPr>
            </w:pPr>
          </w:p>
        </w:tc>
        <w:tc>
          <w:tcPr>
            <w:tcW w:w="1069" w:type="dxa"/>
            <w:tcBorders>
              <w:top w:val="nil"/>
              <w:left w:val="nil"/>
              <w:bottom w:val="nil"/>
              <w:right w:val="nil"/>
            </w:tcBorders>
            <w:shd w:val="clear" w:color="auto" w:fill="auto"/>
            <w:noWrap/>
            <w:vAlign w:val="center"/>
          </w:tcPr>
          <w:p>
            <w:pPr>
              <w:widowControl/>
              <w:overflowPunct/>
              <w:spacing w:line="240" w:lineRule="auto"/>
              <w:ind w:firstLineChars="0" w:firstLine="0"/>
              <w:jc w:val="left"/>
              <w:rPr>
                <w:rFonts w:eastAsia="Times New Roman" w:cs="Times New Roman"/>
                <w:kern w:val="0"/>
                <w:sz w:val="20"/>
                <w:szCs w:val="20"/>
              </w:rPr>
            </w:pPr>
          </w:p>
        </w:tc>
        <w:tc>
          <w:tcPr>
            <w:tcW w:w="2414" w:type="dxa"/>
            <w:gridSpan w:val="2"/>
            <w:tcBorders>
              <w:top w:val="nil"/>
              <w:left w:val="nil"/>
              <w:bottom w:val="nil"/>
              <w:right w:val="nil"/>
            </w:tcBorders>
            <w:shd w:val="clear" w:color="auto" w:fill="auto"/>
            <w:noWrap/>
            <w:vAlign w:val="center"/>
          </w:tcPr>
          <w:p>
            <w:pPr>
              <w:widowControl/>
              <w:overflowPunct/>
              <w:spacing w:line="240" w:lineRule="auto"/>
              <w:ind w:firstLineChars="0" w:firstLine="0"/>
              <w:jc w:val="right"/>
              <w:rPr>
                <w:rFonts w:eastAsia="黑体" w:cs="宋体"/>
                <w:kern w:val="0"/>
                <w:sz w:val="20"/>
                <w:szCs w:val="20"/>
              </w:rPr>
            </w:pPr>
            <w:r>
              <w:rPr>
                <w:rFonts w:eastAsia="黑体" w:cs="宋体" w:hint="eastAsia"/>
                <w:kern w:val="0"/>
                <w:sz w:val="20"/>
                <w:szCs w:val="20"/>
              </w:rPr>
              <w:t>部门公开表2</w:t>
            </w:r>
          </w:p>
        </w:tc>
      </w:tr>
      <w:tr>
        <w:trPr>
          <w:trHeight w:val="405"/>
        </w:trPr>
        <w:tc>
          <w:tcPr>
            <w:tcW w:w="14174" w:type="dxa"/>
            <w:gridSpan w:val="12"/>
            <w:tcBorders>
              <w:top w:val="nil"/>
              <w:left w:val="nil"/>
              <w:bottom w:val="nil"/>
              <w:right w:val="nil"/>
            </w:tcBorders>
            <w:shd w:val="clear" w:color="auto" w:fill="auto"/>
            <w:noWrap/>
            <w:vAlign w:val="center"/>
          </w:tcPr>
          <w:p>
            <w:pPr>
              <w:widowControl/>
              <w:overflowPunct/>
              <w:spacing w:line="240" w:lineRule="auto"/>
              <w:ind w:firstLineChars="0" w:firstLine="0"/>
              <w:jc w:val="center"/>
              <w:rPr>
                <w:rFonts w:eastAsia="宋体" w:cs="宋体"/>
                <w:kern w:val="0"/>
                <w:sz w:val="36"/>
                <w:szCs w:val="36"/>
              </w:rPr>
            </w:pPr>
            <w:r>
              <w:rPr>
                <w:rFonts w:eastAsia="宋体" w:cs="宋体" w:hint="eastAsia"/>
                <w:kern w:val="0"/>
                <w:sz w:val="36"/>
                <w:szCs w:val="36"/>
              </w:rPr>
              <w:t>部门收入总表</w:t>
            </w:r>
          </w:p>
        </w:tc>
      </w:tr>
      <w:tr>
        <w:trPr>
          <w:trHeight w:val="270"/>
        </w:trPr>
        <w:tc>
          <w:tcPr>
            <w:tcW w:w="1803" w:type="dxa"/>
            <w:tcBorders>
              <w:top w:val="nil"/>
              <w:left w:val="nil"/>
              <w:bottom w:val="single" w:sz="4" w:space="0" w:color="auto"/>
              <w:right w:val="nil"/>
            </w:tcBorders>
            <w:shd w:val="clear" w:color="auto" w:fill="auto"/>
            <w:noWrap/>
            <w:vAlign w:val="center"/>
          </w:tcPr>
          <w:p>
            <w:pPr>
              <w:widowControl/>
              <w:overflowPunct/>
              <w:spacing w:line="240" w:lineRule="auto"/>
              <w:ind w:firstLineChars="0" w:firstLine="0"/>
              <w:jc w:val="left"/>
              <w:rPr>
                <w:rFonts w:eastAsia="宋体" w:cs="宋体"/>
                <w:kern w:val="0"/>
                <w:sz w:val="18"/>
                <w:szCs w:val="18"/>
              </w:rPr>
            </w:pPr>
            <w:r>
              <w:rPr>
                <w:rFonts w:eastAsia="宋体" w:cs="宋体" w:hint="eastAsia"/>
                <w:kern w:val="0"/>
                <w:sz w:val="18"/>
                <w:szCs w:val="18"/>
              </w:rPr>
              <w:t>　</w:t>
            </w:r>
          </w:p>
        </w:tc>
        <w:tc>
          <w:tcPr>
            <w:tcW w:w="1524" w:type="dxa"/>
            <w:tcBorders>
              <w:top w:val="nil"/>
              <w:left w:val="nil"/>
              <w:bottom w:val="single" w:sz="4" w:space="0" w:color="auto"/>
              <w:right w:val="nil"/>
            </w:tcBorders>
            <w:shd w:val="clear" w:color="auto" w:fill="auto"/>
            <w:noWrap/>
            <w:vAlign w:val="center"/>
          </w:tcPr>
          <w:p>
            <w:pPr>
              <w:widowControl/>
              <w:overflowPunct/>
              <w:spacing w:line="240" w:lineRule="auto"/>
              <w:ind w:firstLineChars="0" w:firstLine="0"/>
              <w:jc w:val="left"/>
              <w:rPr>
                <w:rFonts w:eastAsia="宋体" w:cs="宋体"/>
                <w:kern w:val="0"/>
                <w:sz w:val="18"/>
                <w:szCs w:val="18"/>
              </w:rPr>
            </w:pPr>
            <w:r>
              <w:rPr>
                <w:rFonts w:eastAsia="宋体" w:cs="宋体" w:hint="eastAsia"/>
                <w:kern w:val="0"/>
                <w:sz w:val="18"/>
                <w:szCs w:val="18"/>
              </w:rPr>
              <w:t>　</w:t>
            </w:r>
          </w:p>
        </w:tc>
        <w:tc>
          <w:tcPr>
            <w:tcW w:w="1199" w:type="dxa"/>
            <w:tcBorders>
              <w:top w:val="nil"/>
              <w:left w:val="nil"/>
              <w:bottom w:val="single" w:sz="4" w:space="0" w:color="auto"/>
              <w:right w:val="nil"/>
            </w:tcBorders>
            <w:shd w:val="clear" w:color="auto" w:fill="auto"/>
            <w:noWrap/>
            <w:vAlign w:val="center"/>
          </w:tcPr>
          <w:p>
            <w:pPr>
              <w:widowControl/>
              <w:overflowPunct/>
              <w:spacing w:line="240" w:lineRule="auto"/>
              <w:ind w:firstLineChars="0" w:firstLine="0"/>
              <w:jc w:val="left"/>
              <w:rPr>
                <w:rFonts w:eastAsia="宋体" w:cs="宋体"/>
                <w:kern w:val="0"/>
                <w:sz w:val="18"/>
                <w:szCs w:val="18"/>
              </w:rPr>
            </w:pPr>
            <w:r>
              <w:rPr>
                <w:rFonts w:eastAsia="宋体" w:cs="宋体" w:hint="eastAsia"/>
                <w:kern w:val="0"/>
                <w:sz w:val="18"/>
                <w:szCs w:val="18"/>
              </w:rPr>
              <w:t>　</w:t>
            </w:r>
          </w:p>
        </w:tc>
        <w:tc>
          <w:tcPr>
            <w:tcW w:w="866" w:type="dxa"/>
            <w:tcBorders>
              <w:top w:val="nil"/>
              <w:left w:val="nil"/>
              <w:bottom w:val="single" w:sz="4" w:space="0" w:color="auto"/>
              <w:right w:val="nil"/>
            </w:tcBorders>
            <w:shd w:val="clear" w:color="auto" w:fill="auto"/>
            <w:noWrap/>
            <w:vAlign w:val="center"/>
          </w:tcPr>
          <w:p>
            <w:pPr>
              <w:widowControl/>
              <w:overflowPunct/>
              <w:spacing w:line="240" w:lineRule="auto"/>
              <w:ind w:firstLineChars="0" w:firstLine="0"/>
              <w:jc w:val="left"/>
              <w:rPr>
                <w:rFonts w:eastAsia="宋体" w:cs="宋体"/>
                <w:kern w:val="0"/>
                <w:sz w:val="18"/>
                <w:szCs w:val="18"/>
              </w:rPr>
            </w:pPr>
            <w:r>
              <w:rPr>
                <w:rFonts w:eastAsia="宋体" w:cs="宋体" w:hint="eastAsia"/>
                <w:kern w:val="0"/>
                <w:sz w:val="18"/>
                <w:szCs w:val="18"/>
              </w:rPr>
              <w:t>　</w:t>
            </w:r>
          </w:p>
        </w:tc>
        <w:tc>
          <w:tcPr>
            <w:tcW w:w="866" w:type="dxa"/>
            <w:tcBorders>
              <w:top w:val="nil"/>
              <w:left w:val="nil"/>
              <w:bottom w:val="single" w:sz="4" w:space="0" w:color="auto"/>
              <w:right w:val="nil"/>
            </w:tcBorders>
            <w:shd w:val="clear" w:color="auto" w:fill="auto"/>
            <w:noWrap/>
            <w:vAlign w:val="center"/>
          </w:tcPr>
          <w:p>
            <w:pPr>
              <w:widowControl/>
              <w:overflowPunct/>
              <w:spacing w:line="240" w:lineRule="auto"/>
              <w:ind w:firstLineChars="0" w:firstLine="0"/>
              <w:jc w:val="left"/>
              <w:rPr>
                <w:rFonts w:eastAsia="宋体" w:cs="宋体"/>
                <w:kern w:val="0"/>
                <w:sz w:val="18"/>
                <w:szCs w:val="18"/>
              </w:rPr>
            </w:pPr>
            <w:r>
              <w:rPr>
                <w:rFonts w:eastAsia="宋体" w:cs="宋体" w:hint="eastAsia"/>
                <w:kern w:val="0"/>
                <w:sz w:val="18"/>
                <w:szCs w:val="18"/>
              </w:rPr>
              <w:t>　</w:t>
            </w:r>
          </w:p>
        </w:tc>
        <w:tc>
          <w:tcPr>
            <w:tcW w:w="1097" w:type="dxa"/>
            <w:tcBorders>
              <w:top w:val="nil"/>
              <w:left w:val="nil"/>
              <w:bottom w:val="single" w:sz="4" w:space="0" w:color="auto"/>
              <w:right w:val="nil"/>
            </w:tcBorders>
            <w:shd w:val="clear" w:color="auto" w:fill="auto"/>
            <w:noWrap/>
            <w:vAlign w:val="center"/>
          </w:tcPr>
          <w:p>
            <w:pPr>
              <w:widowControl/>
              <w:overflowPunct/>
              <w:spacing w:line="240" w:lineRule="auto"/>
              <w:ind w:firstLineChars="0" w:firstLine="0"/>
              <w:jc w:val="left"/>
              <w:rPr>
                <w:rFonts w:eastAsia="宋体" w:cs="宋体"/>
                <w:kern w:val="0"/>
                <w:sz w:val="18"/>
                <w:szCs w:val="18"/>
              </w:rPr>
            </w:pPr>
            <w:r>
              <w:rPr>
                <w:rFonts w:eastAsia="宋体" w:cs="宋体" w:hint="eastAsia"/>
                <w:kern w:val="0"/>
                <w:sz w:val="18"/>
                <w:szCs w:val="18"/>
              </w:rPr>
              <w:t>　</w:t>
            </w:r>
          </w:p>
        </w:tc>
        <w:tc>
          <w:tcPr>
            <w:tcW w:w="1101" w:type="dxa"/>
            <w:tcBorders>
              <w:top w:val="nil"/>
              <w:left w:val="nil"/>
              <w:bottom w:val="single" w:sz="4" w:space="0" w:color="auto"/>
              <w:right w:val="nil"/>
            </w:tcBorders>
            <w:shd w:val="clear" w:color="auto" w:fill="auto"/>
            <w:noWrap/>
            <w:vAlign w:val="center"/>
          </w:tcPr>
          <w:p>
            <w:pPr>
              <w:widowControl/>
              <w:overflowPunct/>
              <w:spacing w:line="240" w:lineRule="auto"/>
              <w:ind w:firstLineChars="0" w:firstLine="0"/>
              <w:jc w:val="left"/>
              <w:rPr>
                <w:rFonts w:eastAsia="宋体" w:cs="宋体"/>
                <w:kern w:val="0"/>
                <w:sz w:val="18"/>
                <w:szCs w:val="18"/>
              </w:rPr>
            </w:pPr>
            <w:r>
              <w:rPr>
                <w:rFonts w:eastAsia="宋体" w:cs="宋体" w:hint="eastAsia"/>
                <w:kern w:val="0"/>
                <w:sz w:val="18"/>
                <w:szCs w:val="18"/>
              </w:rPr>
              <w:t>　</w:t>
            </w:r>
          </w:p>
        </w:tc>
        <w:tc>
          <w:tcPr>
            <w:tcW w:w="1120" w:type="dxa"/>
            <w:tcBorders>
              <w:top w:val="nil"/>
              <w:left w:val="nil"/>
              <w:bottom w:val="single" w:sz="4" w:space="0" w:color="auto"/>
              <w:right w:val="nil"/>
            </w:tcBorders>
            <w:shd w:val="clear" w:color="auto" w:fill="auto"/>
            <w:noWrap/>
            <w:vAlign w:val="center"/>
          </w:tcPr>
          <w:p>
            <w:pPr>
              <w:widowControl/>
              <w:overflowPunct/>
              <w:spacing w:line="240" w:lineRule="auto"/>
              <w:ind w:firstLineChars="0" w:firstLine="0"/>
              <w:jc w:val="left"/>
              <w:rPr>
                <w:rFonts w:eastAsia="宋体" w:cs="宋体"/>
                <w:kern w:val="0"/>
                <w:sz w:val="18"/>
                <w:szCs w:val="18"/>
              </w:rPr>
            </w:pPr>
            <w:r>
              <w:rPr>
                <w:rFonts w:eastAsia="宋体" w:cs="宋体" w:hint="eastAsia"/>
                <w:kern w:val="0"/>
                <w:sz w:val="18"/>
                <w:szCs w:val="18"/>
              </w:rPr>
              <w:t>　</w:t>
            </w:r>
          </w:p>
        </w:tc>
        <w:tc>
          <w:tcPr>
            <w:tcW w:w="1115" w:type="dxa"/>
            <w:tcBorders>
              <w:top w:val="nil"/>
              <w:left w:val="nil"/>
              <w:bottom w:val="single" w:sz="4" w:space="0" w:color="auto"/>
              <w:right w:val="nil"/>
            </w:tcBorders>
            <w:shd w:val="clear" w:color="auto" w:fill="auto"/>
            <w:noWrap/>
            <w:vAlign w:val="center"/>
          </w:tcPr>
          <w:p>
            <w:pPr>
              <w:widowControl/>
              <w:overflowPunct/>
              <w:spacing w:line="240" w:lineRule="auto"/>
              <w:ind w:firstLineChars="0" w:firstLine="0"/>
              <w:jc w:val="left"/>
              <w:rPr>
                <w:rFonts w:eastAsia="宋体" w:cs="宋体"/>
                <w:kern w:val="0"/>
                <w:sz w:val="18"/>
                <w:szCs w:val="18"/>
              </w:rPr>
            </w:pPr>
            <w:r>
              <w:rPr>
                <w:rFonts w:eastAsia="宋体" w:cs="宋体" w:hint="eastAsia"/>
                <w:kern w:val="0"/>
                <w:sz w:val="18"/>
                <w:szCs w:val="18"/>
              </w:rPr>
              <w:t>　</w:t>
            </w:r>
          </w:p>
        </w:tc>
        <w:tc>
          <w:tcPr>
            <w:tcW w:w="1069" w:type="dxa"/>
            <w:tcBorders>
              <w:top w:val="nil"/>
              <w:left w:val="nil"/>
              <w:bottom w:val="single" w:sz="4" w:space="0" w:color="auto"/>
              <w:right w:val="nil"/>
            </w:tcBorders>
            <w:shd w:val="clear" w:color="auto" w:fill="auto"/>
            <w:noWrap/>
            <w:vAlign w:val="center"/>
          </w:tcPr>
          <w:p>
            <w:pPr>
              <w:widowControl/>
              <w:overflowPunct/>
              <w:spacing w:line="240" w:lineRule="auto"/>
              <w:ind w:firstLineChars="0" w:firstLine="0"/>
              <w:jc w:val="left"/>
              <w:rPr>
                <w:rFonts w:eastAsia="宋体" w:cs="宋体"/>
                <w:kern w:val="0"/>
                <w:sz w:val="18"/>
                <w:szCs w:val="18"/>
              </w:rPr>
            </w:pPr>
            <w:r>
              <w:rPr>
                <w:rFonts w:eastAsia="宋体" w:cs="宋体" w:hint="eastAsia"/>
                <w:kern w:val="0"/>
                <w:sz w:val="18"/>
                <w:szCs w:val="18"/>
              </w:rPr>
              <w:t>　</w:t>
            </w:r>
          </w:p>
        </w:tc>
        <w:tc>
          <w:tcPr>
            <w:tcW w:w="1146" w:type="dxa"/>
            <w:tcBorders>
              <w:top w:val="nil"/>
              <w:left w:val="nil"/>
              <w:bottom w:val="single" w:sz="4" w:space="0" w:color="auto"/>
              <w:right w:val="nil"/>
            </w:tcBorders>
            <w:shd w:val="clear" w:color="auto" w:fill="auto"/>
            <w:noWrap/>
            <w:vAlign w:val="center"/>
          </w:tcPr>
          <w:p>
            <w:pPr>
              <w:widowControl/>
              <w:overflowPunct/>
              <w:spacing w:line="240" w:lineRule="auto"/>
              <w:ind w:firstLineChars="0" w:firstLine="0"/>
              <w:jc w:val="left"/>
              <w:rPr>
                <w:rFonts w:eastAsia="宋体" w:cs="宋体"/>
                <w:kern w:val="0"/>
                <w:sz w:val="18"/>
                <w:szCs w:val="18"/>
              </w:rPr>
            </w:pPr>
            <w:r>
              <w:rPr>
                <w:rFonts w:eastAsia="宋体" w:cs="宋体" w:hint="eastAsia"/>
                <w:kern w:val="0"/>
                <w:sz w:val="18"/>
                <w:szCs w:val="18"/>
              </w:rPr>
              <w:t>　</w:t>
            </w:r>
          </w:p>
        </w:tc>
        <w:tc>
          <w:tcPr>
            <w:tcW w:w="1268" w:type="dxa"/>
            <w:tcBorders>
              <w:top w:val="nil"/>
              <w:left w:val="nil"/>
              <w:bottom w:val="single" w:sz="4" w:space="0" w:color="auto"/>
              <w:right w:val="nil"/>
            </w:tcBorders>
            <w:shd w:val="clear" w:color="auto" w:fill="auto"/>
            <w:noWrap/>
            <w:vAlign w:val="center"/>
          </w:tcPr>
          <w:p>
            <w:pPr>
              <w:widowControl/>
              <w:overflowPunct/>
              <w:spacing w:line="240" w:lineRule="auto"/>
              <w:ind w:firstLineChars="0" w:firstLine="0"/>
              <w:jc w:val="left"/>
              <w:rPr>
                <w:rFonts w:eastAsia="宋体" w:cs="宋体"/>
                <w:kern w:val="0"/>
                <w:sz w:val="18"/>
                <w:szCs w:val="18"/>
              </w:rPr>
            </w:pPr>
            <w:r>
              <w:rPr>
                <w:rFonts w:eastAsia="宋体" w:cs="宋体" w:hint="eastAsia"/>
                <w:kern w:val="0"/>
                <w:sz w:val="18"/>
                <w:szCs w:val="18"/>
              </w:rPr>
              <w:t>单位：万元</w:t>
            </w:r>
          </w:p>
        </w:tc>
      </w:tr>
      <w:tr>
        <w:trPr>
          <w:trHeight w:val="270"/>
        </w:trPr>
        <w:tc>
          <w:tcPr>
            <w:tcW w:w="1803" w:type="dxa"/>
            <w:vMerge w:val="restart"/>
            <w:tcBorders>
              <w:top w:val="nil"/>
              <w:left w:val="single" w:sz="4" w:space="0" w:color="auto"/>
              <w:bottom w:val="single" w:sz="4" w:space="0" w:color="auto"/>
              <w:right w:val="single" w:sz="4" w:space="0" w:color="auto"/>
            </w:tcBorders>
            <w:shd w:val="clear" w:color="auto" w:fill="auto"/>
            <w:vAlign w:val="center"/>
          </w:tcPr>
          <w:p>
            <w:pPr>
              <w:widowControl/>
              <w:overflowPunct/>
              <w:spacing w:line="240" w:lineRule="auto"/>
              <w:ind w:firstLineChars="0" w:firstLine="0"/>
              <w:jc w:val="center"/>
              <w:rPr>
                <w:rFonts w:eastAsia="宋体" w:cs="宋体"/>
                <w:kern w:val="0"/>
                <w:sz w:val="20"/>
                <w:szCs w:val="20"/>
              </w:rPr>
            </w:pPr>
            <w:r>
              <w:rPr>
                <w:rFonts w:eastAsia="宋体" w:cs="宋体" w:hint="eastAsia"/>
                <w:kern w:val="0"/>
                <w:sz w:val="20"/>
                <w:szCs w:val="20"/>
              </w:rPr>
              <w:t>合计</w:t>
            </w:r>
          </w:p>
        </w:tc>
        <w:tc>
          <w:tcPr>
            <w:tcW w:w="1524" w:type="dxa"/>
            <w:vMerge w:val="restart"/>
            <w:tcBorders>
              <w:top w:val="nil"/>
              <w:left w:val="single" w:sz="4" w:space="0" w:color="auto"/>
              <w:bottom w:val="nil"/>
              <w:right w:val="single" w:sz="4" w:space="0" w:color="auto"/>
            </w:tcBorders>
            <w:shd w:val="clear" w:color="auto" w:fill="auto"/>
            <w:vAlign w:val="center"/>
          </w:tcPr>
          <w:p>
            <w:pPr>
              <w:widowControl/>
              <w:overflowPunct/>
              <w:spacing w:line="240" w:lineRule="auto"/>
              <w:ind w:firstLineChars="0" w:firstLine="0"/>
              <w:jc w:val="center"/>
              <w:rPr>
                <w:rFonts w:eastAsia="宋体" w:cs="宋体"/>
                <w:kern w:val="0"/>
                <w:sz w:val="20"/>
                <w:szCs w:val="20"/>
              </w:rPr>
            </w:pPr>
            <w:r>
              <w:rPr>
                <w:rFonts w:eastAsia="宋体" w:cs="宋体" w:hint="eastAsia"/>
                <w:kern w:val="0"/>
                <w:sz w:val="20"/>
                <w:szCs w:val="20"/>
              </w:rPr>
              <w:t>上年结转</w:t>
            </w:r>
          </w:p>
        </w:tc>
        <w:tc>
          <w:tcPr>
            <w:tcW w:w="1199" w:type="dxa"/>
            <w:vMerge w:val="restart"/>
            <w:tcBorders>
              <w:top w:val="nil"/>
              <w:left w:val="single" w:sz="4" w:space="0" w:color="auto"/>
              <w:bottom w:val="single" w:sz="4" w:space="0" w:color="auto"/>
              <w:right w:val="single" w:sz="4" w:space="0" w:color="auto"/>
            </w:tcBorders>
            <w:shd w:val="clear" w:color="auto" w:fill="auto"/>
            <w:vAlign w:val="center"/>
          </w:tcPr>
          <w:p>
            <w:pPr>
              <w:widowControl/>
              <w:overflowPunct/>
              <w:spacing w:line="240" w:lineRule="auto"/>
              <w:ind w:firstLineChars="0" w:firstLine="0"/>
              <w:jc w:val="center"/>
              <w:rPr>
                <w:rFonts w:eastAsia="宋体" w:cs="宋体"/>
                <w:kern w:val="0"/>
                <w:sz w:val="20"/>
                <w:szCs w:val="20"/>
              </w:rPr>
            </w:pPr>
            <w:r>
              <w:rPr>
                <w:rFonts w:eastAsia="宋体" w:cs="宋体" w:hint="eastAsia"/>
                <w:kern w:val="0"/>
                <w:sz w:val="20"/>
                <w:szCs w:val="20"/>
              </w:rPr>
              <w:t>一般公共预算拨款收入</w:t>
            </w:r>
          </w:p>
        </w:tc>
        <w:tc>
          <w:tcPr>
            <w:tcW w:w="866" w:type="dxa"/>
            <w:vMerge w:val="restart"/>
            <w:tcBorders>
              <w:top w:val="nil"/>
              <w:left w:val="single" w:sz="4" w:space="0" w:color="auto"/>
              <w:bottom w:val="single" w:sz="4" w:space="0" w:color="auto"/>
              <w:right w:val="single" w:sz="4" w:space="0" w:color="auto"/>
            </w:tcBorders>
            <w:shd w:val="clear" w:color="auto" w:fill="auto"/>
            <w:vAlign w:val="center"/>
          </w:tcPr>
          <w:p>
            <w:pPr>
              <w:widowControl/>
              <w:overflowPunct/>
              <w:spacing w:line="240" w:lineRule="auto"/>
              <w:ind w:firstLineChars="0" w:firstLine="0"/>
              <w:jc w:val="center"/>
              <w:rPr>
                <w:rFonts w:eastAsia="宋体" w:cs="宋体"/>
                <w:kern w:val="0"/>
                <w:sz w:val="20"/>
                <w:szCs w:val="20"/>
              </w:rPr>
            </w:pPr>
            <w:r>
              <w:rPr>
                <w:rFonts w:eastAsia="宋体" w:cs="宋体" w:hint="eastAsia"/>
                <w:kern w:val="0"/>
                <w:sz w:val="20"/>
                <w:szCs w:val="20"/>
              </w:rPr>
              <w:t>政府性基金预算拨款收入</w:t>
            </w:r>
          </w:p>
        </w:tc>
        <w:tc>
          <w:tcPr>
            <w:tcW w:w="866" w:type="dxa"/>
            <w:vMerge w:val="restart"/>
            <w:tcBorders>
              <w:top w:val="nil"/>
              <w:left w:val="single" w:sz="4" w:space="0" w:color="auto"/>
              <w:bottom w:val="single" w:sz="4" w:space="0" w:color="auto"/>
              <w:right w:val="single" w:sz="4" w:space="0" w:color="auto"/>
            </w:tcBorders>
            <w:shd w:val="clear" w:color="auto" w:fill="auto"/>
            <w:vAlign w:val="center"/>
          </w:tcPr>
          <w:p>
            <w:pPr>
              <w:widowControl/>
              <w:overflowPunct/>
              <w:spacing w:line="240" w:lineRule="auto"/>
              <w:ind w:firstLineChars="0" w:firstLine="0"/>
              <w:jc w:val="center"/>
              <w:rPr>
                <w:rFonts w:eastAsia="宋体" w:cs="宋体"/>
                <w:kern w:val="0"/>
                <w:sz w:val="20"/>
                <w:szCs w:val="20"/>
              </w:rPr>
            </w:pPr>
            <w:r>
              <w:rPr>
                <w:rFonts w:eastAsia="宋体" w:cs="宋体" w:hint="eastAsia"/>
                <w:kern w:val="0"/>
                <w:sz w:val="20"/>
                <w:szCs w:val="20"/>
              </w:rPr>
              <w:t>国有资本经营预算拨款收入</w:t>
            </w:r>
          </w:p>
        </w:tc>
        <w:tc>
          <w:tcPr>
            <w:tcW w:w="2198"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pPr>
              <w:widowControl/>
              <w:overflowPunct/>
              <w:spacing w:line="240" w:lineRule="auto"/>
              <w:ind w:firstLineChars="0" w:firstLine="0"/>
              <w:jc w:val="center"/>
              <w:rPr>
                <w:rFonts w:eastAsia="宋体" w:cs="宋体"/>
                <w:kern w:val="0"/>
                <w:sz w:val="20"/>
                <w:szCs w:val="20"/>
              </w:rPr>
            </w:pPr>
            <w:r>
              <w:rPr>
                <w:rFonts w:eastAsia="宋体" w:cs="宋体" w:hint="eastAsia"/>
                <w:kern w:val="0"/>
                <w:sz w:val="20"/>
                <w:szCs w:val="20"/>
              </w:rPr>
              <w:t>事业收入</w:t>
            </w:r>
          </w:p>
        </w:tc>
        <w:tc>
          <w:tcPr>
            <w:tcW w:w="1120" w:type="dxa"/>
            <w:vMerge w:val="restart"/>
            <w:tcBorders>
              <w:top w:val="single" w:sz="4" w:space="0" w:color="auto"/>
              <w:left w:val="single" w:sz="4" w:space="0" w:color="auto"/>
              <w:bottom w:val="nil"/>
              <w:right w:val="nil"/>
            </w:tcBorders>
            <w:shd w:val="clear" w:color="auto" w:fill="auto"/>
            <w:vAlign w:val="center"/>
          </w:tcPr>
          <w:p>
            <w:pPr>
              <w:widowControl/>
              <w:overflowPunct/>
              <w:spacing w:line="240" w:lineRule="auto"/>
              <w:ind w:firstLineChars="0" w:firstLine="0"/>
              <w:jc w:val="center"/>
              <w:rPr>
                <w:rFonts w:eastAsia="宋体" w:cs="宋体"/>
                <w:kern w:val="0"/>
                <w:sz w:val="20"/>
                <w:szCs w:val="20"/>
              </w:rPr>
            </w:pPr>
            <w:r>
              <w:rPr>
                <w:rFonts w:eastAsia="宋体" w:cs="宋体" w:hint="eastAsia"/>
                <w:kern w:val="0"/>
                <w:sz w:val="20"/>
                <w:szCs w:val="20"/>
              </w:rPr>
              <w:t>事业单位经营收入</w:t>
            </w:r>
          </w:p>
        </w:tc>
        <w:tc>
          <w:tcPr>
            <w:tcW w:w="1115"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pPr>
              <w:widowControl/>
              <w:overflowPunct/>
              <w:spacing w:line="240" w:lineRule="auto"/>
              <w:ind w:firstLineChars="0" w:firstLine="0"/>
              <w:jc w:val="center"/>
              <w:rPr>
                <w:rFonts w:eastAsia="宋体" w:cs="宋体"/>
                <w:kern w:val="0"/>
                <w:sz w:val="20"/>
                <w:szCs w:val="20"/>
              </w:rPr>
            </w:pPr>
            <w:r>
              <w:rPr>
                <w:rFonts w:eastAsia="宋体" w:cs="宋体" w:hint="eastAsia"/>
                <w:kern w:val="0"/>
                <w:sz w:val="20"/>
                <w:szCs w:val="20"/>
              </w:rPr>
              <w:t>上级补助收入</w:t>
            </w:r>
          </w:p>
        </w:tc>
        <w:tc>
          <w:tcPr>
            <w:tcW w:w="106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pPr>
              <w:widowControl/>
              <w:overflowPunct/>
              <w:spacing w:line="240" w:lineRule="auto"/>
              <w:ind w:firstLineChars="0" w:firstLine="0"/>
              <w:jc w:val="center"/>
              <w:rPr>
                <w:rFonts w:eastAsia="宋体" w:cs="宋体"/>
                <w:kern w:val="0"/>
                <w:sz w:val="20"/>
                <w:szCs w:val="20"/>
              </w:rPr>
            </w:pPr>
            <w:r>
              <w:rPr>
                <w:rFonts w:eastAsia="宋体" w:cs="宋体" w:hint="eastAsia"/>
                <w:kern w:val="0"/>
                <w:sz w:val="20"/>
                <w:szCs w:val="20"/>
              </w:rPr>
              <w:t>附属单位上缴收入</w:t>
            </w:r>
          </w:p>
        </w:tc>
        <w:tc>
          <w:tcPr>
            <w:tcW w:w="114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pPr>
              <w:widowControl/>
              <w:overflowPunct/>
              <w:spacing w:line="240" w:lineRule="auto"/>
              <w:ind w:firstLineChars="0" w:firstLine="0"/>
              <w:jc w:val="center"/>
              <w:rPr>
                <w:rFonts w:eastAsia="宋体" w:cs="宋体"/>
                <w:kern w:val="0"/>
                <w:sz w:val="20"/>
                <w:szCs w:val="20"/>
              </w:rPr>
            </w:pPr>
            <w:r>
              <w:rPr>
                <w:rFonts w:eastAsia="宋体" w:cs="宋体" w:hint="eastAsia"/>
                <w:kern w:val="0"/>
                <w:sz w:val="20"/>
                <w:szCs w:val="20"/>
              </w:rPr>
              <w:t>其他收入</w:t>
            </w:r>
          </w:p>
        </w:tc>
        <w:tc>
          <w:tcPr>
            <w:tcW w:w="126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pPr>
              <w:widowControl/>
              <w:overflowPunct/>
              <w:spacing w:line="240" w:lineRule="auto"/>
              <w:ind w:firstLineChars="0" w:firstLine="0"/>
              <w:jc w:val="center"/>
              <w:rPr>
                <w:rFonts w:eastAsia="宋体" w:cs="宋体"/>
                <w:kern w:val="0"/>
                <w:sz w:val="20"/>
                <w:szCs w:val="20"/>
              </w:rPr>
            </w:pPr>
            <w:r>
              <w:rPr>
                <w:rFonts w:eastAsia="宋体" w:cs="宋体" w:hint="eastAsia"/>
                <w:kern w:val="0"/>
                <w:sz w:val="20"/>
                <w:szCs w:val="20"/>
              </w:rPr>
              <w:t>使用非财政拨款结余</w:t>
            </w:r>
          </w:p>
        </w:tc>
      </w:tr>
      <w:tr>
        <w:trPr>
          <w:trHeight w:val="480"/>
        </w:trPr>
        <w:tc>
          <w:tcPr>
            <w:tcW w:w="1803" w:type="dxa"/>
            <w:vMerge/>
            <w:tcBorders>
              <w:top w:val="nil"/>
              <w:left w:val="single" w:sz="4" w:space="0" w:color="auto"/>
              <w:bottom w:val="single" w:sz="4" w:space="0" w:color="auto"/>
              <w:right w:val="single" w:sz="4" w:space="0" w:color="auto"/>
            </w:tcBorders>
            <w:vAlign w:val="center"/>
          </w:tcPr>
          <w:p/>
        </w:tc>
        <w:tc>
          <w:tcPr>
            <w:tcW w:w="1524" w:type="dxa"/>
            <w:vMerge/>
            <w:tcBorders>
              <w:top w:val="nil"/>
              <w:left w:val="single" w:sz="4" w:space="0" w:color="auto"/>
              <w:bottom w:val="nil"/>
              <w:right w:val="single" w:sz="4" w:space="0" w:color="auto"/>
            </w:tcBorders>
            <w:vAlign w:val="center"/>
          </w:tcPr>
          <w:p/>
        </w:tc>
        <w:tc>
          <w:tcPr>
            <w:tcW w:w="1199" w:type="dxa"/>
            <w:vMerge/>
            <w:tcBorders>
              <w:top w:val="nil"/>
              <w:left w:val="single" w:sz="4" w:space="0" w:color="auto"/>
              <w:bottom w:val="single" w:sz="4" w:space="0" w:color="auto"/>
              <w:right w:val="single" w:sz="4" w:space="0" w:color="auto"/>
            </w:tcBorders>
            <w:vAlign w:val="center"/>
          </w:tcPr>
          <w:p/>
        </w:tc>
        <w:tc>
          <w:tcPr>
            <w:tcW w:w="866" w:type="dxa"/>
            <w:vMerge/>
            <w:tcBorders>
              <w:top w:val="nil"/>
              <w:left w:val="single" w:sz="4" w:space="0" w:color="auto"/>
              <w:bottom w:val="single" w:sz="4" w:space="0" w:color="auto"/>
              <w:right w:val="single" w:sz="4" w:space="0" w:color="auto"/>
            </w:tcBorders>
            <w:vAlign w:val="center"/>
          </w:tcPr>
          <w:p/>
        </w:tc>
        <w:tc>
          <w:tcPr>
            <w:tcW w:w="866" w:type="dxa"/>
            <w:vMerge/>
            <w:tcBorders>
              <w:top w:val="nil"/>
              <w:left w:val="single" w:sz="4" w:space="0" w:color="auto"/>
              <w:bottom w:val="single" w:sz="4" w:space="0" w:color="auto"/>
              <w:right w:val="single" w:sz="4" w:space="0" w:color="auto"/>
            </w:tcBorders>
            <w:vAlign w:val="center"/>
          </w:tcPr>
          <w:p/>
        </w:tc>
        <w:tc>
          <w:tcPr>
            <w:tcW w:w="1097" w:type="dxa"/>
            <w:tcBorders>
              <w:top w:val="single" w:sz="4" w:space="0" w:color="auto"/>
              <w:left w:val="nil"/>
              <w:bottom w:val="single" w:sz="4" w:space="0" w:color="auto"/>
              <w:right w:val="single" w:sz="4" w:space="0" w:color="auto"/>
            </w:tcBorders>
            <w:shd w:val="clear" w:color="auto" w:fill="auto"/>
            <w:vAlign w:val="center"/>
          </w:tcPr>
          <w:p>
            <w:pPr>
              <w:widowControl/>
              <w:overflowPunct/>
              <w:spacing w:line="240" w:lineRule="auto"/>
              <w:ind w:firstLineChars="0" w:firstLine="0"/>
              <w:jc w:val="center"/>
              <w:rPr>
                <w:rFonts w:eastAsia="宋体" w:cs="宋体"/>
                <w:kern w:val="0"/>
                <w:sz w:val="20"/>
                <w:szCs w:val="20"/>
              </w:rPr>
            </w:pPr>
            <w:r>
              <w:rPr>
                <w:rFonts w:eastAsia="宋体" w:cs="宋体" w:hint="eastAsia"/>
                <w:kern w:val="0"/>
                <w:sz w:val="20"/>
                <w:szCs w:val="20"/>
              </w:rPr>
              <w:t>金额</w:t>
            </w:r>
          </w:p>
        </w:tc>
        <w:tc>
          <w:tcPr>
            <w:tcW w:w="1101" w:type="dxa"/>
            <w:tcBorders>
              <w:top w:val="single" w:sz="4" w:space="0" w:color="auto"/>
              <w:left w:val="nil"/>
              <w:bottom w:val="single" w:sz="4" w:space="0" w:color="auto"/>
              <w:right w:val="single" w:sz="4" w:space="0" w:color="auto"/>
            </w:tcBorders>
            <w:shd w:val="clear" w:color="auto" w:fill="auto"/>
            <w:vAlign w:val="center"/>
          </w:tcPr>
          <w:p>
            <w:pPr>
              <w:widowControl/>
              <w:overflowPunct/>
              <w:spacing w:line="240" w:lineRule="auto"/>
              <w:ind w:firstLineChars="0" w:firstLine="0"/>
              <w:jc w:val="center"/>
              <w:rPr>
                <w:rFonts w:eastAsia="宋体" w:cs="宋体"/>
                <w:kern w:val="0"/>
                <w:sz w:val="20"/>
                <w:szCs w:val="20"/>
              </w:rPr>
            </w:pPr>
            <w:r>
              <w:rPr>
                <w:rFonts w:eastAsia="宋体" w:cs="宋体" w:hint="eastAsia"/>
                <w:kern w:val="0"/>
                <w:sz w:val="20"/>
                <w:szCs w:val="20"/>
              </w:rPr>
              <w:t>其中：教育收费</w:t>
            </w:r>
          </w:p>
        </w:tc>
        <w:tc>
          <w:tcPr>
            <w:tcW w:w="1120" w:type="dxa"/>
            <w:vMerge/>
            <w:tcBorders>
              <w:top w:val="single" w:sz="4" w:space="0" w:color="auto"/>
              <w:left w:val="single" w:sz="4" w:space="0" w:color="auto"/>
              <w:bottom w:val="nil"/>
              <w:right w:val="nil"/>
            </w:tcBorders>
            <w:vAlign w:val="center"/>
          </w:tcPr>
          <w:p/>
        </w:tc>
        <w:tc>
          <w:tcPr>
            <w:tcW w:w="1115" w:type="dxa"/>
            <w:vMerge/>
            <w:tcBorders>
              <w:top w:val="single" w:sz="4" w:space="0" w:color="auto"/>
              <w:left w:val="single" w:sz="4" w:space="0" w:color="auto"/>
              <w:bottom w:val="single" w:sz="4" w:space="0" w:color="000000"/>
              <w:right w:val="single" w:sz="4" w:space="0" w:color="auto"/>
            </w:tcBorders>
            <w:vAlign w:val="center"/>
          </w:tcPr>
          <w:p/>
        </w:tc>
        <w:tc>
          <w:tcPr>
            <w:tcW w:w="1069" w:type="dxa"/>
            <w:vMerge/>
            <w:tcBorders>
              <w:top w:val="single" w:sz="4" w:space="0" w:color="auto"/>
              <w:left w:val="single" w:sz="4" w:space="0" w:color="auto"/>
              <w:bottom w:val="single" w:sz="4" w:space="0" w:color="auto"/>
              <w:right w:val="single" w:sz="4" w:space="0" w:color="auto"/>
            </w:tcBorders>
            <w:vAlign w:val="center"/>
          </w:tcPr>
          <w:p/>
        </w:tc>
        <w:tc>
          <w:tcPr>
            <w:tcW w:w="1146" w:type="dxa"/>
            <w:vMerge/>
            <w:tcBorders>
              <w:top w:val="single" w:sz="4" w:space="0" w:color="auto"/>
              <w:left w:val="single" w:sz="4" w:space="0" w:color="auto"/>
              <w:bottom w:val="single" w:sz="4" w:space="0" w:color="auto"/>
              <w:right w:val="single" w:sz="4" w:space="0" w:color="auto"/>
            </w:tcBorders>
            <w:vAlign w:val="center"/>
          </w:tcPr>
          <w:p/>
        </w:tc>
        <w:tc>
          <w:tcPr>
            <w:tcW w:w="1268" w:type="dxa"/>
            <w:vMerge/>
            <w:tcBorders>
              <w:top w:val="single" w:sz="4" w:space="0" w:color="auto"/>
              <w:left w:val="single" w:sz="4" w:space="0" w:color="auto"/>
              <w:bottom w:val="single" w:sz="4" w:space="0" w:color="auto"/>
              <w:right w:val="single" w:sz="4" w:space="0" w:color="auto"/>
            </w:tcBorders>
            <w:vAlign w:val="center"/>
          </w:tcPr>
          <w:p/>
        </w:tc>
      </w:tr>
      <w:tr>
        <w:trPr>
          <w:trHeight w:val="270"/>
        </w:trPr>
        <w:tc>
          <w:tcPr>
            <w:tcW w:w="1803" w:type="dxa"/>
            <w:tcBorders>
              <w:top w:val="nil"/>
              <w:left w:val="single" w:sz="4" w:space="0" w:color="auto"/>
              <w:bottom w:val="single" w:sz="4" w:space="0" w:color="auto"/>
              <w:right w:val="single" w:sz="4" w:space="0" w:color="auto"/>
            </w:tcBorders>
            <w:shd w:val="clear" w:color="auto" w:fill="auto"/>
            <w:vAlign w:val="center"/>
          </w:tcPr>
          <w:p>
            <w:pPr>
              <w:widowControl/>
              <w:overflowPunct/>
              <w:spacing w:line="240" w:lineRule="auto"/>
              <w:ind w:firstLineChars="0" w:firstLine="0"/>
              <w:jc w:val="right"/>
              <w:rPr>
                <w:rFonts w:eastAsia="宋体" w:cs="宋体"/>
                <w:kern w:val="0"/>
                <w:sz w:val="20"/>
                <w:szCs w:val="20"/>
              </w:rPr>
            </w:pPr>
            <w:r>
              <w:rPr>
                <w:rFonts w:cs="Calibri" w:hint="eastAsia"/>
                <w:sz w:val="16"/>
                <w:szCs w:val="16"/>
              </w:rPr>
              <w:t>153,800.92</w:t>
            </w:r>
          </w:p>
        </w:tc>
        <w:tc>
          <w:tcPr>
            <w:tcW w:w="1524" w:type="dxa"/>
            <w:tcBorders>
              <w:top w:val="single" w:sz="4" w:space="0" w:color="auto"/>
              <w:left w:val="nil"/>
              <w:bottom w:val="single" w:sz="4" w:space="0" w:color="auto"/>
              <w:right w:val="single" w:sz="4" w:space="0" w:color="auto"/>
            </w:tcBorders>
            <w:shd w:val="clear" w:color="auto" w:fill="auto"/>
            <w:vAlign w:val="center"/>
          </w:tcPr>
          <w:p>
            <w:pPr>
              <w:widowControl/>
              <w:overflowPunct/>
              <w:spacing w:line="240" w:lineRule="auto"/>
              <w:ind w:firstLineChars="0" w:firstLine="0"/>
              <w:jc w:val="right"/>
              <w:rPr>
                <w:rFonts w:eastAsia="宋体" w:cs="宋体"/>
                <w:kern w:val="0"/>
                <w:sz w:val="20"/>
                <w:szCs w:val="20"/>
              </w:rPr>
            </w:pPr>
            <w:r>
              <w:rPr>
                <w:rFonts w:cs="Calibri" w:hint="eastAsia"/>
                <w:sz w:val="16"/>
                <w:szCs w:val="16"/>
              </w:rPr>
              <w:t>11,268.25</w:t>
            </w:r>
          </w:p>
        </w:tc>
        <w:tc>
          <w:tcPr>
            <w:tcW w:w="1199" w:type="dxa"/>
            <w:tcBorders>
              <w:top w:val="nil"/>
              <w:left w:val="nil"/>
              <w:bottom w:val="single" w:sz="4" w:space="0" w:color="auto"/>
              <w:right w:val="single" w:sz="4" w:space="0" w:color="auto"/>
            </w:tcBorders>
            <w:shd w:val="clear" w:color="auto" w:fill="auto"/>
            <w:vAlign w:val="center"/>
          </w:tcPr>
          <w:p>
            <w:pPr>
              <w:jc w:val="right"/>
              <w:rPr>
                <w:rFonts w:ascii="宋体" w:eastAsia="宋体" w:cs="Calibri"/>
                <w:sz w:val="16"/>
                <w:szCs w:val="16"/>
              </w:rPr>
            </w:pPr>
            <w:r>
              <w:rPr>
                <w:rFonts w:cs="Calibri" w:hint="eastAsia"/>
                <w:sz w:val="16"/>
                <w:szCs w:val="16"/>
              </w:rPr>
              <w:t>91,539.51</w:t>
            </w:r>
          </w:p>
          <w:p>
            <w:pPr>
              <w:widowControl/>
              <w:overflowPunct/>
              <w:spacing w:line="240" w:lineRule="auto"/>
              <w:ind w:firstLineChars="0" w:firstLine="0"/>
              <w:jc w:val="right"/>
              <w:rPr>
                <w:rFonts w:eastAsia="宋体" w:cs="宋体"/>
                <w:kern w:val="0"/>
                <w:sz w:val="20"/>
                <w:szCs w:val="20"/>
              </w:rPr>
            </w:pPr>
          </w:p>
        </w:tc>
        <w:tc>
          <w:tcPr>
            <w:tcW w:w="866" w:type="dxa"/>
            <w:tcBorders>
              <w:top w:val="nil"/>
              <w:left w:val="nil"/>
              <w:bottom w:val="single" w:sz="4" w:space="0" w:color="auto"/>
              <w:right w:val="single" w:sz="4" w:space="0" w:color="auto"/>
            </w:tcBorders>
            <w:shd w:val="clear" w:color="auto" w:fill="auto"/>
            <w:vAlign w:val="center"/>
          </w:tcPr>
          <w:p>
            <w:pPr>
              <w:widowControl/>
              <w:overflowPunct/>
              <w:spacing w:line="240" w:lineRule="auto"/>
              <w:ind w:firstLineChars="0" w:firstLine="0"/>
              <w:jc w:val="right"/>
              <w:rPr>
                <w:rFonts w:eastAsia="宋体" w:cs="宋体"/>
                <w:kern w:val="0"/>
                <w:sz w:val="20"/>
                <w:szCs w:val="20"/>
              </w:rPr>
            </w:pPr>
          </w:p>
        </w:tc>
        <w:tc>
          <w:tcPr>
            <w:tcW w:w="866" w:type="dxa"/>
            <w:tcBorders>
              <w:top w:val="nil"/>
              <w:left w:val="nil"/>
              <w:bottom w:val="single" w:sz="4" w:space="0" w:color="auto"/>
              <w:right w:val="single" w:sz="4" w:space="0" w:color="auto"/>
            </w:tcBorders>
            <w:shd w:val="clear" w:color="auto" w:fill="auto"/>
            <w:vAlign w:val="center"/>
          </w:tcPr>
          <w:p>
            <w:pPr>
              <w:widowControl/>
              <w:overflowPunct/>
              <w:spacing w:line="240" w:lineRule="auto"/>
              <w:ind w:firstLineChars="0" w:firstLine="0"/>
              <w:jc w:val="right"/>
              <w:rPr>
                <w:rFonts w:eastAsia="宋体" w:cs="宋体"/>
                <w:kern w:val="0"/>
                <w:sz w:val="20"/>
                <w:szCs w:val="20"/>
              </w:rPr>
            </w:pPr>
          </w:p>
        </w:tc>
        <w:tc>
          <w:tcPr>
            <w:tcW w:w="1097" w:type="dxa"/>
            <w:tcBorders>
              <w:top w:val="nil"/>
              <w:left w:val="nil"/>
              <w:bottom w:val="single" w:sz="4" w:space="0" w:color="auto"/>
              <w:right w:val="single" w:sz="4" w:space="0" w:color="auto"/>
            </w:tcBorders>
            <w:shd w:val="clear" w:color="auto" w:fill="auto"/>
            <w:vAlign w:val="center"/>
          </w:tcPr>
          <w:p>
            <w:pPr>
              <w:jc w:val="right"/>
              <w:rPr>
                <w:rFonts w:ascii="宋体" w:eastAsia="宋体" w:cs="Calibri"/>
                <w:sz w:val="16"/>
                <w:szCs w:val="16"/>
              </w:rPr>
            </w:pPr>
            <w:r>
              <w:rPr>
                <w:rFonts w:cs="Calibri" w:hint="eastAsia"/>
                <w:sz w:val="16"/>
                <w:szCs w:val="16"/>
              </w:rPr>
              <w:t>17,498.10</w:t>
            </w:r>
          </w:p>
          <w:p>
            <w:pPr>
              <w:widowControl/>
              <w:overflowPunct/>
              <w:spacing w:line="240" w:lineRule="auto"/>
              <w:ind w:firstLineChars="0" w:firstLine="0"/>
              <w:jc w:val="right"/>
              <w:rPr>
                <w:rFonts w:eastAsia="宋体" w:cs="宋体"/>
                <w:kern w:val="0"/>
                <w:sz w:val="20"/>
                <w:szCs w:val="20"/>
              </w:rPr>
            </w:pPr>
          </w:p>
        </w:tc>
        <w:tc>
          <w:tcPr>
            <w:tcW w:w="1101" w:type="dxa"/>
            <w:tcBorders>
              <w:top w:val="single" w:sz="4" w:space="0" w:color="auto"/>
              <w:left w:val="nil"/>
              <w:bottom w:val="single" w:sz="4" w:space="0" w:color="auto"/>
              <w:right w:val="single" w:sz="4" w:space="0" w:color="auto"/>
            </w:tcBorders>
            <w:shd w:val="clear" w:color="auto" w:fill="auto"/>
            <w:vAlign w:val="center"/>
          </w:tcPr>
          <w:p>
            <w:pPr>
              <w:widowControl/>
              <w:overflowPunct/>
              <w:spacing w:line="240" w:lineRule="auto"/>
              <w:ind w:firstLineChars="0" w:firstLine="0"/>
              <w:jc w:val="right"/>
              <w:rPr>
                <w:rFonts w:eastAsia="宋体" w:cs="宋体"/>
                <w:kern w:val="0"/>
                <w:sz w:val="20"/>
                <w:szCs w:val="20"/>
              </w:rPr>
            </w:pPr>
          </w:p>
        </w:tc>
        <w:tc>
          <w:tcPr>
            <w:tcW w:w="1120" w:type="dxa"/>
            <w:tcBorders>
              <w:top w:val="single" w:sz="4" w:space="0" w:color="auto"/>
              <w:left w:val="nil"/>
              <w:bottom w:val="single" w:sz="4" w:space="0" w:color="auto"/>
              <w:right w:val="single" w:sz="4" w:space="0" w:color="auto"/>
            </w:tcBorders>
            <w:shd w:val="clear" w:color="auto" w:fill="auto"/>
            <w:vAlign w:val="center"/>
          </w:tcPr>
          <w:p>
            <w:pPr>
              <w:widowControl/>
              <w:overflowPunct/>
              <w:spacing w:line="240" w:lineRule="auto"/>
              <w:ind w:firstLineChars="0" w:firstLine="0"/>
              <w:jc w:val="right"/>
              <w:rPr>
                <w:rFonts w:eastAsia="宋体" w:cs="宋体"/>
                <w:kern w:val="0"/>
                <w:sz w:val="20"/>
                <w:szCs w:val="20"/>
              </w:rPr>
            </w:pPr>
          </w:p>
        </w:tc>
        <w:tc>
          <w:tcPr>
            <w:tcW w:w="1115" w:type="dxa"/>
            <w:tcBorders>
              <w:top w:val="single" w:sz="4" w:space="0" w:color="auto"/>
              <w:left w:val="nil"/>
              <w:bottom w:val="single" w:sz="4" w:space="0" w:color="auto"/>
              <w:right w:val="single" w:sz="4" w:space="0" w:color="auto"/>
            </w:tcBorders>
            <w:shd w:val="clear" w:color="auto" w:fill="auto"/>
            <w:vAlign w:val="center"/>
          </w:tcPr>
          <w:p>
            <w:pPr>
              <w:widowControl/>
              <w:overflowPunct/>
              <w:spacing w:line="240" w:lineRule="auto"/>
              <w:ind w:firstLineChars="0" w:firstLine="0"/>
              <w:jc w:val="right"/>
              <w:rPr>
                <w:rFonts w:eastAsia="宋体" w:cs="宋体"/>
                <w:kern w:val="0"/>
                <w:sz w:val="20"/>
                <w:szCs w:val="20"/>
              </w:rPr>
            </w:pPr>
          </w:p>
        </w:tc>
        <w:tc>
          <w:tcPr>
            <w:tcW w:w="1069" w:type="dxa"/>
            <w:tcBorders>
              <w:top w:val="nil"/>
              <w:left w:val="nil"/>
              <w:bottom w:val="single" w:sz="4" w:space="0" w:color="auto"/>
              <w:right w:val="single" w:sz="4" w:space="0" w:color="auto"/>
            </w:tcBorders>
            <w:shd w:val="clear" w:color="auto" w:fill="auto"/>
            <w:vAlign w:val="center"/>
          </w:tcPr>
          <w:p>
            <w:pPr>
              <w:widowControl/>
              <w:overflowPunct/>
              <w:spacing w:line="240" w:lineRule="auto"/>
              <w:ind w:firstLineChars="0" w:firstLine="0"/>
              <w:jc w:val="right"/>
              <w:rPr>
                <w:rFonts w:eastAsia="宋体" w:cs="宋体"/>
                <w:kern w:val="0"/>
                <w:sz w:val="20"/>
                <w:szCs w:val="20"/>
              </w:rPr>
            </w:pPr>
          </w:p>
        </w:tc>
        <w:tc>
          <w:tcPr>
            <w:tcW w:w="1146" w:type="dxa"/>
            <w:tcBorders>
              <w:top w:val="nil"/>
              <w:left w:val="nil"/>
              <w:bottom w:val="single" w:sz="4" w:space="0" w:color="auto"/>
              <w:right w:val="single" w:sz="4" w:space="0" w:color="auto"/>
            </w:tcBorders>
            <w:shd w:val="clear" w:color="auto" w:fill="auto"/>
            <w:vAlign w:val="center"/>
          </w:tcPr>
          <w:p>
            <w:pPr>
              <w:widowControl/>
              <w:overflowPunct/>
              <w:spacing w:line="240" w:lineRule="auto"/>
              <w:ind w:firstLineChars="0" w:firstLine="0"/>
              <w:jc w:val="right"/>
              <w:rPr>
                <w:rFonts w:eastAsia="宋体" w:cs="宋体"/>
                <w:kern w:val="0"/>
                <w:sz w:val="20"/>
                <w:szCs w:val="20"/>
              </w:rPr>
            </w:pPr>
            <w:r>
              <w:rPr>
                <w:rFonts w:cs="Calibri" w:hint="eastAsia"/>
                <w:sz w:val="16"/>
                <w:szCs w:val="16"/>
              </w:rPr>
              <w:t>22,714.07</w:t>
            </w:r>
          </w:p>
        </w:tc>
        <w:tc>
          <w:tcPr>
            <w:tcW w:w="1268" w:type="dxa"/>
            <w:tcBorders>
              <w:top w:val="nil"/>
              <w:left w:val="nil"/>
              <w:bottom w:val="single" w:sz="4" w:space="0" w:color="auto"/>
              <w:right w:val="single" w:sz="4" w:space="0" w:color="auto"/>
            </w:tcBorders>
            <w:shd w:val="clear" w:color="auto" w:fill="auto"/>
            <w:vAlign w:val="center"/>
          </w:tcPr>
          <w:p>
            <w:pPr>
              <w:widowControl/>
              <w:overflowPunct/>
              <w:spacing w:line="240" w:lineRule="auto"/>
              <w:ind w:firstLineChars="0" w:firstLine="0"/>
              <w:jc w:val="right"/>
              <w:rPr>
                <w:rFonts w:eastAsia="宋体" w:cs="宋体"/>
                <w:kern w:val="0"/>
                <w:sz w:val="20"/>
                <w:szCs w:val="20"/>
              </w:rPr>
            </w:pPr>
            <w:r>
              <w:rPr>
                <w:rFonts w:cs="Calibri" w:hint="eastAsia"/>
                <w:sz w:val="16"/>
                <w:szCs w:val="16"/>
              </w:rPr>
              <w:t>10,780.99</w:t>
            </w:r>
          </w:p>
        </w:tc>
      </w:tr>
    </w:tbl>
    <w:p>
      <w:pPr>
        <w:widowControl/>
        <w:overflowPunct/>
        <w:spacing w:line="240" w:lineRule="auto"/>
        <w:ind w:firstLineChars="0" w:firstLine="0"/>
        <w:jc w:val="left"/>
      </w:pPr>
      <w:r>
        <w:br w:type="page"/>
      </w:r>
    </w:p>
    <w:p>
      <w:pPr>
        <w:sectPr>
          <w:pgSz w:w="16838" w:h="11906" w:orient="landscape"/>
          <w:pgMar w:top="1797" w:right="1440" w:bottom="1797" w:left="1440" w:header="851" w:footer="992" w:gutter="0"/>
          <w:docGrid w:type="linesAndChars" w:linePitch="312" w:charSpace="0"/>
        </w:sectPr>
      </w:pPr>
    </w:p>
    <w:p>
      <w:pPr>
        <w:pStyle w:val="22"/>
        <w:outlineLvl w:val="1"/>
      </w:pPr>
      <w:r>
        <w:rPr>
          <w:rFonts w:hint="eastAsia"/>
        </w:rPr>
        <w:t>三、部门支出总表</w:t>
      </w:r>
    </w:p>
    <w:tbl>
      <w:tblPr>
        <w:jc w:val="center"/>
        <w:tblW w:w="5870" w:type="pct"/>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1191"/>
        <w:gridCol w:w="3488"/>
        <w:gridCol w:w="1097"/>
        <w:gridCol w:w="1398"/>
        <w:gridCol w:w="1370"/>
        <w:gridCol w:w="418"/>
        <w:gridCol w:w="463"/>
        <w:gridCol w:w="587"/>
      </w:tblGrid>
      <w:tr>
        <w:trPr>
          <w:cantSplit/>
          <w:trHeight w:val="319"/>
          <w:tblHeader/>
        </w:trPr>
        <w:tc>
          <w:tcPr>
            <w:tcW w:w="5000" w:type="pct"/>
            <w:gridSpan w:val="8"/>
            <w:tcBorders>
              <w:top w:val="nil"/>
              <w:left w:val="nil"/>
              <w:bottom w:val="nil"/>
              <w:right w:val="nil"/>
            </w:tcBorders>
            <w:shd w:val="clear" w:color="auto" w:fill="auto"/>
            <w:noWrap/>
            <w:vAlign w:val="center"/>
          </w:tcPr>
          <w:p>
            <w:pPr>
              <w:widowControl/>
              <w:overflowPunct/>
              <w:spacing w:line="240" w:lineRule="auto"/>
              <w:ind w:firstLineChars="0" w:firstLine="0"/>
              <w:jc w:val="right"/>
              <w:rPr>
                <w:rFonts w:eastAsia="黑体" w:cs="宋体"/>
                <w:color w:val="000000"/>
                <w:kern w:val="0"/>
                <w:sz w:val="20"/>
                <w:szCs w:val="20"/>
              </w:rPr>
            </w:pPr>
            <w:r>
              <w:rPr>
                <w:rFonts w:eastAsia="黑体" w:cs="宋体" w:hint="eastAsia"/>
                <w:color w:val="000000"/>
                <w:kern w:val="0"/>
                <w:sz w:val="20"/>
                <w:szCs w:val="20"/>
              </w:rPr>
              <w:t xml:space="preserve">部门公开表3 </w:t>
            </w:r>
          </w:p>
        </w:tc>
      </w:tr>
      <w:tr>
        <w:trPr>
          <w:cantSplit/>
          <w:trHeight w:val="540"/>
          <w:tblHeader/>
        </w:trPr>
        <w:tc>
          <w:tcPr>
            <w:tcW w:w="5000" w:type="pct"/>
            <w:gridSpan w:val="8"/>
            <w:tcBorders>
              <w:top w:val="nil"/>
              <w:left w:val="nil"/>
              <w:bottom w:val="nil"/>
              <w:right w:val="nil"/>
            </w:tcBorders>
            <w:shd w:val="clear" w:color="auto" w:fill="auto"/>
            <w:noWrap/>
            <w:vAlign w:val="center"/>
          </w:tcPr>
          <w:p>
            <w:pPr>
              <w:widowControl/>
              <w:overflowPunct/>
              <w:spacing w:line="240" w:lineRule="auto"/>
              <w:ind w:firstLineChars="0" w:firstLine="0"/>
              <w:jc w:val="center"/>
              <w:rPr>
                <w:rFonts w:eastAsia="宋体" w:cs="宋体"/>
                <w:color w:val="000000"/>
                <w:kern w:val="0"/>
                <w:sz w:val="36"/>
                <w:szCs w:val="36"/>
              </w:rPr>
            </w:pPr>
            <w:r>
              <w:rPr>
                <w:rFonts w:eastAsia="宋体" w:cs="宋体" w:hint="eastAsia"/>
                <w:color w:val="000000"/>
                <w:kern w:val="0"/>
                <w:sz w:val="36"/>
                <w:szCs w:val="36"/>
              </w:rPr>
              <w:t xml:space="preserve"> 部门支出总表 </w:t>
            </w:r>
          </w:p>
        </w:tc>
      </w:tr>
      <w:tr>
        <w:trPr>
          <w:cantSplit/>
          <w:trHeight w:val="360"/>
          <w:tblHeader/>
        </w:trPr>
        <w:tc>
          <w:tcPr>
            <w:tcW w:w="595" w:type="pct"/>
            <w:tcBorders>
              <w:top w:val="nil"/>
              <w:left w:val="nil"/>
              <w:bottom w:val="nil"/>
              <w:right w:val="nil"/>
            </w:tcBorders>
            <w:shd w:val="clear" w:color="auto" w:fill="auto"/>
            <w:noWrap/>
            <w:vAlign w:val="center"/>
          </w:tcPr>
          <w:p>
            <w:pPr>
              <w:widowControl/>
              <w:overflowPunct/>
              <w:spacing w:line="240" w:lineRule="auto"/>
              <w:ind w:firstLineChars="0" w:firstLine="0"/>
              <w:jc w:val="center"/>
              <w:rPr>
                <w:rFonts w:eastAsia="宋体" w:cs="宋体"/>
                <w:color w:val="000000"/>
                <w:kern w:val="0"/>
                <w:sz w:val="36"/>
                <w:szCs w:val="36"/>
              </w:rPr>
            </w:pPr>
          </w:p>
        </w:tc>
        <w:tc>
          <w:tcPr>
            <w:tcW w:w="1742" w:type="pct"/>
            <w:tcBorders>
              <w:top w:val="nil"/>
              <w:left w:val="nil"/>
              <w:bottom w:val="single" w:sz="4" w:space="0" w:color="auto"/>
              <w:right w:val="nil"/>
            </w:tcBorders>
            <w:shd w:val="clear" w:color="auto" w:fill="auto"/>
            <w:noWrap/>
            <w:vAlign w:val="center"/>
          </w:tcPr>
          <w:p>
            <w:pPr>
              <w:widowControl/>
              <w:overflowPunct/>
              <w:spacing w:line="240" w:lineRule="auto"/>
              <w:ind w:firstLineChars="0" w:firstLine="0"/>
              <w:jc w:val="left"/>
              <w:rPr>
                <w:rFonts w:eastAsia="宋体" w:cs="宋体"/>
                <w:color w:val="000000"/>
                <w:kern w:val="0"/>
                <w:sz w:val="22"/>
              </w:rPr>
            </w:pPr>
            <w:r>
              <w:rPr>
                <w:rFonts w:eastAsia="宋体" w:cs="宋体" w:hint="eastAsia"/>
                <w:color w:val="000000"/>
                <w:kern w:val="0"/>
                <w:sz w:val="22"/>
              </w:rPr>
              <w:t>　</w:t>
            </w:r>
          </w:p>
        </w:tc>
        <w:tc>
          <w:tcPr>
            <w:tcW w:w="548" w:type="pct"/>
            <w:tcBorders>
              <w:top w:val="nil"/>
              <w:left w:val="nil"/>
              <w:bottom w:val="single" w:sz="4" w:space="0" w:color="auto"/>
              <w:right w:val="nil"/>
            </w:tcBorders>
            <w:shd w:val="clear" w:color="auto" w:fill="auto"/>
            <w:noWrap/>
            <w:vAlign w:val="center"/>
          </w:tcPr>
          <w:p>
            <w:pPr>
              <w:widowControl/>
              <w:overflowPunct/>
              <w:spacing w:line="240" w:lineRule="auto"/>
              <w:ind w:firstLineChars="0" w:firstLine="0"/>
              <w:jc w:val="left"/>
              <w:rPr>
                <w:rFonts w:eastAsia="宋体" w:cs="宋体"/>
                <w:color w:val="000000"/>
                <w:kern w:val="0"/>
                <w:sz w:val="22"/>
              </w:rPr>
            </w:pPr>
            <w:r>
              <w:rPr>
                <w:rFonts w:eastAsia="宋体" w:cs="宋体" w:hint="eastAsia"/>
                <w:color w:val="000000"/>
                <w:kern w:val="0"/>
                <w:sz w:val="22"/>
              </w:rPr>
              <w:t>　</w:t>
            </w:r>
          </w:p>
        </w:tc>
        <w:tc>
          <w:tcPr>
            <w:tcW w:w="698" w:type="pct"/>
            <w:tcBorders>
              <w:top w:val="nil"/>
              <w:left w:val="nil"/>
              <w:bottom w:val="single" w:sz="4" w:space="0" w:color="auto"/>
              <w:right w:val="nil"/>
            </w:tcBorders>
            <w:shd w:val="clear" w:color="auto" w:fill="auto"/>
            <w:noWrap/>
            <w:vAlign w:val="center"/>
          </w:tcPr>
          <w:p>
            <w:pPr>
              <w:widowControl/>
              <w:overflowPunct/>
              <w:spacing w:line="240" w:lineRule="auto"/>
              <w:ind w:firstLineChars="0" w:firstLine="0"/>
              <w:jc w:val="left"/>
              <w:rPr>
                <w:rFonts w:eastAsia="宋体" w:cs="宋体"/>
                <w:color w:val="000000"/>
                <w:kern w:val="0"/>
                <w:sz w:val="22"/>
              </w:rPr>
            </w:pPr>
            <w:r>
              <w:rPr>
                <w:rFonts w:eastAsia="宋体" w:cs="宋体" w:hint="eastAsia"/>
                <w:color w:val="000000"/>
                <w:kern w:val="0"/>
                <w:sz w:val="22"/>
              </w:rPr>
              <w:t>　</w:t>
            </w:r>
          </w:p>
        </w:tc>
        <w:tc>
          <w:tcPr>
            <w:tcW w:w="684" w:type="pct"/>
            <w:tcBorders>
              <w:top w:val="nil"/>
              <w:left w:val="nil"/>
              <w:bottom w:val="single" w:sz="4" w:space="0" w:color="auto"/>
              <w:right w:val="nil"/>
            </w:tcBorders>
            <w:shd w:val="clear" w:color="auto" w:fill="auto"/>
            <w:noWrap/>
            <w:vAlign w:val="center"/>
          </w:tcPr>
          <w:p>
            <w:pPr>
              <w:widowControl/>
              <w:overflowPunct/>
              <w:spacing w:line="240" w:lineRule="auto"/>
              <w:ind w:firstLineChars="0" w:firstLine="0"/>
              <w:jc w:val="left"/>
              <w:rPr>
                <w:rFonts w:eastAsia="宋体" w:cs="宋体"/>
                <w:color w:val="000000"/>
                <w:kern w:val="0"/>
                <w:sz w:val="22"/>
              </w:rPr>
            </w:pPr>
            <w:r>
              <w:rPr>
                <w:rFonts w:eastAsia="宋体" w:cs="宋体" w:hint="eastAsia"/>
                <w:color w:val="000000"/>
                <w:kern w:val="0"/>
                <w:sz w:val="22"/>
              </w:rPr>
              <w:t>　</w:t>
            </w:r>
          </w:p>
        </w:tc>
        <w:tc>
          <w:tcPr>
            <w:tcW w:w="733" w:type="pct"/>
            <w:gridSpan w:val="3"/>
            <w:tcBorders>
              <w:top w:val="nil"/>
              <w:left w:val="nil"/>
              <w:bottom w:val="single" w:sz="4" w:space="0" w:color="auto"/>
              <w:right w:val="nil"/>
            </w:tcBorders>
            <w:shd w:val="clear" w:color="auto" w:fill="auto"/>
            <w:noWrap/>
            <w:vAlign w:val="center"/>
          </w:tcPr>
          <w:p>
            <w:pPr>
              <w:widowControl/>
              <w:overflowPunct/>
              <w:spacing w:line="240" w:lineRule="auto"/>
              <w:ind w:firstLineChars="0" w:firstLine="0"/>
              <w:jc w:val="left"/>
              <w:rPr>
                <w:rFonts w:eastAsia="宋体" w:cs="宋体"/>
                <w:color w:val="000000"/>
                <w:kern w:val="0"/>
                <w:sz w:val="22"/>
              </w:rPr>
            </w:pPr>
            <w:r>
              <w:rPr>
                <w:rFonts w:eastAsia="宋体" w:cs="宋体" w:hint="eastAsia"/>
                <w:color w:val="000000"/>
                <w:kern w:val="0"/>
                <w:sz w:val="22"/>
              </w:rPr>
              <w:t>　</w:t>
            </w:r>
          </w:p>
          <w:p>
            <w:pPr>
              <w:widowControl/>
              <w:overflowPunct/>
              <w:spacing w:line="240" w:lineRule="auto"/>
              <w:ind w:firstLineChars="0" w:firstLine="0"/>
              <w:jc w:val="right"/>
              <w:rPr>
                <w:rFonts w:eastAsia="宋体" w:cs="宋体"/>
                <w:color w:val="000000"/>
                <w:kern w:val="0"/>
                <w:sz w:val="18"/>
                <w:szCs w:val="18"/>
              </w:rPr>
            </w:pPr>
            <w:r>
              <w:rPr>
                <w:rFonts w:eastAsia="宋体" w:cs="宋体" w:hint="eastAsia"/>
                <w:color w:val="000000"/>
                <w:kern w:val="0"/>
                <w:sz w:val="18"/>
                <w:szCs w:val="18"/>
              </w:rPr>
              <w:t xml:space="preserve"> 单位：万元 </w:t>
            </w:r>
          </w:p>
        </w:tc>
      </w:tr>
      <w:tr>
        <w:trPr>
          <w:cantSplit/>
          <w:trHeight w:val="540"/>
          <w:tblHeader/>
        </w:trPr>
        <w:tc>
          <w:tcPr>
            <w:tcW w:w="595" w:type="pct"/>
            <w:tcBorders>
              <w:top w:val="single" w:sz="4" w:space="0" w:color="auto"/>
              <w:left w:val="single" w:sz="4" w:space="0" w:color="auto"/>
              <w:bottom w:val="single" w:sz="4" w:space="0" w:color="auto"/>
              <w:right w:val="single" w:sz="4" w:space="0" w:color="auto"/>
            </w:tcBorders>
            <w:shd w:val="clear" w:color="auto" w:fill="auto"/>
            <w:vAlign w:val="center"/>
          </w:tcPr>
          <w:p>
            <w:pPr>
              <w:widowControl/>
              <w:overflowPunct/>
              <w:spacing w:line="240" w:lineRule="auto"/>
              <w:ind w:firstLineChars="0" w:firstLine="0"/>
              <w:jc w:val="center"/>
              <w:rPr>
                <w:rFonts w:eastAsia="宋体" w:cs="宋体"/>
                <w:color w:val="000000"/>
                <w:kern w:val="0"/>
                <w:sz w:val="20"/>
                <w:szCs w:val="20"/>
              </w:rPr>
            </w:pPr>
            <w:r>
              <w:rPr>
                <w:rFonts w:eastAsia="宋体" w:cs="宋体" w:hint="eastAsia"/>
                <w:color w:val="000000"/>
                <w:kern w:val="0"/>
                <w:sz w:val="20"/>
                <w:szCs w:val="20"/>
              </w:rPr>
              <w:t xml:space="preserve"> 科目代码 </w:t>
            </w:r>
          </w:p>
        </w:tc>
        <w:tc>
          <w:tcPr>
            <w:tcW w:w="1742" w:type="pct"/>
            <w:tcBorders>
              <w:top w:val="nil"/>
              <w:left w:val="nil"/>
              <w:bottom w:val="single" w:sz="4" w:space="0" w:color="auto"/>
              <w:right w:val="single" w:sz="4" w:space="0" w:color="auto"/>
            </w:tcBorders>
            <w:shd w:val="clear" w:color="auto" w:fill="auto"/>
            <w:vAlign w:val="center"/>
          </w:tcPr>
          <w:p>
            <w:pPr>
              <w:widowControl/>
              <w:overflowPunct/>
              <w:spacing w:line="240" w:lineRule="auto"/>
              <w:ind w:firstLineChars="0" w:firstLine="0"/>
              <w:jc w:val="center"/>
              <w:rPr>
                <w:rFonts w:eastAsia="宋体" w:cs="宋体"/>
                <w:color w:val="000000"/>
                <w:kern w:val="0"/>
                <w:sz w:val="20"/>
                <w:szCs w:val="20"/>
              </w:rPr>
            </w:pPr>
            <w:r>
              <w:rPr>
                <w:rFonts w:eastAsia="宋体" w:cs="宋体" w:hint="eastAsia"/>
                <w:color w:val="000000"/>
                <w:kern w:val="0"/>
                <w:sz w:val="20"/>
                <w:szCs w:val="20"/>
              </w:rPr>
              <w:t xml:space="preserve"> 科目名称 </w:t>
            </w:r>
          </w:p>
        </w:tc>
        <w:tc>
          <w:tcPr>
            <w:tcW w:w="548" w:type="pct"/>
            <w:tcBorders>
              <w:top w:val="nil"/>
              <w:left w:val="nil"/>
              <w:bottom w:val="single" w:sz="4" w:space="0" w:color="auto"/>
              <w:right w:val="single" w:sz="4" w:space="0" w:color="auto"/>
            </w:tcBorders>
            <w:shd w:val="clear" w:color="auto" w:fill="auto"/>
            <w:vAlign w:val="center"/>
          </w:tcPr>
          <w:p>
            <w:pPr>
              <w:widowControl/>
              <w:overflowPunct/>
              <w:spacing w:line="240" w:lineRule="auto"/>
              <w:ind w:firstLineChars="0" w:firstLine="0"/>
              <w:jc w:val="center"/>
              <w:rPr>
                <w:rFonts w:eastAsia="宋体" w:cs="宋体"/>
                <w:color w:val="000000"/>
                <w:kern w:val="0"/>
                <w:sz w:val="20"/>
                <w:szCs w:val="20"/>
              </w:rPr>
            </w:pPr>
            <w:r>
              <w:rPr>
                <w:rFonts w:eastAsia="宋体" w:cs="宋体" w:hint="eastAsia"/>
                <w:color w:val="000000"/>
                <w:kern w:val="0"/>
                <w:sz w:val="20"/>
                <w:szCs w:val="20"/>
              </w:rPr>
              <w:t xml:space="preserve"> 合计 </w:t>
            </w:r>
          </w:p>
        </w:tc>
        <w:tc>
          <w:tcPr>
            <w:tcW w:w="698" w:type="pct"/>
            <w:tcBorders>
              <w:top w:val="nil"/>
              <w:left w:val="nil"/>
              <w:bottom w:val="single" w:sz="4" w:space="0" w:color="auto"/>
              <w:right w:val="single" w:sz="4" w:space="0" w:color="auto"/>
            </w:tcBorders>
            <w:shd w:val="clear" w:color="auto" w:fill="auto"/>
            <w:vAlign w:val="center"/>
          </w:tcPr>
          <w:p>
            <w:pPr>
              <w:widowControl/>
              <w:overflowPunct/>
              <w:spacing w:line="240" w:lineRule="auto"/>
              <w:ind w:firstLineChars="0" w:firstLine="0"/>
              <w:jc w:val="center"/>
              <w:rPr>
                <w:rFonts w:eastAsia="宋体" w:cs="宋体"/>
                <w:color w:val="000000"/>
                <w:kern w:val="0"/>
                <w:sz w:val="20"/>
                <w:szCs w:val="20"/>
              </w:rPr>
            </w:pPr>
            <w:r>
              <w:rPr>
                <w:rFonts w:eastAsia="宋体" w:cs="宋体" w:hint="eastAsia"/>
                <w:color w:val="000000"/>
                <w:kern w:val="0"/>
                <w:sz w:val="20"/>
                <w:szCs w:val="20"/>
              </w:rPr>
              <w:t xml:space="preserve"> 基本支出 </w:t>
            </w:r>
          </w:p>
        </w:tc>
        <w:tc>
          <w:tcPr>
            <w:tcW w:w="684" w:type="pct"/>
            <w:tcBorders>
              <w:top w:val="nil"/>
              <w:left w:val="nil"/>
              <w:bottom w:val="single" w:sz="4" w:space="0" w:color="auto"/>
              <w:right w:val="single" w:sz="4" w:space="0" w:color="auto"/>
            </w:tcBorders>
            <w:shd w:val="clear" w:color="auto" w:fill="auto"/>
            <w:vAlign w:val="center"/>
          </w:tcPr>
          <w:p>
            <w:pPr>
              <w:widowControl/>
              <w:overflowPunct/>
              <w:spacing w:line="240" w:lineRule="auto"/>
              <w:ind w:firstLineChars="0" w:firstLine="0"/>
              <w:jc w:val="center"/>
              <w:rPr>
                <w:rFonts w:eastAsia="宋体" w:cs="宋体"/>
                <w:color w:val="000000"/>
                <w:kern w:val="0"/>
                <w:sz w:val="20"/>
                <w:szCs w:val="20"/>
              </w:rPr>
            </w:pPr>
            <w:r>
              <w:rPr>
                <w:rFonts w:eastAsia="宋体" w:cs="宋体" w:hint="eastAsia"/>
                <w:color w:val="000000"/>
                <w:kern w:val="0"/>
                <w:sz w:val="20"/>
                <w:szCs w:val="20"/>
              </w:rPr>
              <w:t xml:space="preserve"> 项目支出 </w:t>
            </w:r>
          </w:p>
        </w:tc>
        <w:tc>
          <w:tcPr>
            <w:tcW w:w="209" w:type="pct"/>
            <w:tcBorders>
              <w:top w:val="nil"/>
              <w:left w:val="nil"/>
              <w:bottom w:val="single" w:sz="4" w:space="0" w:color="auto"/>
              <w:right w:val="single" w:sz="4" w:space="0" w:color="auto"/>
            </w:tcBorders>
            <w:shd w:val="clear" w:color="auto" w:fill="auto"/>
            <w:vAlign w:val="center"/>
          </w:tcPr>
          <w:p>
            <w:pPr>
              <w:widowControl/>
              <w:overflowPunct/>
              <w:spacing w:line="240" w:lineRule="auto"/>
              <w:ind w:firstLineChars="0" w:firstLine="0"/>
              <w:jc w:val="center"/>
              <w:rPr>
                <w:rFonts w:eastAsia="宋体" w:cs="宋体"/>
                <w:color w:val="000000"/>
                <w:kern w:val="0"/>
                <w:sz w:val="20"/>
                <w:szCs w:val="20"/>
              </w:rPr>
            </w:pPr>
            <w:r>
              <w:rPr>
                <w:rFonts w:eastAsia="宋体" w:cs="宋体" w:hint="eastAsia"/>
                <w:color w:val="000000"/>
                <w:kern w:val="0"/>
                <w:sz w:val="20"/>
                <w:szCs w:val="20"/>
              </w:rPr>
              <w:t xml:space="preserve"> 上缴上级支出 </w:t>
            </w:r>
          </w:p>
        </w:tc>
        <w:tc>
          <w:tcPr>
            <w:tcW w:w="231" w:type="pct"/>
            <w:tcBorders>
              <w:top w:val="nil"/>
              <w:left w:val="nil"/>
              <w:bottom w:val="single" w:sz="4" w:space="0" w:color="auto"/>
              <w:right w:val="single" w:sz="4" w:space="0" w:color="auto"/>
            </w:tcBorders>
            <w:shd w:val="clear" w:color="auto" w:fill="auto"/>
            <w:vAlign w:val="center"/>
          </w:tcPr>
          <w:p>
            <w:pPr>
              <w:widowControl/>
              <w:overflowPunct/>
              <w:spacing w:line="240" w:lineRule="auto"/>
              <w:ind w:firstLineChars="0" w:firstLine="0"/>
              <w:jc w:val="center"/>
              <w:rPr>
                <w:rFonts w:eastAsia="宋体" w:cs="宋体"/>
                <w:color w:val="000000"/>
                <w:kern w:val="0"/>
                <w:sz w:val="20"/>
                <w:szCs w:val="20"/>
              </w:rPr>
            </w:pPr>
            <w:r>
              <w:rPr>
                <w:rFonts w:eastAsia="宋体" w:cs="宋体" w:hint="eastAsia"/>
                <w:color w:val="000000"/>
                <w:kern w:val="0"/>
                <w:sz w:val="20"/>
                <w:szCs w:val="20"/>
              </w:rPr>
              <w:t xml:space="preserve"> 事业单位经营支出 </w:t>
            </w:r>
          </w:p>
        </w:tc>
        <w:tc>
          <w:tcPr>
            <w:tcW w:w="293" w:type="pct"/>
            <w:tcBorders>
              <w:top w:val="single" w:sz="4" w:space="0" w:color="auto"/>
              <w:left w:val="nil"/>
              <w:bottom w:val="single" w:sz="4" w:space="0" w:color="auto"/>
              <w:right w:val="single" w:sz="4" w:space="0" w:color="auto"/>
            </w:tcBorders>
            <w:shd w:val="clear" w:color="auto" w:fill="auto"/>
            <w:vAlign w:val="center"/>
          </w:tcPr>
          <w:p>
            <w:pPr>
              <w:widowControl/>
              <w:overflowPunct/>
              <w:spacing w:line="240" w:lineRule="auto"/>
              <w:ind w:firstLineChars="0" w:firstLine="0"/>
              <w:jc w:val="center"/>
              <w:rPr>
                <w:rFonts w:eastAsia="宋体" w:cs="宋体"/>
                <w:color w:val="000000"/>
                <w:kern w:val="0"/>
                <w:sz w:val="20"/>
                <w:szCs w:val="20"/>
              </w:rPr>
            </w:pPr>
            <w:r>
              <w:rPr>
                <w:rFonts w:eastAsia="宋体" w:cs="宋体" w:hint="eastAsia"/>
                <w:color w:val="000000"/>
                <w:kern w:val="0"/>
                <w:sz w:val="20"/>
                <w:szCs w:val="20"/>
              </w:rPr>
              <w:t xml:space="preserve"> 对附属单位补助支出 </w:t>
            </w:r>
          </w:p>
        </w:tc>
      </w:tr>
      <w:tr>
        <w:trPr>
          <w:cantSplit/>
          <w:trHeight w:val="360"/>
        </w:trPr>
        <w:tc>
          <w:tcPr>
            <w:tcW w:w="595" w:type="pct"/>
            <w:tcBorders>
              <w:top w:val="nil"/>
              <w:left w:val="single" w:sz="4" w:space="0" w:color="auto"/>
              <w:bottom w:val="single" w:sz="4" w:space="0" w:color="auto"/>
              <w:right w:val="single" w:sz="4" w:space="0" w:color="auto"/>
            </w:tcBorders>
            <w:shd w:val="clear" w:color="auto" w:fill="auto"/>
            <w:noWrap/>
            <w:vAlign w:val="center"/>
          </w:tcPr>
          <w:p>
            <w:pPr>
              <w:widowControl/>
              <w:overflowPunct/>
              <w:spacing w:line="240" w:lineRule="auto"/>
              <w:ind w:firstLineChars="0" w:firstLine="0"/>
              <w:jc w:val="left"/>
              <w:rPr>
                <w:rFonts w:eastAsia="宋体" w:cs="宋体"/>
                <w:b/>
                <w:bCs/>
                <w:color w:val="000000"/>
                <w:kern w:val="0"/>
                <w:sz w:val="20"/>
                <w:szCs w:val="20"/>
              </w:rPr>
            </w:pPr>
            <w:r>
              <w:rPr>
                <w:rFonts w:eastAsia="宋体" w:cs="宋体" w:hint="eastAsia"/>
                <w:b/>
                <w:bCs/>
                <w:color w:val="000000"/>
                <w:kern w:val="0"/>
                <w:sz w:val="20"/>
                <w:szCs w:val="20"/>
              </w:rPr>
              <w:t>201</w:t>
            </w:r>
          </w:p>
        </w:tc>
        <w:tc>
          <w:tcPr>
            <w:tcW w:w="1742" w:type="pct"/>
            <w:tcBorders>
              <w:top w:val="nil"/>
              <w:left w:val="nil"/>
              <w:bottom w:val="single" w:sz="4" w:space="0" w:color="auto"/>
              <w:right w:val="single" w:sz="4" w:space="0" w:color="auto"/>
            </w:tcBorders>
            <w:shd w:val="clear" w:color="auto" w:fill="auto"/>
            <w:vAlign w:val="center"/>
          </w:tcPr>
          <w:p>
            <w:pPr>
              <w:widowControl/>
              <w:overflowPunct/>
              <w:spacing w:line="240" w:lineRule="auto"/>
              <w:ind w:firstLineChars="0" w:firstLine="0"/>
              <w:jc w:val="left"/>
              <w:rPr>
                <w:rFonts w:eastAsia="宋体" w:cs="宋体"/>
                <w:b/>
                <w:bCs/>
                <w:color w:val="000000"/>
                <w:kern w:val="0"/>
                <w:sz w:val="20"/>
                <w:szCs w:val="20"/>
              </w:rPr>
            </w:pPr>
            <w:r>
              <w:rPr>
                <w:rFonts w:eastAsia="宋体" w:cs="宋体" w:hint="eastAsia"/>
                <w:b/>
                <w:bCs/>
                <w:color w:val="000000"/>
                <w:kern w:val="0"/>
                <w:sz w:val="20"/>
                <w:szCs w:val="20"/>
              </w:rPr>
              <w:t>一般公共服务支出</w:t>
            </w:r>
          </w:p>
        </w:tc>
        <w:tc>
          <w:tcPr>
            <w:tcW w:w="548" w:type="pct"/>
            <w:tcBorders>
              <w:top w:val="nil"/>
              <w:left w:val="nil"/>
              <w:bottom w:val="single" w:sz="4" w:space="0" w:color="auto"/>
              <w:right w:val="single" w:sz="4" w:space="0" w:color="auto"/>
            </w:tcBorders>
            <w:shd w:val="clear" w:color="auto" w:fill="auto"/>
            <w:noWrap/>
            <w:vAlign w:val="center"/>
          </w:tcPr>
          <w:p>
            <w:pPr>
              <w:overflowPunct/>
              <w:spacing w:line="240" w:lineRule="auto"/>
              <w:ind w:firstLineChars="0" w:firstLine="0"/>
              <w:jc w:val="right"/>
              <w:rPr>
                <w:rFonts w:cs="Calibri"/>
                <w:sz w:val="16"/>
                <w:szCs w:val="16"/>
              </w:rPr>
            </w:pPr>
            <w:r>
              <w:rPr>
                <w:rFonts w:cs="Calibri" w:hint="eastAsia"/>
                <w:sz w:val="16"/>
                <w:szCs w:val="16"/>
              </w:rPr>
              <w:t>109,685.34</w:t>
            </w:r>
          </w:p>
        </w:tc>
        <w:tc>
          <w:tcPr>
            <w:tcW w:w="698" w:type="pct"/>
            <w:tcBorders>
              <w:top w:val="nil"/>
              <w:left w:val="nil"/>
              <w:bottom w:val="single" w:sz="4" w:space="0" w:color="auto"/>
              <w:right w:val="single" w:sz="4" w:space="0" w:color="auto"/>
            </w:tcBorders>
            <w:shd w:val="clear" w:color="auto" w:fill="auto"/>
            <w:noWrap/>
            <w:vAlign w:val="center"/>
          </w:tcPr>
          <w:p>
            <w:pPr>
              <w:overflowPunct/>
              <w:spacing w:line="240" w:lineRule="auto"/>
              <w:ind w:firstLineChars="0" w:firstLine="0"/>
              <w:jc w:val="right"/>
              <w:rPr>
                <w:rFonts w:cs="Calibri"/>
                <w:sz w:val="16"/>
                <w:szCs w:val="16"/>
              </w:rPr>
            </w:pPr>
            <w:r>
              <w:rPr>
                <w:rFonts w:cs="Calibri" w:hint="eastAsia"/>
                <w:sz w:val="16"/>
                <w:szCs w:val="16"/>
              </w:rPr>
              <w:t>96,522.24</w:t>
            </w:r>
          </w:p>
        </w:tc>
        <w:tc>
          <w:tcPr>
            <w:tcW w:w="684" w:type="pct"/>
            <w:tcBorders>
              <w:top w:val="nil"/>
              <w:left w:val="nil"/>
              <w:bottom w:val="single" w:sz="4" w:space="0" w:color="auto"/>
              <w:right w:val="single" w:sz="4" w:space="0" w:color="auto"/>
            </w:tcBorders>
            <w:shd w:val="clear" w:color="auto" w:fill="auto"/>
            <w:noWrap/>
            <w:vAlign w:val="center"/>
          </w:tcPr>
          <w:p>
            <w:pPr>
              <w:overflowPunct/>
              <w:spacing w:line="240" w:lineRule="auto"/>
              <w:ind w:firstLineChars="0" w:firstLine="0"/>
              <w:jc w:val="right"/>
              <w:rPr>
                <w:rFonts w:cs="Calibri"/>
                <w:sz w:val="16"/>
                <w:szCs w:val="16"/>
              </w:rPr>
            </w:pPr>
            <w:r>
              <w:rPr>
                <w:rFonts w:cs="Calibri" w:hint="eastAsia"/>
                <w:sz w:val="16"/>
                <w:szCs w:val="16"/>
              </w:rPr>
              <w:t>13,163.10</w:t>
            </w:r>
          </w:p>
        </w:tc>
        <w:tc>
          <w:tcPr>
            <w:tcW w:w="209" w:type="pct"/>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Times New Roman"/>
                <w:b/>
                <w:bCs/>
                <w:color w:val="000000"/>
                <w:kern w:val="0"/>
                <w:sz w:val="20"/>
                <w:szCs w:val="20"/>
              </w:rPr>
            </w:pPr>
          </w:p>
        </w:tc>
        <w:tc>
          <w:tcPr>
            <w:tcW w:w="231" w:type="pct"/>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Times New Roman"/>
                <w:b/>
                <w:bCs/>
                <w:color w:val="000000"/>
                <w:kern w:val="0"/>
                <w:sz w:val="20"/>
                <w:szCs w:val="20"/>
              </w:rPr>
            </w:pPr>
          </w:p>
        </w:tc>
        <w:tc>
          <w:tcPr>
            <w:tcW w:w="293" w:type="pct"/>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Times New Roman"/>
                <w:b/>
                <w:bCs/>
                <w:color w:val="000000"/>
                <w:kern w:val="0"/>
                <w:sz w:val="20"/>
                <w:szCs w:val="20"/>
              </w:rPr>
            </w:pPr>
          </w:p>
        </w:tc>
      </w:tr>
      <w:tr>
        <w:trPr>
          <w:cantSplit/>
          <w:trHeight w:val="360"/>
        </w:trPr>
        <w:tc>
          <w:tcPr>
            <w:tcW w:w="595" w:type="pct"/>
            <w:tcBorders>
              <w:top w:val="nil"/>
              <w:left w:val="single" w:sz="4" w:space="0" w:color="auto"/>
              <w:bottom w:val="single" w:sz="4" w:space="0" w:color="auto"/>
              <w:right w:val="single" w:sz="4" w:space="0" w:color="auto"/>
            </w:tcBorders>
            <w:shd w:val="clear" w:color="auto" w:fill="auto"/>
            <w:noWrap/>
            <w:vAlign w:val="center"/>
          </w:tcPr>
          <w:p>
            <w:pPr>
              <w:widowControl/>
              <w:overflowPunct/>
              <w:spacing w:line="240" w:lineRule="auto"/>
              <w:ind w:firstLineChars="0" w:firstLine="0"/>
              <w:jc w:val="left"/>
              <w:rPr>
                <w:rFonts w:eastAsia="宋体" w:cs="宋体"/>
                <w:b/>
                <w:bCs/>
                <w:color w:val="000000"/>
                <w:kern w:val="0"/>
                <w:sz w:val="20"/>
                <w:szCs w:val="20"/>
              </w:rPr>
            </w:pPr>
            <w:r>
              <w:rPr>
                <w:rFonts w:eastAsia="宋体" w:cs="宋体" w:hint="eastAsia"/>
                <w:b/>
                <w:bCs/>
                <w:color w:val="000000"/>
                <w:kern w:val="0"/>
                <w:sz w:val="20"/>
                <w:szCs w:val="20"/>
              </w:rPr>
              <w:t>20109</w:t>
            </w:r>
          </w:p>
        </w:tc>
        <w:tc>
          <w:tcPr>
            <w:tcW w:w="1742" w:type="pct"/>
            <w:tcBorders>
              <w:top w:val="nil"/>
              <w:left w:val="nil"/>
              <w:bottom w:val="single" w:sz="4" w:space="0" w:color="auto"/>
              <w:right w:val="single" w:sz="4" w:space="0" w:color="auto"/>
            </w:tcBorders>
            <w:shd w:val="clear" w:color="auto" w:fill="auto"/>
            <w:vAlign w:val="center"/>
          </w:tcPr>
          <w:p>
            <w:pPr>
              <w:widowControl/>
              <w:overflowPunct/>
              <w:spacing w:line="240" w:lineRule="auto"/>
              <w:ind w:firstLineChars="0" w:firstLine="0"/>
              <w:jc w:val="left"/>
              <w:rPr>
                <w:rFonts w:eastAsia="宋体" w:cs="宋体"/>
                <w:b/>
                <w:bCs/>
                <w:color w:val="000000"/>
                <w:kern w:val="0"/>
                <w:sz w:val="20"/>
                <w:szCs w:val="20"/>
              </w:rPr>
            </w:pPr>
            <w:r>
              <w:rPr>
                <w:rFonts w:eastAsia="宋体" w:cs="宋体" w:hint="eastAsia"/>
                <w:b/>
                <w:bCs/>
                <w:color w:val="000000"/>
                <w:kern w:val="0"/>
                <w:sz w:val="20"/>
                <w:szCs w:val="20"/>
              </w:rPr>
              <w:t>海关事务</w:t>
            </w:r>
          </w:p>
        </w:tc>
        <w:tc>
          <w:tcPr>
            <w:tcW w:w="548" w:type="pct"/>
            <w:tcBorders>
              <w:top w:val="nil"/>
              <w:left w:val="nil"/>
              <w:bottom w:val="single" w:sz="4" w:space="0" w:color="auto"/>
              <w:right w:val="single" w:sz="4" w:space="0" w:color="auto"/>
            </w:tcBorders>
            <w:shd w:val="clear" w:color="auto" w:fill="auto"/>
            <w:noWrap/>
            <w:vAlign w:val="center"/>
          </w:tcPr>
          <w:p>
            <w:pPr>
              <w:overflowPunct/>
              <w:spacing w:line="240" w:lineRule="auto"/>
              <w:ind w:firstLineChars="0" w:firstLine="0"/>
              <w:jc w:val="right"/>
              <w:rPr>
                <w:rFonts w:cs="Calibri"/>
                <w:sz w:val="16"/>
                <w:szCs w:val="16"/>
              </w:rPr>
            </w:pPr>
            <w:r>
              <w:rPr>
                <w:rFonts w:cs="Calibri" w:hint="eastAsia"/>
                <w:sz w:val="16"/>
                <w:szCs w:val="16"/>
              </w:rPr>
              <w:t>109,685.34</w:t>
            </w:r>
          </w:p>
        </w:tc>
        <w:tc>
          <w:tcPr>
            <w:tcW w:w="698" w:type="pct"/>
            <w:tcBorders>
              <w:top w:val="nil"/>
              <w:left w:val="nil"/>
              <w:bottom w:val="single" w:sz="4" w:space="0" w:color="auto"/>
              <w:right w:val="single" w:sz="4" w:space="0" w:color="auto"/>
            </w:tcBorders>
            <w:shd w:val="clear" w:color="auto" w:fill="auto"/>
            <w:noWrap/>
            <w:vAlign w:val="center"/>
          </w:tcPr>
          <w:p>
            <w:pPr>
              <w:overflowPunct/>
              <w:spacing w:line="240" w:lineRule="auto"/>
              <w:ind w:firstLineChars="0" w:firstLine="0"/>
              <w:jc w:val="right"/>
              <w:rPr>
                <w:rFonts w:cs="Calibri"/>
                <w:sz w:val="16"/>
                <w:szCs w:val="16"/>
              </w:rPr>
            </w:pPr>
            <w:r>
              <w:rPr>
                <w:rFonts w:cs="Calibri" w:hint="eastAsia"/>
                <w:sz w:val="16"/>
                <w:szCs w:val="16"/>
              </w:rPr>
              <w:t>96,522.24</w:t>
            </w:r>
          </w:p>
        </w:tc>
        <w:tc>
          <w:tcPr>
            <w:tcW w:w="684" w:type="pct"/>
            <w:tcBorders>
              <w:top w:val="nil"/>
              <w:left w:val="nil"/>
              <w:bottom w:val="single" w:sz="4" w:space="0" w:color="auto"/>
              <w:right w:val="single" w:sz="4" w:space="0" w:color="auto"/>
            </w:tcBorders>
            <w:shd w:val="clear" w:color="auto" w:fill="auto"/>
            <w:noWrap/>
            <w:vAlign w:val="center"/>
          </w:tcPr>
          <w:p>
            <w:pPr>
              <w:overflowPunct/>
              <w:spacing w:line="240" w:lineRule="auto"/>
              <w:ind w:firstLineChars="0" w:firstLine="0"/>
              <w:jc w:val="right"/>
              <w:rPr>
                <w:rFonts w:cs="Calibri"/>
                <w:sz w:val="16"/>
                <w:szCs w:val="16"/>
              </w:rPr>
            </w:pPr>
            <w:r>
              <w:rPr>
                <w:rFonts w:cs="Calibri" w:hint="eastAsia"/>
                <w:sz w:val="16"/>
                <w:szCs w:val="16"/>
              </w:rPr>
              <w:t>13,163.10</w:t>
            </w:r>
          </w:p>
        </w:tc>
        <w:tc>
          <w:tcPr>
            <w:tcW w:w="209" w:type="pct"/>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Times New Roman"/>
                <w:b/>
                <w:bCs/>
                <w:color w:val="000000"/>
                <w:kern w:val="0"/>
                <w:sz w:val="20"/>
                <w:szCs w:val="20"/>
              </w:rPr>
            </w:pPr>
          </w:p>
        </w:tc>
        <w:tc>
          <w:tcPr>
            <w:tcW w:w="231" w:type="pct"/>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Times New Roman"/>
                <w:b/>
                <w:bCs/>
                <w:color w:val="000000"/>
                <w:kern w:val="0"/>
                <w:sz w:val="20"/>
                <w:szCs w:val="20"/>
              </w:rPr>
            </w:pPr>
          </w:p>
        </w:tc>
        <w:tc>
          <w:tcPr>
            <w:tcW w:w="293" w:type="pct"/>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Times New Roman"/>
                <w:b/>
                <w:bCs/>
                <w:color w:val="000000"/>
                <w:kern w:val="0"/>
                <w:sz w:val="20"/>
                <w:szCs w:val="20"/>
              </w:rPr>
            </w:pPr>
          </w:p>
        </w:tc>
      </w:tr>
      <w:tr>
        <w:trPr>
          <w:cantSplit/>
          <w:trHeight w:val="360"/>
        </w:trPr>
        <w:tc>
          <w:tcPr>
            <w:tcW w:w="595" w:type="pct"/>
            <w:tcBorders>
              <w:top w:val="nil"/>
              <w:left w:val="single" w:sz="4" w:space="0" w:color="auto"/>
              <w:bottom w:val="single" w:sz="4" w:space="0" w:color="auto"/>
              <w:right w:val="single" w:sz="4" w:space="0" w:color="auto"/>
            </w:tcBorders>
            <w:shd w:val="clear" w:color="auto" w:fill="auto"/>
            <w:noWrap/>
            <w:vAlign w:val="center"/>
          </w:tcPr>
          <w:p>
            <w:pPr>
              <w:widowControl/>
              <w:overflowPunct/>
              <w:spacing w:line="240" w:lineRule="auto"/>
              <w:ind w:firstLineChars="0" w:firstLine="0"/>
              <w:jc w:val="left"/>
              <w:rPr>
                <w:rFonts w:eastAsia="宋体" w:cs="宋体"/>
                <w:color w:val="000000"/>
                <w:kern w:val="0"/>
                <w:sz w:val="20"/>
                <w:szCs w:val="20"/>
              </w:rPr>
            </w:pPr>
            <w:r>
              <w:rPr>
                <w:rFonts w:eastAsia="宋体" w:cs="宋体" w:hint="eastAsia"/>
                <w:color w:val="000000"/>
                <w:kern w:val="0"/>
                <w:sz w:val="20"/>
                <w:szCs w:val="20"/>
              </w:rPr>
              <w:t>2010901</w:t>
            </w:r>
          </w:p>
        </w:tc>
        <w:tc>
          <w:tcPr>
            <w:tcW w:w="1742" w:type="pct"/>
            <w:tcBorders>
              <w:top w:val="nil"/>
              <w:left w:val="nil"/>
              <w:bottom w:val="single" w:sz="4" w:space="0" w:color="auto"/>
              <w:right w:val="single" w:sz="4" w:space="0" w:color="auto"/>
            </w:tcBorders>
            <w:shd w:val="clear" w:color="auto" w:fill="auto"/>
            <w:vAlign w:val="center"/>
          </w:tcPr>
          <w:p>
            <w:pPr>
              <w:widowControl/>
              <w:overflowPunct/>
              <w:spacing w:line="240" w:lineRule="auto"/>
              <w:ind w:firstLineChars="0" w:firstLine="0"/>
              <w:jc w:val="left"/>
              <w:rPr>
                <w:rFonts w:eastAsia="宋体" w:cs="宋体"/>
                <w:color w:val="000000"/>
                <w:kern w:val="0"/>
                <w:sz w:val="20"/>
                <w:szCs w:val="20"/>
              </w:rPr>
            </w:pPr>
            <w:r>
              <w:rPr>
                <w:rFonts w:eastAsia="宋体" w:cs="宋体" w:hint="eastAsia"/>
                <w:color w:val="000000"/>
                <w:kern w:val="0"/>
                <w:sz w:val="20"/>
                <w:szCs w:val="20"/>
              </w:rPr>
              <w:t>行政运行</w:t>
            </w:r>
          </w:p>
        </w:tc>
        <w:tc>
          <w:tcPr>
            <w:tcW w:w="548" w:type="pct"/>
            <w:tcBorders>
              <w:top w:val="nil"/>
              <w:left w:val="nil"/>
              <w:bottom w:val="single" w:sz="4" w:space="0" w:color="auto"/>
              <w:right w:val="single" w:sz="4" w:space="0" w:color="auto"/>
            </w:tcBorders>
            <w:shd w:val="clear" w:color="auto" w:fill="auto"/>
            <w:noWrap/>
            <w:vAlign w:val="center"/>
          </w:tcPr>
          <w:p>
            <w:pPr>
              <w:overflowPunct/>
              <w:spacing w:line="240" w:lineRule="auto"/>
              <w:ind w:firstLineChars="0" w:firstLine="0"/>
              <w:jc w:val="right"/>
              <w:rPr>
                <w:rFonts w:cs="Calibri"/>
                <w:sz w:val="16"/>
                <w:szCs w:val="16"/>
              </w:rPr>
            </w:pPr>
            <w:r>
              <w:rPr>
                <w:rFonts w:cs="Calibri" w:hint="eastAsia"/>
                <w:sz w:val="16"/>
                <w:szCs w:val="16"/>
              </w:rPr>
              <w:t>67,662.17</w:t>
            </w:r>
          </w:p>
        </w:tc>
        <w:tc>
          <w:tcPr>
            <w:tcW w:w="698" w:type="pct"/>
            <w:tcBorders>
              <w:top w:val="nil"/>
              <w:left w:val="nil"/>
              <w:bottom w:val="single" w:sz="4" w:space="0" w:color="auto"/>
              <w:right w:val="single" w:sz="4" w:space="0" w:color="auto"/>
            </w:tcBorders>
            <w:shd w:val="clear" w:color="auto" w:fill="auto"/>
            <w:noWrap/>
            <w:vAlign w:val="center"/>
          </w:tcPr>
          <w:p>
            <w:pPr>
              <w:overflowPunct/>
              <w:spacing w:line="240" w:lineRule="auto"/>
              <w:ind w:firstLineChars="0" w:firstLine="0"/>
              <w:jc w:val="right"/>
              <w:rPr>
                <w:rFonts w:cs="Calibri"/>
                <w:sz w:val="16"/>
                <w:szCs w:val="16"/>
              </w:rPr>
            </w:pPr>
            <w:r>
              <w:rPr>
                <w:rFonts w:cs="Calibri" w:hint="eastAsia"/>
                <w:sz w:val="16"/>
                <w:szCs w:val="16"/>
              </w:rPr>
              <w:t>67,662.17</w:t>
            </w:r>
          </w:p>
        </w:tc>
        <w:tc>
          <w:tcPr>
            <w:tcW w:w="684" w:type="pct"/>
            <w:tcBorders>
              <w:top w:val="nil"/>
              <w:left w:val="nil"/>
              <w:bottom w:val="single" w:sz="4" w:space="0" w:color="auto"/>
              <w:right w:val="single" w:sz="4" w:space="0" w:color="auto"/>
            </w:tcBorders>
            <w:shd w:val="clear" w:color="auto" w:fill="auto"/>
            <w:noWrap/>
            <w:vAlign w:val="center"/>
          </w:tcPr>
          <w:p>
            <w:pPr>
              <w:overflowPunct/>
              <w:spacing w:line="240" w:lineRule="auto"/>
              <w:ind w:firstLineChars="0" w:firstLine="0"/>
              <w:jc w:val="right"/>
              <w:rPr>
                <w:rFonts w:cs="Calibri"/>
                <w:sz w:val="16"/>
                <w:szCs w:val="16"/>
              </w:rPr>
            </w:pPr>
            <w:r>
              <w:rPr>
                <w:rFonts w:cs="Calibri" w:hint="eastAsia"/>
                <w:sz w:val="16"/>
                <w:szCs w:val="16"/>
              </w:rPr>
              <w:t>　</w:t>
            </w:r>
          </w:p>
        </w:tc>
        <w:tc>
          <w:tcPr>
            <w:tcW w:w="209" w:type="pct"/>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Times New Roman"/>
                <w:color w:val="000000"/>
                <w:kern w:val="0"/>
                <w:sz w:val="20"/>
                <w:szCs w:val="20"/>
              </w:rPr>
            </w:pPr>
          </w:p>
        </w:tc>
        <w:tc>
          <w:tcPr>
            <w:tcW w:w="231" w:type="pct"/>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Times New Roman"/>
                <w:color w:val="000000"/>
                <w:kern w:val="0"/>
                <w:sz w:val="20"/>
                <w:szCs w:val="20"/>
              </w:rPr>
            </w:pPr>
          </w:p>
        </w:tc>
        <w:tc>
          <w:tcPr>
            <w:tcW w:w="293" w:type="pct"/>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Times New Roman"/>
                <w:color w:val="000000"/>
                <w:kern w:val="0"/>
                <w:sz w:val="20"/>
                <w:szCs w:val="20"/>
              </w:rPr>
            </w:pPr>
          </w:p>
        </w:tc>
      </w:tr>
      <w:tr>
        <w:trPr>
          <w:cantSplit/>
          <w:trHeight w:val="360"/>
        </w:trPr>
        <w:tc>
          <w:tcPr>
            <w:tcW w:w="595" w:type="pct"/>
            <w:tcBorders>
              <w:top w:val="nil"/>
              <w:left w:val="single" w:sz="4" w:space="0" w:color="auto"/>
              <w:bottom w:val="single" w:sz="4" w:space="0" w:color="auto"/>
              <w:right w:val="single" w:sz="4" w:space="0" w:color="auto"/>
            </w:tcBorders>
            <w:shd w:val="clear" w:color="auto" w:fill="auto"/>
            <w:noWrap/>
            <w:vAlign w:val="center"/>
          </w:tcPr>
          <w:p>
            <w:pPr>
              <w:widowControl/>
              <w:overflowPunct/>
              <w:spacing w:line="240" w:lineRule="auto"/>
              <w:ind w:firstLineChars="0" w:firstLine="0"/>
              <w:jc w:val="left"/>
              <w:rPr>
                <w:rFonts w:eastAsia="宋体" w:cs="宋体"/>
                <w:color w:val="000000"/>
                <w:kern w:val="0"/>
                <w:sz w:val="20"/>
                <w:szCs w:val="20"/>
              </w:rPr>
            </w:pPr>
            <w:r>
              <w:rPr>
                <w:rFonts w:eastAsia="宋体" w:cs="宋体" w:hint="eastAsia"/>
                <w:color w:val="000000"/>
                <w:kern w:val="0"/>
                <w:sz w:val="20"/>
                <w:szCs w:val="20"/>
              </w:rPr>
              <w:t>2010902</w:t>
            </w:r>
          </w:p>
        </w:tc>
        <w:tc>
          <w:tcPr>
            <w:tcW w:w="1742" w:type="pct"/>
            <w:tcBorders>
              <w:top w:val="nil"/>
              <w:left w:val="nil"/>
              <w:bottom w:val="single" w:sz="4" w:space="0" w:color="auto"/>
              <w:right w:val="single" w:sz="4" w:space="0" w:color="auto"/>
            </w:tcBorders>
            <w:shd w:val="clear" w:color="auto" w:fill="auto"/>
            <w:vAlign w:val="center"/>
          </w:tcPr>
          <w:p>
            <w:pPr>
              <w:widowControl/>
              <w:overflowPunct/>
              <w:spacing w:line="240" w:lineRule="auto"/>
              <w:ind w:firstLineChars="0" w:firstLine="0"/>
              <w:jc w:val="left"/>
              <w:rPr>
                <w:rFonts w:eastAsia="宋体" w:cs="宋体"/>
                <w:color w:val="000000"/>
                <w:kern w:val="0"/>
                <w:sz w:val="20"/>
                <w:szCs w:val="20"/>
              </w:rPr>
            </w:pPr>
            <w:r>
              <w:rPr>
                <w:rFonts w:eastAsia="宋体" w:cs="宋体" w:hint="eastAsia"/>
                <w:color w:val="000000"/>
                <w:kern w:val="0"/>
                <w:sz w:val="20"/>
                <w:szCs w:val="20"/>
              </w:rPr>
              <w:t>一般行政管理事务</w:t>
            </w:r>
          </w:p>
        </w:tc>
        <w:tc>
          <w:tcPr>
            <w:tcW w:w="548" w:type="pct"/>
            <w:tcBorders>
              <w:top w:val="nil"/>
              <w:left w:val="nil"/>
              <w:bottom w:val="single" w:sz="4" w:space="0" w:color="auto"/>
              <w:right w:val="single" w:sz="4" w:space="0" w:color="auto"/>
            </w:tcBorders>
            <w:shd w:val="clear" w:color="auto" w:fill="auto"/>
            <w:noWrap/>
            <w:vAlign w:val="center"/>
          </w:tcPr>
          <w:p>
            <w:pPr>
              <w:overflowPunct/>
              <w:spacing w:line="240" w:lineRule="auto"/>
              <w:ind w:firstLineChars="0" w:firstLine="0"/>
              <w:jc w:val="right"/>
              <w:rPr>
                <w:rFonts w:cs="Calibri"/>
                <w:sz w:val="16"/>
                <w:szCs w:val="16"/>
              </w:rPr>
            </w:pPr>
            <w:r>
              <w:rPr>
                <w:rFonts w:cs="Calibri" w:hint="eastAsia"/>
                <w:sz w:val="16"/>
                <w:szCs w:val="16"/>
              </w:rPr>
              <w:t>80.80</w:t>
            </w:r>
          </w:p>
        </w:tc>
        <w:tc>
          <w:tcPr>
            <w:tcW w:w="698" w:type="pct"/>
            <w:tcBorders>
              <w:top w:val="nil"/>
              <w:left w:val="nil"/>
              <w:bottom w:val="single" w:sz="4" w:space="0" w:color="auto"/>
              <w:right w:val="single" w:sz="4" w:space="0" w:color="auto"/>
            </w:tcBorders>
            <w:shd w:val="clear" w:color="auto" w:fill="auto"/>
            <w:noWrap/>
            <w:vAlign w:val="center"/>
          </w:tcPr>
          <w:p>
            <w:pPr>
              <w:overflowPunct/>
              <w:spacing w:line="240" w:lineRule="auto"/>
              <w:ind w:firstLineChars="0" w:firstLine="0"/>
              <w:jc w:val="right"/>
              <w:rPr>
                <w:rFonts w:cs="Calibri"/>
                <w:sz w:val="16"/>
                <w:szCs w:val="16"/>
              </w:rPr>
            </w:pPr>
            <w:r>
              <w:rPr>
                <w:rFonts w:cs="Calibri" w:hint="eastAsia"/>
                <w:sz w:val="16"/>
                <w:szCs w:val="16"/>
              </w:rPr>
              <w:t>　</w:t>
            </w:r>
          </w:p>
        </w:tc>
        <w:tc>
          <w:tcPr>
            <w:tcW w:w="684" w:type="pct"/>
            <w:tcBorders>
              <w:top w:val="nil"/>
              <w:left w:val="nil"/>
              <w:bottom w:val="single" w:sz="4" w:space="0" w:color="auto"/>
              <w:right w:val="single" w:sz="4" w:space="0" w:color="auto"/>
            </w:tcBorders>
            <w:shd w:val="clear" w:color="auto" w:fill="auto"/>
            <w:noWrap/>
            <w:vAlign w:val="center"/>
          </w:tcPr>
          <w:p>
            <w:pPr>
              <w:overflowPunct/>
              <w:spacing w:line="240" w:lineRule="auto"/>
              <w:ind w:firstLineChars="0" w:firstLine="0"/>
              <w:jc w:val="right"/>
              <w:rPr>
                <w:rFonts w:cs="Calibri"/>
                <w:sz w:val="16"/>
                <w:szCs w:val="16"/>
              </w:rPr>
            </w:pPr>
            <w:r>
              <w:rPr>
                <w:rFonts w:cs="Calibri" w:hint="eastAsia"/>
                <w:sz w:val="16"/>
                <w:szCs w:val="16"/>
              </w:rPr>
              <w:t>80.80</w:t>
            </w:r>
          </w:p>
        </w:tc>
        <w:tc>
          <w:tcPr>
            <w:tcW w:w="209" w:type="pct"/>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Times New Roman"/>
                <w:color w:val="000000"/>
                <w:kern w:val="0"/>
                <w:sz w:val="20"/>
                <w:szCs w:val="20"/>
              </w:rPr>
            </w:pPr>
          </w:p>
        </w:tc>
        <w:tc>
          <w:tcPr>
            <w:tcW w:w="231" w:type="pct"/>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Times New Roman"/>
                <w:color w:val="000000"/>
                <w:kern w:val="0"/>
                <w:sz w:val="20"/>
                <w:szCs w:val="20"/>
              </w:rPr>
            </w:pPr>
          </w:p>
        </w:tc>
        <w:tc>
          <w:tcPr>
            <w:tcW w:w="293" w:type="pct"/>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Times New Roman"/>
                <w:color w:val="000000"/>
                <w:kern w:val="0"/>
                <w:sz w:val="20"/>
                <w:szCs w:val="20"/>
              </w:rPr>
            </w:pPr>
          </w:p>
        </w:tc>
      </w:tr>
      <w:tr>
        <w:trPr>
          <w:cantSplit/>
          <w:trHeight w:val="360"/>
        </w:trPr>
        <w:tc>
          <w:tcPr>
            <w:tcW w:w="595" w:type="pct"/>
            <w:tcBorders>
              <w:top w:val="nil"/>
              <w:left w:val="single" w:sz="4" w:space="0" w:color="auto"/>
              <w:bottom w:val="single" w:sz="4" w:space="0" w:color="auto"/>
              <w:right w:val="single" w:sz="4" w:space="0" w:color="auto"/>
            </w:tcBorders>
            <w:shd w:val="clear" w:color="auto" w:fill="auto"/>
            <w:noWrap/>
            <w:vAlign w:val="center"/>
          </w:tcPr>
          <w:p>
            <w:pPr>
              <w:widowControl/>
              <w:overflowPunct/>
              <w:spacing w:line="240" w:lineRule="auto"/>
              <w:ind w:firstLineChars="0" w:firstLine="0"/>
              <w:jc w:val="left"/>
              <w:rPr>
                <w:rFonts w:eastAsia="宋体" w:cs="宋体"/>
                <w:color w:val="000000"/>
                <w:kern w:val="0"/>
                <w:sz w:val="20"/>
                <w:szCs w:val="20"/>
              </w:rPr>
            </w:pPr>
            <w:r>
              <w:rPr>
                <w:rFonts w:eastAsia="宋体" w:cs="宋体" w:hint="eastAsia"/>
                <w:color w:val="000000"/>
                <w:kern w:val="0"/>
                <w:sz w:val="20"/>
                <w:szCs w:val="20"/>
              </w:rPr>
              <w:t>2010903</w:t>
            </w:r>
          </w:p>
        </w:tc>
        <w:tc>
          <w:tcPr>
            <w:tcW w:w="1742" w:type="pct"/>
            <w:tcBorders>
              <w:top w:val="nil"/>
              <w:left w:val="nil"/>
              <w:bottom w:val="single" w:sz="4" w:space="0" w:color="auto"/>
              <w:right w:val="single" w:sz="4" w:space="0" w:color="auto"/>
            </w:tcBorders>
            <w:shd w:val="clear" w:color="auto" w:fill="auto"/>
            <w:vAlign w:val="center"/>
          </w:tcPr>
          <w:p>
            <w:pPr>
              <w:widowControl/>
              <w:overflowPunct/>
              <w:spacing w:line="240" w:lineRule="auto"/>
              <w:ind w:firstLineChars="0" w:firstLine="0"/>
              <w:jc w:val="left"/>
              <w:rPr>
                <w:rFonts w:eastAsia="宋体" w:cs="宋体"/>
                <w:color w:val="000000"/>
                <w:kern w:val="0"/>
                <w:sz w:val="20"/>
                <w:szCs w:val="20"/>
              </w:rPr>
            </w:pPr>
            <w:r>
              <w:rPr>
                <w:rFonts w:eastAsia="宋体" w:cs="宋体" w:hint="eastAsia"/>
                <w:color w:val="000000"/>
                <w:kern w:val="0"/>
                <w:sz w:val="20"/>
                <w:szCs w:val="20"/>
              </w:rPr>
              <w:t>机关服务</w:t>
            </w:r>
          </w:p>
        </w:tc>
        <w:tc>
          <w:tcPr>
            <w:tcW w:w="548" w:type="pct"/>
            <w:tcBorders>
              <w:top w:val="nil"/>
              <w:left w:val="nil"/>
              <w:bottom w:val="single" w:sz="4" w:space="0" w:color="auto"/>
              <w:right w:val="single" w:sz="4" w:space="0" w:color="auto"/>
            </w:tcBorders>
            <w:shd w:val="clear" w:color="auto" w:fill="auto"/>
            <w:noWrap/>
            <w:vAlign w:val="center"/>
          </w:tcPr>
          <w:p>
            <w:pPr>
              <w:overflowPunct/>
              <w:spacing w:line="240" w:lineRule="auto"/>
              <w:ind w:firstLineChars="0" w:firstLine="0"/>
              <w:jc w:val="right"/>
              <w:rPr>
                <w:rFonts w:cs="Calibri"/>
                <w:sz w:val="16"/>
                <w:szCs w:val="16"/>
              </w:rPr>
            </w:pPr>
            <w:r>
              <w:rPr>
                <w:rFonts w:cs="Calibri" w:hint="eastAsia"/>
                <w:sz w:val="16"/>
                <w:szCs w:val="16"/>
              </w:rPr>
              <w:t>5,233.44</w:t>
            </w:r>
          </w:p>
        </w:tc>
        <w:tc>
          <w:tcPr>
            <w:tcW w:w="698" w:type="pct"/>
            <w:tcBorders>
              <w:top w:val="nil"/>
              <w:left w:val="nil"/>
              <w:bottom w:val="single" w:sz="4" w:space="0" w:color="auto"/>
              <w:right w:val="single" w:sz="4" w:space="0" w:color="auto"/>
            </w:tcBorders>
            <w:shd w:val="clear" w:color="auto" w:fill="auto"/>
            <w:noWrap/>
            <w:vAlign w:val="center"/>
          </w:tcPr>
          <w:p>
            <w:pPr>
              <w:overflowPunct/>
              <w:spacing w:line="240" w:lineRule="auto"/>
              <w:ind w:firstLineChars="0" w:firstLine="0"/>
              <w:jc w:val="right"/>
              <w:rPr>
                <w:rFonts w:cs="Calibri"/>
                <w:sz w:val="16"/>
                <w:szCs w:val="16"/>
              </w:rPr>
            </w:pPr>
            <w:r>
              <w:rPr>
                <w:rFonts w:cs="Calibri" w:hint="eastAsia"/>
                <w:sz w:val="16"/>
                <w:szCs w:val="16"/>
              </w:rPr>
              <w:t>5,233.44</w:t>
            </w:r>
          </w:p>
        </w:tc>
        <w:tc>
          <w:tcPr>
            <w:tcW w:w="684" w:type="pct"/>
            <w:tcBorders>
              <w:top w:val="nil"/>
              <w:left w:val="nil"/>
              <w:bottom w:val="single" w:sz="4" w:space="0" w:color="auto"/>
              <w:right w:val="single" w:sz="4" w:space="0" w:color="auto"/>
            </w:tcBorders>
            <w:shd w:val="clear" w:color="auto" w:fill="auto"/>
            <w:noWrap/>
            <w:vAlign w:val="center"/>
          </w:tcPr>
          <w:p>
            <w:pPr>
              <w:overflowPunct/>
              <w:spacing w:line="240" w:lineRule="auto"/>
              <w:ind w:firstLineChars="0" w:firstLine="0"/>
              <w:jc w:val="right"/>
              <w:rPr>
                <w:rFonts w:cs="Calibri"/>
                <w:sz w:val="16"/>
                <w:szCs w:val="16"/>
              </w:rPr>
            </w:pPr>
            <w:r>
              <w:rPr>
                <w:rFonts w:cs="Calibri" w:hint="eastAsia"/>
                <w:sz w:val="16"/>
                <w:szCs w:val="16"/>
              </w:rPr>
              <w:t>　</w:t>
            </w:r>
          </w:p>
        </w:tc>
        <w:tc>
          <w:tcPr>
            <w:tcW w:w="209" w:type="pct"/>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Times New Roman"/>
                <w:color w:val="000000"/>
                <w:kern w:val="0"/>
                <w:sz w:val="20"/>
                <w:szCs w:val="20"/>
              </w:rPr>
            </w:pPr>
          </w:p>
        </w:tc>
        <w:tc>
          <w:tcPr>
            <w:tcW w:w="231" w:type="pct"/>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Times New Roman"/>
                <w:color w:val="000000"/>
                <w:kern w:val="0"/>
                <w:sz w:val="20"/>
                <w:szCs w:val="20"/>
              </w:rPr>
            </w:pPr>
          </w:p>
        </w:tc>
        <w:tc>
          <w:tcPr>
            <w:tcW w:w="293" w:type="pct"/>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Times New Roman"/>
                <w:color w:val="000000"/>
                <w:kern w:val="0"/>
                <w:sz w:val="20"/>
                <w:szCs w:val="20"/>
              </w:rPr>
            </w:pPr>
          </w:p>
        </w:tc>
      </w:tr>
      <w:tr>
        <w:trPr>
          <w:cantSplit/>
          <w:trHeight w:val="360"/>
        </w:trPr>
        <w:tc>
          <w:tcPr>
            <w:tcW w:w="595" w:type="pct"/>
            <w:tcBorders>
              <w:top w:val="nil"/>
              <w:left w:val="single" w:sz="4" w:space="0" w:color="auto"/>
              <w:bottom w:val="single" w:sz="4" w:space="0" w:color="auto"/>
              <w:right w:val="single" w:sz="4" w:space="0" w:color="auto"/>
            </w:tcBorders>
            <w:shd w:val="clear" w:color="auto" w:fill="auto"/>
            <w:noWrap/>
            <w:vAlign w:val="center"/>
          </w:tcPr>
          <w:p>
            <w:pPr>
              <w:widowControl/>
              <w:overflowPunct/>
              <w:spacing w:line="240" w:lineRule="auto"/>
              <w:ind w:firstLineChars="0" w:firstLine="0"/>
              <w:jc w:val="left"/>
              <w:rPr>
                <w:rFonts w:eastAsia="宋体" w:cs="宋体"/>
                <w:color w:val="000000"/>
                <w:kern w:val="0"/>
                <w:sz w:val="20"/>
                <w:szCs w:val="20"/>
              </w:rPr>
            </w:pPr>
            <w:r>
              <w:rPr>
                <w:rFonts w:eastAsia="宋体" w:cs="宋体" w:hint="eastAsia"/>
                <w:color w:val="000000"/>
                <w:kern w:val="0"/>
                <w:sz w:val="20"/>
                <w:szCs w:val="20"/>
              </w:rPr>
              <w:t>2010905</w:t>
            </w:r>
          </w:p>
        </w:tc>
        <w:tc>
          <w:tcPr>
            <w:tcW w:w="1742" w:type="pct"/>
            <w:tcBorders>
              <w:top w:val="nil"/>
              <w:left w:val="nil"/>
              <w:bottom w:val="single" w:sz="4" w:space="0" w:color="auto"/>
              <w:right w:val="single" w:sz="4" w:space="0" w:color="auto"/>
            </w:tcBorders>
            <w:shd w:val="clear" w:color="auto" w:fill="auto"/>
            <w:vAlign w:val="center"/>
          </w:tcPr>
          <w:p>
            <w:pPr>
              <w:widowControl/>
              <w:overflowPunct/>
              <w:spacing w:line="240" w:lineRule="auto"/>
              <w:ind w:firstLineChars="0" w:firstLine="0"/>
              <w:jc w:val="left"/>
              <w:rPr>
                <w:rFonts w:eastAsia="宋体" w:cs="宋体"/>
                <w:color w:val="000000"/>
                <w:kern w:val="0"/>
                <w:sz w:val="20"/>
                <w:szCs w:val="20"/>
              </w:rPr>
            </w:pPr>
            <w:r>
              <w:rPr>
                <w:rFonts w:eastAsia="宋体" w:cs="宋体" w:hint="eastAsia"/>
                <w:color w:val="000000"/>
                <w:kern w:val="0"/>
                <w:sz w:val="20"/>
                <w:szCs w:val="20"/>
              </w:rPr>
              <w:t>缉私办案</w:t>
            </w:r>
          </w:p>
        </w:tc>
        <w:tc>
          <w:tcPr>
            <w:tcW w:w="548" w:type="pct"/>
            <w:tcBorders>
              <w:top w:val="nil"/>
              <w:left w:val="nil"/>
              <w:bottom w:val="single" w:sz="4" w:space="0" w:color="auto"/>
              <w:right w:val="single" w:sz="4" w:space="0" w:color="auto"/>
            </w:tcBorders>
            <w:shd w:val="clear" w:color="auto" w:fill="auto"/>
            <w:noWrap/>
            <w:vAlign w:val="center"/>
          </w:tcPr>
          <w:p>
            <w:pPr>
              <w:overflowPunct/>
              <w:spacing w:line="240" w:lineRule="auto"/>
              <w:ind w:firstLineChars="0" w:firstLine="0"/>
              <w:jc w:val="right"/>
              <w:rPr>
                <w:rFonts w:cs="Calibri"/>
                <w:sz w:val="16"/>
                <w:szCs w:val="16"/>
              </w:rPr>
            </w:pPr>
            <w:r>
              <w:rPr>
                <w:rFonts w:cs="Calibri" w:hint="eastAsia"/>
                <w:sz w:val="16"/>
                <w:szCs w:val="16"/>
              </w:rPr>
              <w:t>513.32</w:t>
            </w:r>
          </w:p>
        </w:tc>
        <w:tc>
          <w:tcPr>
            <w:tcW w:w="698" w:type="pct"/>
            <w:tcBorders>
              <w:top w:val="nil"/>
              <w:left w:val="nil"/>
              <w:bottom w:val="single" w:sz="4" w:space="0" w:color="auto"/>
              <w:right w:val="single" w:sz="4" w:space="0" w:color="auto"/>
            </w:tcBorders>
            <w:shd w:val="clear" w:color="auto" w:fill="auto"/>
            <w:noWrap/>
            <w:vAlign w:val="center"/>
          </w:tcPr>
          <w:p>
            <w:pPr>
              <w:overflowPunct/>
              <w:spacing w:line="240" w:lineRule="auto"/>
              <w:ind w:firstLineChars="0" w:firstLine="0"/>
              <w:jc w:val="right"/>
              <w:rPr>
                <w:rFonts w:cs="Calibri"/>
                <w:sz w:val="16"/>
                <w:szCs w:val="16"/>
              </w:rPr>
            </w:pPr>
            <w:r>
              <w:rPr>
                <w:rFonts w:cs="Calibri" w:hint="eastAsia"/>
                <w:sz w:val="16"/>
                <w:szCs w:val="16"/>
              </w:rPr>
              <w:t>　</w:t>
            </w:r>
          </w:p>
        </w:tc>
        <w:tc>
          <w:tcPr>
            <w:tcW w:w="684" w:type="pct"/>
            <w:tcBorders>
              <w:top w:val="nil"/>
              <w:left w:val="nil"/>
              <w:bottom w:val="single" w:sz="4" w:space="0" w:color="auto"/>
              <w:right w:val="single" w:sz="4" w:space="0" w:color="auto"/>
            </w:tcBorders>
            <w:shd w:val="clear" w:color="auto" w:fill="auto"/>
            <w:noWrap/>
            <w:vAlign w:val="center"/>
          </w:tcPr>
          <w:p>
            <w:pPr>
              <w:overflowPunct/>
              <w:spacing w:line="240" w:lineRule="auto"/>
              <w:ind w:firstLineChars="0" w:firstLine="0"/>
              <w:jc w:val="right"/>
              <w:rPr>
                <w:rFonts w:cs="Calibri"/>
                <w:sz w:val="16"/>
                <w:szCs w:val="16"/>
              </w:rPr>
            </w:pPr>
            <w:r>
              <w:rPr>
                <w:rFonts w:cs="Calibri" w:hint="eastAsia"/>
                <w:sz w:val="16"/>
                <w:szCs w:val="16"/>
              </w:rPr>
              <w:t>513.32</w:t>
            </w:r>
          </w:p>
        </w:tc>
        <w:tc>
          <w:tcPr>
            <w:tcW w:w="209" w:type="pct"/>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Times New Roman"/>
                <w:color w:val="000000"/>
                <w:kern w:val="0"/>
                <w:sz w:val="20"/>
                <w:szCs w:val="20"/>
              </w:rPr>
            </w:pPr>
          </w:p>
        </w:tc>
        <w:tc>
          <w:tcPr>
            <w:tcW w:w="231" w:type="pct"/>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Times New Roman"/>
                <w:color w:val="000000"/>
                <w:kern w:val="0"/>
                <w:sz w:val="20"/>
                <w:szCs w:val="20"/>
              </w:rPr>
            </w:pPr>
          </w:p>
        </w:tc>
        <w:tc>
          <w:tcPr>
            <w:tcW w:w="293" w:type="pct"/>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Times New Roman"/>
                <w:color w:val="000000"/>
                <w:kern w:val="0"/>
                <w:sz w:val="20"/>
                <w:szCs w:val="20"/>
              </w:rPr>
            </w:pPr>
          </w:p>
        </w:tc>
      </w:tr>
      <w:tr>
        <w:trPr>
          <w:cantSplit/>
          <w:trHeight w:val="360"/>
        </w:trPr>
        <w:tc>
          <w:tcPr>
            <w:tcW w:w="595" w:type="pct"/>
            <w:tcBorders>
              <w:top w:val="nil"/>
              <w:left w:val="single" w:sz="4" w:space="0" w:color="auto"/>
              <w:bottom w:val="single" w:sz="4" w:space="0" w:color="auto"/>
              <w:right w:val="single" w:sz="4" w:space="0" w:color="auto"/>
            </w:tcBorders>
            <w:shd w:val="clear" w:color="auto" w:fill="auto"/>
            <w:noWrap/>
            <w:vAlign w:val="center"/>
          </w:tcPr>
          <w:p>
            <w:pPr>
              <w:widowControl/>
              <w:overflowPunct/>
              <w:spacing w:line="240" w:lineRule="auto"/>
              <w:ind w:firstLineChars="0" w:firstLine="0"/>
              <w:jc w:val="left"/>
              <w:rPr>
                <w:rFonts w:eastAsia="宋体" w:cs="宋体"/>
                <w:color w:val="000000"/>
                <w:kern w:val="0"/>
                <w:sz w:val="20"/>
                <w:szCs w:val="20"/>
              </w:rPr>
            </w:pPr>
            <w:r>
              <w:rPr>
                <w:rFonts w:eastAsia="宋体" w:cs="宋体" w:hint="eastAsia"/>
                <w:color w:val="000000"/>
                <w:kern w:val="0"/>
                <w:sz w:val="20"/>
                <w:szCs w:val="20"/>
              </w:rPr>
              <w:t>2010907</w:t>
            </w:r>
          </w:p>
        </w:tc>
        <w:tc>
          <w:tcPr>
            <w:tcW w:w="1742" w:type="pct"/>
            <w:tcBorders>
              <w:top w:val="nil"/>
              <w:left w:val="nil"/>
              <w:bottom w:val="single" w:sz="4" w:space="0" w:color="auto"/>
              <w:right w:val="single" w:sz="4" w:space="0" w:color="auto"/>
            </w:tcBorders>
            <w:shd w:val="clear" w:color="auto" w:fill="auto"/>
            <w:vAlign w:val="center"/>
          </w:tcPr>
          <w:p>
            <w:pPr>
              <w:widowControl/>
              <w:overflowPunct/>
              <w:spacing w:line="240" w:lineRule="auto"/>
              <w:ind w:firstLineChars="0" w:firstLine="0"/>
              <w:jc w:val="left"/>
              <w:rPr>
                <w:rFonts w:eastAsia="宋体" w:cs="宋体"/>
                <w:color w:val="000000"/>
                <w:kern w:val="0"/>
                <w:sz w:val="20"/>
                <w:szCs w:val="20"/>
              </w:rPr>
            </w:pPr>
            <w:r>
              <w:rPr>
                <w:rFonts w:eastAsia="宋体" w:cs="宋体" w:hint="eastAsia"/>
                <w:color w:val="000000"/>
                <w:kern w:val="0"/>
                <w:sz w:val="20"/>
                <w:szCs w:val="20"/>
              </w:rPr>
              <w:t>口岸管理</w:t>
            </w:r>
          </w:p>
        </w:tc>
        <w:tc>
          <w:tcPr>
            <w:tcW w:w="548" w:type="pct"/>
            <w:tcBorders>
              <w:top w:val="nil"/>
              <w:left w:val="nil"/>
              <w:bottom w:val="single" w:sz="4" w:space="0" w:color="auto"/>
              <w:right w:val="single" w:sz="4" w:space="0" w:color="auto"/>
            </w:tcBorders>
            <w:shd w:val="clear" w:color="auto" w:fill="auto"/>
            <w:noWrap/>
            <w:vAlign w:val="center"/>
          </w:tcPr>
          <w:p>
            <w:pPr>
              <w:overflowPunct/>
              <w:spacing w:line="240" w:lineRule="auto"/>
              <w:ind w:firstLineChars="0" w:firstLine="0"/>
              <w:jc w:val="right"/>
              <w:rPr>
                <w:rFonts w:cs="Calibri"/>
                <w:sz w:val="16"/>
                <w:szCs w:val="16"/>
              </w:rPr>
            </w:pPr>
            <w:r>
              <w:rPr>
                <w:rFonts w:cs="Calibri" w:hint="eastAsia"/>
                <w:sz w:val="16"/>
                <w:szCs w:val="16"/>
              </w:rPr>
              <w:t>65.72</w:t>
            </w:r>
          </w:p>
        </w:tc>
        <w:tc>
          <w:tcPr>
            <w:tcW w:w="698" w:type="pct"/>
            <w:tcBorders>
              <w:top w:val="nil"/>
              <w:left w:val="nil"/>
              <w:bottom w:val="single" w:sz="4" w:space="0" w:color="auto"/>
              <w:right w:val="single" w:sz="4" w:space="0" w:color="auto"/>
            </w:tcBorders>
            <w:shd w:val="clear" w:color="auto" w:fill="auto"/>
            <w:noWrap/>
            <w:vAlign w:val="center"/>
          </w:tcPr>
          <w:p>
            <w:pPr>
              <w:overflowPunct/>
              <w:spacing w:line="240" w:lineRule="auto"/>
              <w:ind w:firstLineChars="0" w:firstLine="0"/>
              <w:jc w:val="right"/>
              <w:rPr>
                <w:rFonts w:cs="Calibri"/>
                <w:sz w:val="16"/>
                <w:szCs w:val="16"/>
              </w:rPr>
            </w:pPr>
            <w:r>
              <w:rPr>
                <w:rFonts w:cs="Calibri" w:hint="eastAsia"/>
                <w:sz w:val="16"/>
                <w:szCs w:val="16"/>
              </w:rPr>
              <w:t>　</w:t>
            </w:r>
          </w:p>
        </w:tc>
        <w:tc>
          <w:tcPr>
            <w:tcW w:w="684" w:type="pct"/>
            <w:tcBorders>
              <w:top w:val="nil"/>
              <w:left w:val="nil"/>
              <w:bottom w:val="single" w:sz="4" w:space="0" w:color="auto"/>
              <w:right w:val="single" w:sz="4" w:space="0" w:color="auto"/>
            </w:tcBorders>
            <w:shd w:val="clear" w:color="auto" w:fill="auto"/>
            <w:noWrap/>
            <w:vAlign w:val="center"/>
          </w:tcPr>
          <w:p>
            <w:pPr>
              <w:overflowPunct/>
              <w:spacing w:line="240" w:lineRule="auto"/>
              <w:ind w:firstLineChars="0" w:firstLine="0"/>
              <w:jc w:val="right"/>
              <w:rPr>
                <w:rFonts w:cs="Calibri"/>
                <w:sz w:val="16"/>
                <w:szCs w:val="16"/>
              </w:rPr>
            </w:pPr>
            <w:r>
              <w:rPr>
                <w:rFonts w:cs="Calibri" w:hint="eastAsia"/>
                <w:sz w:val="16"/>
                <w:szCs w:val="16"/>
              </w:rPr>
              <w:t>65.72</w:t>
            </w:r>
          </w:p>
        </w:tc>
        <w:tc>
          <w:tcPr>
            <w:tcW w:w="209" w:type="pct"/>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Times New Roman"/>
                <w:color w:val="000000"/>
                <w:kern w:val="0"/>
                <w:sz w:val="20"/>
                <w:szCs w:val="20"/>
              </w:rPr>
            </w:pPr>
          </w:p>
        </w:tc>
        <w:tc>
          <w:tcPr>
            <w:tcW w:w="231" w:type="pct"/>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Times New Roman"/>
                <w:color w:val="000000"/>
                <w:kern w:val="0"/>
                <w:sz w:val="20"/>
                <w:szCs w:val="20"/>
              </w:rPr>
            </w:pPr>
          </w:p>
        </w:tc>
        <w:tc>
          <w:tcPr>
            <w:tcW w:w="293" w:type="pct"/>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Times New Roman"/>
                <w:color w:val="000000"/>
                <w:kern w:val="0"/>
                <w:sz w:val="20"/>
                <w:szCs w:val="20"/>
              </w:rPr>
            </w:pPr>
          </w:p>
        </w:tc>
      </w:tr>
      <w:tr>
        <w:trPr>
          <w:cantSplit/>
          <w:trHeight w:val="360"/>
        </w:trPr>
        <w:tc>
          <w:tcPr>
            <w:tcW w:w="595" w:type="pct"/>
            <w:tcBorders>
              <w:top w:val="nil"/>
              <w:left w:val="single" w:sz="4" w:space="0" w:color="auto"/>
              <w:bottom w:val="single" w:sz="4" w:space="0" w:color="auto"/>
              <w:right w:val="single" w:sz="4" w:space="0" w:color="auto"/>
            </w:tcBorders>
            <w:shd w:val="clear" w:color="auto" w:fill="auto"/>
            <w:noWrap/>
            <w:vAlign w:val="center"/>
          </w:tcPr>
          <w:p>
            <w:pPr>
              <w:widowControl/>
              <w:overflowPunct/>
              <w:spacing w:line="240" w:lineRule="auto"/>
              <w:ind w:firstLineChars="0" w:firstLine="0"/>
              <w:jc w:val="left"/>
              <w:rPr>
                <w:rFonts w:eastAsia="宋体" w:cs="宋体"/>
                <w:color w:val="000000"/>
                <w:kern w:val="0"/>
                <w:sz w:val="20"/>
                <w:szCs w:val="20"/>
              </w:rPr>
            </w:pPr>
            <w:r>
              <w:rPr>
                <w:rFonts w:eastAsia="宋体" w:cs="宋体" w:hint="eastAsia"/>
                <w:color w:val="000000"/>
                <w:kern w:val="0"/>
                <w:sz w:val="20"/>
                <w:szCs w:val="20"/>
              </w:rPr>
              <w:t>2010908</w:t>
            </w:r>
          </w:p>
        </w:tc>
        <w:tc>
          <w:tcPr>
            <w:tcW w:w="1742" w:type="pct"/>
            <w:tcBorders>
              <w:top w:val="nil"/>
              <w:left w:val="nil"/>
              <w:bottom w:val="single" w:sz="4" w:space="0" w:color="auto"/>
              <w:right w:val="single" w:sz="4" w:space="0" w:color="auto"/>
            </w:tcBorders>
            <w:shd w:val="clear" w:color="auto" w:fill="auto"/>
            <w:vAlign w:val="center"/>
          </w:tcPr>
          <w:p>
            <w:pPr>
              <w:widowControl/>
              <w:overflowPunct/>
              <w:spacing w:line="240" w:lineRule="auto"/>
              <w:ind w:firstLineChars="0" w:firstLine="0"/>
              <w:jc w:val="left"/>
              <w:rPr>
                <w:rFonts w:eastAsia="宋体" w:cs="宋体"/>
                <w:color w:val="000000"/>
                <w:kern w:val="0"/>
                <w:sz w:val="20"/>
                <w:szCs w:val="20"/>
              </w:rPr>
            </w:pPr>
            <w:r>
              <w:rPr>
                <w:rFonts w:eastAsia="宋体" w:cs="宋体" w:hint="eastAsia"/>
                <w:color w:val="000000"/>
                <w:kern w:val="0"/>
                <w:sz w:val="20"/>
                <w:szCs w:val="20"/>
              </w:rPr>
              <w:t>信息化建设</w:t>
            </w:r>
          </w:p>
        </w:tc>
        <w:tc>
          <w:tcPr>
            <w:tcW w:w="548" w:type="pct"/>
            <w:tcBorders>
              <w:top w:val="nil"/>
              <w:left w:val="nil"/>
              <w:bottom w:val="single" w:sz="4" w:space="0" w:color="auto"/>
              <w:right w:val="single" w:sz="4" w:space="0" w:color="auto"/>
            </w:tcBorders>
            <w:shd w:val="clear" w:color="auto" w:fill="auto"/>
            <w:noWrap/>
            <w:vAlign w:val="center"/>
          </w:tcPr>
          <w:p>
            <w:pPr>
              <w:overflowPunct/>
              <w:spacing w:line="240" w:lineRule="auto"/>
              <w:ind w:firstLineChars="0" w:firstLine="0"/>
              <w:jc w:val="right"/>
              <w:rPr>
                <w:rFonts w:cs="Calibri"/>
                <w:sz w:val="16"/>
                <w:szCs w:val="16"/>
              </w:rPr>
            </w:pPr>
            <w:r>
              <w:rPr>
                <w:rFonts w:cs="Calibri" w:hint="eastAsia"/>
                <w:sz w:val="16"/>
                <w:szCs w:val="16"/>
              </w:rPr>
              <w:t>1,854.00</w:t>
            </w:r>
          </w:p>
        </w:tc>
        <w:tc>
          <w:tcPr>
            <w:tcW w:w="698" w:type="pct"/>
            <w:tcBorders>
              <w:top w:val="nil"/>
              <w:left w:val="nil"/>
              <w:bottom w:val="single" w:sz="4" w:space="0" w:color="auto"/>
              <w:right w:val="single" w:sz="4" w:space="0" w:color="auto"/>
            </w:tcBorders>
            <w:shd w:val="clear" w:color="auto" w:fill="auto"/>
            <w:noWrap/>
            <w:vAlign w:val="center"/>
          </w:tcPr>
          <w:p>
            <w:pPr>
              <w:overflowPunct/>
              <w:spacing w:line="240" w:lineRule="auto"/>
              <w:ind w:firstLineChars="0" w:firstLine="0"/>
              <w:jc w:val="right"/>
              <w:rPr>
                <w:rFonts w:cs="Calibri"/>
                <w:sz w:val="16"/>
                <w:szCs w:val="16"/>
              </w:rPr>
            </w:pPr>
            <w:r>
              <w:rPr>
                <w:rFonts w:cs="Calibri" w:hint="eastAsia"/>
                <w:sz w:val="16"/>
                <w:szCs w:val="16"/>
              </w:rPr>
              <w:t>　</w:t>
            </w:r>
          </w:p>
        </w:tc>
        <w:tc>
          <w:tcPr>
            <w:tcW w:w="684" w:type="pct"/>
            <w:tcBorders>
              <w:top w:val="nil"/>
              <w:left w:val="nil"/>
              <w:bottom w:val="single" w:sz="4" w:space="0" w:color="auto"/>
              <w:right w:val="single" w:sz="4" w:space="0" w:color="auto"/>
            </w:tcBorders>
            <w:shd w:val="clear" w:color="auto" w:fill="auto"/>
            <w:noWrap/>
            <w:vAlign w:val="center"/>
          </w:tcPr>
          <w:p>
            <w:pPr>
              <w:overflowPunct/>
              <w:spacing w:line="240" w:lineRule="auto"/>
              <w:ind w:firstLineChars="0" w:firstLine="0"/>
              <w:jc w:val="right"/>
              <w:rPr>
                <w:rFonts w:cs="Calibri"/>
                <w:sz w:val="16"/>
                <w:szCs w:val="16"/>
              </w:rPr>
            </w:pPr>
            <w:r>
              <w:rPr>
                <w:rFonts w:cs="Calibri" w:hint="eastAsia"/>
                <w:sz w:val="16"/>
                <w:szCs w:val="16"/>
              </w:rPr>
              <w:t>1,854.00</w:t>
            </w:r>
          </w:p>
        </w:tc>
        <w:tc>
          <w:tcPr>
            <w:tcW w:w="209" w:type="pct"/>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Times New Roman"/>
                <w:color w:val="000000"/>
                <w:kern w:val="0"/>
                <w:sz w:val="20"/>
                <w:szCs w:val="20"/>
              </w:rPr>
            </w:pPr>
          </w:p>
        </w:tc>
        <w:tc>
          <w:tcPr>
            <w:tcW w:w="231" w:type="pct"/>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Times New Roman"/>
                <w:color w:val="000000"/>
                <w:kern w:val="0"/>
                <w:sz w:val="20"/>
                <w:szCs w:val="20"/>
              </w:rPr>
            </w:pPr>
          </w:p>
        </w:tc>
        <w:tc>
          <w:tcPr>
            <w:tcW w:w="293" w:type="pct"/>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Times New Roman"/>
                <w:color w:val="000000"/>
                <w:kern w:val="0"/>
                <w:sz w:val="20"/>
                <w:szCs w:val="20"/>
              </w:rPr>
            </w:pPr>
          </w:p>
        </w:tc>
      </w:tr>
      <w:tr>
        <w:trPr>
          <w:cantSplit/>
          <w:trHeight w:val="360"/>
        </w:trPr>
        <w:tc>
          <w:tcPr>
            <w:tcW w:w="595" w:type="pct"/>
            <w:tcBorders>
              <w:top w:val="nil"/>
              <w:left w:val="single" w:sz="4" w:space="0" w:color="auto"/>
              <w:bottom w:val="single" w:sz="4" w:space="0" w:color="auto"/>
              <w:right w:val="single" w:sz="4" w:space="0" w:color="auto"/>
            </w:tcBorders>
            <w:shd w:val="clear" w:color="auto" w:fill="auto"/>
            <w:noWrap/>
            <w:vAlign w:val="center"/>
          </w:tcPr>
          <w:p>
            <w:pPr>
              <w:widowControl/>
              <w:overflowPunct/>
              <w:spacing w:line="240" w:lineRule="auto"/>
              <w:ind w:firstLineChars="0" w:firstLine="0"/>
              <w:jc w:val="left"/>
              <w:rPr>
                <w:rFonts w:eastAsia="宋体" w:cs="宋体"/>
                <w:color w:val="000000"/>
                <w:kern w:val="0"/>
                <w:sz w:val="20"/>
                <w:szCs w:val="20"/>
              </w:rPr>
            </w:pPr>
            <w:r>
              <w:rPr>
                <w:rFonts w:eastAsia="宋体" w:cs="宋体" w:hint="eastAsia"/>
                <w:color w:val="000000"/>
                <w:kern w:val="0"/>
                <w:sz w:val="20"/>
                <w:szCs w:val="20"/>
              </w:rPr>
              <w:t>2010909</w:t>
            </w:r>
          </w:p>
        </w:tc>
        <w:tc>
          <w:tcPr>
            <w:tcW w:w="1742" w:type="pct"/>
            <w:tcBorders>
              <w:top w:val="nil"/>
              <w:left w:val="nil"/>
              <w:bottom w:val="single" w:sz="4" w:space="0" w:color="auto"/>
              <w:right w:val="single" w:sz="4" w:space="0" w:color="auto"/>
            </w:tcBorders>
            <w:shd w:val="clear" w:color="auto" w:fill="auto"/>
            <w:vAlign w:val="center"/>
          </w:tcPr>
          <w:p>
            <w:pPr>
              <w:widowControl/>
              <w:overflowPunct/>
              <w:spacing w:line="240" w:lineRule="auto"/>
              <w:ind w:firstLineChars="0" w:firstLine="0"/>
              <w:jc w:val="left"/>
              <w:rPr>
                <w:rFonts w:eastAsia="宋体" w:cs="宋体"/>
                <w:color w:val="000000"/>
                <w:kern w:val="0"/>
                <w:sz w:val="20"/>
                <w:szCs w:val="20"/>
              </w:rPr>
            </w:pPr>
            <w:r>
              <w:rPr>
                <w:rFonts w:eastAsia="宋体" w:cs="宋体" w:hint="eastAsia"/>
                <w:color w:val="000000"/>
                <w:kern w:val="0"/>
                <w:sz w:val="20"/>
                <w:szCs w:val="20"/>
              </w:rPr>
              <w:t>海关关务</w:t>
            </w:r>
          </w:p>
        </w:tc>
        <w:tc>
          <w:tcPr>
            <w:tcW w:w="548" w:type="pct"/>
            <w:tcBorders>
              <w:top w:val="nil"/>
              <w:left w:val="nil"/>
              <w:bottom w:val="single" w:sz="4" w:space="0" w:color="auto"/>
              <w:right w:val="single" w:sz="4" w:space="0" w:color="auto"/>
            </w:tcBorders>
            <w:shd w:val="clear" w:color="auto" w:fill="auto"/>
            <w:noWrap/>
            <w:vAlign w:val="center"/>
          </w:tcPr>
          <w:p>
            <w:pPr>
              <w:overflowPunct/>
              <w:spacing w:line="240" w:lineRule="auto"/>
              <w:ind w:firstLineChars="0" w:firstLine="0"/>
              <w:jc w:val="right"/>
              <w:rPr>
                <w:rFonts w:cs="Calibri"/>
                <w:sz w:val="16"/>
                <w:szCs w:val="16"/>
              </w:rPr>
            </w:pPr>
            <w:r>
              <w:rPr>
                <w:rFonts w:cs="Calibri" w:hint="eastAsia"/>
                <w:sz w:val="16"/>
                <w:szCs w:val="16"/>
              </w:rPr>
              <w:t>6,290.52</w:t>
            </w:r>
          </w:p>
        </w:tc>
        <w:tc>
          <w:tcPr>
            <w:tcW w:w="698" w:type="pct"/>
            <w:tcBorders>
              <w:top w:val="nil"/>
              <w:left w:val="nil"/>
              <w:bottom w:val="single" w:sz="4" w:space="0" w:color="auto"/>
              <w:right w:val="single" w:sz="4" w:space="0" w:color="auto"/>
            </w:tcBorders>
            <w:shd w:val="clear" w:color="auto" w:fill="auto"/>
            <w:noWrap/>
            <w:vAlign w:val="center"/>
          </w:tcPr>
          <w:p>
            <w:pPr>
              <w:overflowPunct/>
              <w:spacing w:line="240" w:lineRule="auto"/>
              <w:ind w:firstLineChars="0" w:firstLine="0"/>
              <w:jc w:val="right"/>
              <w:rPr>
                <w:rFonts w:cs="Calibri"/>
                <w:sz w:val="16"/>
                <w:szCs w:val="16"/>
              </w:rPr>
            </w:pPr>
            <w:r>
              <w:rPr>
                <w:rFonts w:cs="Calibri" w:hint="eastAsia"/>
                <w:sz w:val="16"/>
                <w:szCs w:val="16"/>
              </w:rPr>
              <w:t>　</w:t>
            </w:r>
          </w:p>
        </w:tc>
        <w:tc>
          <w:tcPr>
            <w:tcW w:w="684" w:type="pct"/>
            <w:tcBorders>
              <w:top w:val="nil"/>
              <w:left w:val="nil"/>
              <w:bottom w:val="single" w:sz="4" w:space="0" w:color="auto"/>
              <w:right w:val="single" w:sz="4" w:space="0" w:color="auto"/>
            </w:tcBorders>
            <w:shd w:val="clear" w:color="auto" w:fill="auto"/>
            <w:noWrap/>
            <w:vAlign w:val="center"/>
          </w:tcPr>
          <w:p>
            <w:pPr>
              <w:overflowPunct/>
              <w:spacing w:line="240" w:lineRule="auto"/>
              <w:ind w:firstLineChars="0" w:firstLine="0"/>
              <w:jc w:val="right"/>
              <w:rPr>
                <w:rFonts w:cs="Calibri"/>
                <w:sz w:val="16"/>
                <w:szCs w:val="16"/>
              </w:rPr>
            </w:pPr>
            <w:r>
              <w:rPr>
                <w:rFonts w:cs="Calibri" w:hint="eastAsia"/>
                <w:sz w:val="16"/>
                <w:szCs w:val="16"/>
              </w:rPr>
              <w:t>6,290.52</w:t>
            </w:r>
          </w:p>
        </w:tc>
        <w:tc>
          <w:tcPr>
            <w:tcW w:w="209" w:type="pct"/>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Times New Roman"/>
                <w:color w:val="000000"/>
                <w:kern w:val="0"/>
                <w:sz w:val="20"/>
                <w:szCs w:val="20"/>
              </w:rPr>
            </w:pPr>
          </w:p>
        </w:tc>
        <w:tc>
          <w:tcPr>
            <w:tcW w:w="231" w:type="pct"/>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Times New Roman"/>
                <w:color w:val="000000"/>
                <w:kern w:val="0"/>
                <w:sz w:val="20"/>
                <w:szCs w:val="20"/>
              </w:rPr>
            </w:pPr>
          </w:p>
        </w:tc>
        <w:tc>
          <w:tcPr>
            <w:tcW w:w="293" w:type="pct"/>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Times New Roman"/>
                <w:color w:val="000000"/>
                <w:kern w:val="0"/>
                <w:sz w:val="20"/>
                <w:szCs w:val="20"/>
              </w:rPr>
            </w:pPr>
          </w:p>
        </w:tc>
      </w:tr>
      <w:tr>
        <w:trPr>
          <w:cantSplit/>
          <w:trHeight w:val="360"/>
        </w:trPr>
        <w:tc>
          <w:tcPr>
            <w:tcW w:w="595" w:type="pct"/>
            <w:tcBorders>
              <w:top w:val="nil"/>
              <w:left w:val="single" w:sz="4" w:space="0" w:color="auto"/>
              <w:bottom w:val="single" w:sz="4" w:space="0" w:color="auto"/>
              <w:right w:val="single" w:sz="4" w:space="0" w:color="auto"/>
            </w:tcBorders>
            <w:shd w:val="clear" w:color="auto" w:fill="auto"/>
            <w:noWrap/>
            <w:vAlign w:val="center"/>
          </w:tcPr>
          <w:p>
            <w:pPr>
              <w:widowControl/>
              <w:overflowPunct/>
              <w:spacing w:line="240" w:lineRule="auto"/>
              <w:ind w:firstLineChars="0" w:firstLine="0"/>
              <w:jc w:val="left"/>
              <w:rPr>
                <w:rFonts w:eastAsia="宋体" w:cs="宋体"/>
                <w:color w:val="000000"/>
                <w:kern w:val="0"/>
                <w:sz w:val="20"/>
                <w:szCs w:val="20"/>
              </w:rPr>
            </w:pPr>
            <w:r>
              <w:rPr>
                <w:rFonts w:eastAsia="宋体" w:cs="宋体" w:hint="eastAsia"/>
                <w:color w:val="000000"/>
                <w:kern w:val="0"/>
                <w:sz w:val="20"/>
                <w:szCs w:val="20"/>
              </w:rPr>
              <w:t>2010910</w:t>
            </w:r>
          </w:p>
        </w:tc>
        <w:tc>
          <w:tcPr>
            <w:tcW w:w="1742" w:type="pct"/>
            <w:tcBorders>
              <w:top w:val="nil"/>
              <w:left w:val="nil"/>
              <w:bottom w:val="single" w:sz="4" w:space="0" w:color="auto"/>
              <w:right w:val="single" w:sz="4" w:space="0" w:color="auto"/>
            </w:tcBorders>
            <w:shd w:val="clear" w:color="auto" w:fill="auto"/>
            <w:vAlign w:val="center"/>
          </w:tcPr>
          <w:p>
            <w:pPr>
              <w:widowControl/>
              <w:overflowPunct/>
              <w:spacing w:line="240" w:lineRule="auto"/>
              <w:ind w:firstLineChars="0" w:firstLine="0"/>
              <w:jc w:val="left"/>
              <w:rPr>
                <w:rFonts w:eastAsia="宋体" w:cs="宋体"/>
                <w:color w:val="000000"/>
                <w:kern w:val="0"/>
                <w:sz w:val="20"/>
                <w:szCs w:val="20"/>
              </w:rPr>
            </w:pPr>
            <w:r>
              <w:rPr>
                <w:rFonts w:eastAsia="宋体" w:cs="宋体" w:hint="eastAsia"/>
                <w:color w:val="000000"/>
                <w:kern w:val="0"/>
                <w:sz w:val="20"/>
                <w:szCs w:val="20"/>
              </w:rPr>
              <w:t>关税征管</w:t>
            </w:r>
          </w:p>
        </w:tc>
        <w:tc>
          <w:tcPr>
            <w:tcW w:w="548" w:type="pct"/>
            <w:tcBorders>
              <w:top w:val="nil"/>
              <w:left w:val="nil"/>
              <w:bottom w:val="single" w:sz="4" w:space="0" w:color="auto"/>
              <w:right w:val="single" w:sz="4" w:space="0" w:color="auto"/>
            </w:tcBorders>
            <w:shd w:val="clear" w:color="auto" w:fill="auto"/>
            <w:noWrap/>
            <w:vAlign w:val="center"/>
          </w:tcPr>
          <w:p>
            <w:pPr>
              <w:overflowPunct/>
              <w:spacing w:line="240" w:lineRule="auto"/>
              <w:ind w:firstLineChars="0" w:firstLine="0"/>
              <w:jc w:val="right"/>
              <w:rPr>
                <w:rFonts w:cs="Calibri"/>
                <w:sz w:val="16"/>
                <w:szCs w:val="16"/>
              </w:rPr>
            </w:pPr>
            <w:r>
              <w:rPr>
                <w:rFonts w:cs="Calibri" w:hint="eastAsia"/>
                <w:sz w:val="16"/>
                <w:szCs w:val="16"/>
              </w:rPr>
              <w:t>60.00</w:t>
            </w:r>
          </w:p>
        </w:tc>
        <w:tc>
          <w:tcPr>
            <w:tcW w:w="698" w:type="pct"/>
            <w:tcBorders>
              <w:top w:val="nil"/>
              <w:left w:val="nil"/>
              <w:bottom w:val="single" w:sz="4" w:space="0" w:color="auto"/>
              <w:right w:val="single" w:sz="4" w:space="0" w:color="auto"/>
            </w:tcBorders>
            <w:shd w:val="clear" w:color="auto" w:fill="auto"/>
            <w:noWrap/>
            <w:vAlign w:val="center"/>
          </w:tcPr>
          <w:p>
            <w:pPr>
              <w:overflowPunct/>
              <w:spacing w:line="240" w:lineRule="auto"/>
              <w:ind w:firstLineChars="0" w:firstLine="0"/>
              <w:jc w:val="right"/>
              <w:rPr>
                <w:rFonts w:cs="Calibri"/>
                <w:sz w:val="16"/>
                <w:szCs w:val="16"/>
              </w:rPr>
            </w:pPr>
            <w:r>
              <w:rPr>
                <w:rFonts w:cs="Calibri" w:hint="eastAsia"/>
                <w:sz w:val="16"/>
                <w:szCs w:val="16"/>
              </w:rPr>
              <w:t>　</w:t>
            </w:r>
          </w:p>
        </w:tc>
        <w:tc>
          <w:tcPr>
            <w:tcW w:w="684" w:type="pct"/>
            <w:tcBorders>
              <w:top w:val="nil"/>
              <w:left w:val="nil"/>
              <w:bottom w:val="single" w:sz="4" w:space="0" w:color="auto"/>
              <w:right w:val="single" w:sz="4" w:space="0" w:color="auto"/>
            </w:tcBorders>
            <w:shd w:val="clear" w:color="auto" w:fill="auto"/>
            <w:noWrap/>
            <w:vAlign w:val="center"/>
          </w:tcPr>
          <w:p>
            <w:pPr>
              <w:overflowPunct/>
              <w:spacing w:line="240" w:lineRule="auto"/>
              <w:ind w:firstLineChars="0" w:firstLine="0"/>
              <w:jc w:val="right"/>
              <w:rPr>
                <w:rFonts w:cs="Calibri"/>
                <w:sz w:val="16"/>
                <w:szCs w:val="16"/>
              </w:rPr>
            </w:pPr>
            <w:r>
              <w:rPr>
                <w:rFonts w:cs="Calibri" w:hint="eastAsia"/>
                <w:sz w:val="16"/>
                <w:szCs w:val="16"/>
              </w:rPr>
              <w:t>60.00</w:t>
            </w:r>
          </w:p>
        </w:tc>
        <w:tc>
          <w:tcPr>
            <w:tcW w:w="209" w:type="pct"/>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Times New Roman"/>
                <w:color w:val="000000"/>
                <w:kern w:val="0"/>
                <w:sz w:val="20"/>
                <w:szCs w:val="20"/>
              </w:rPr>
            </w:pPr>
          </w:p>
        </w:tc>
        <w:tc>
          <w:tcPr>
            <w:tcW w:w="231" w:type="pct"/>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Times New Roman"/>
                <w:color w:val="000000"/>
                <w:kern w:val="0"/>
                <w:sz w:val="20"/>
                <w:szCs w:val="20"/>
              </w:rPr>
            </w:pPr>
          </w:p>
        </w:tc>
        <w:tc>
          <w:tcPr>
            <w:tcW w:w="293" w:type="pct"/>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Times New Roman"/>
                <w:color w:val="000000"/>
                <w:kern w:val="0"/>
                <w:sz w:val="20"/>
                <w:szCs w:val="20"/>
              </w:rPr>
            </w:pPr>
          </w:p>
        </w:tc>
      </w:tr>
      <w:tr>
        <w:trPr>
          <w:cantSplit/>
          <w:trHeight w:val="360"/>
        </w:trPr>
        <w:tc>
          <w:tcPr>
            <w:tcW w:w="595" w:type="pct"/>
            <w:tcBorders>
              <w:top w:val="nil"/>
              <w:left w:val="single" w:sz="4" w:space="0" w:color="auto"/>
              <w:bottom w:val="single" w:sz="4" w:space="0" w:color="auto"/>
              <w:right w:val="single" w:sz="4" w:space="0" w:color="auto"/>
            </w:tcBorders>
            <w:shd w:val="clear" w:color="auto" w:fill="auto"/>
            <w:noWrap/>
            <w:vAlign w:val="center"/>
          </w:tcPr>
          <w:p>
            <w:pPr>
              <w:widowControl/>
              <w:overflowPunct/>
              <w:spacing w:line="240" w:lineRule="auto"/>
              <w:ind w:firstLineChars="0" w:firstLine="0"/>
              <w:jc w:val="left"/>
              <w:rPr>
                <w:rFonts w:eastAsia="宋体" w:cs="宋体"/>
                <w:color w:val="000000"/>
                <w:kern w:val="0"/>
                <w:sz w:val="20"/>
                <w:szCs w:val="20"/>
              </w:rPr>
            </w:pPr>
            <w:r>
              <w:rPr>
                <w:rFonts w:eastAsia="宋体" w:cs="宋体" w:hint="eastAsia"/>
                <w:color w:val="000000"/>
                <w:kern w:val="0"/>
                <w:sz w:val="20"/>
                <w:szCs w:val="20"/>
              </w:rPr>
              <w:t>2010911</w:t>
            </w:r>
          </w:p>
        </w:tc>
        <w:tc>
          <w:tcPr>
            <w:tcW w:w="1742" w:type="pct"/>
            <w:tcBorders>
              <w:top w:val="nil"/>
              <w:left w:val="nil"/>
              <w:bottom w:val="single" w:sz="4" w:space="0" w:color="auto"/>
              <w:right w:val="single" w:sz="4" w:space="0" w:color="auto"/>
            </w:tcBorders>
            <w:shd w:val="clear" w:color="auto" w:fill="auto"/>
            <w:vAlign w:val="center"/>
          </w:tcPr>
          <w:p>
            <w:pPr>
              <w:widowControl/>
              <w:overflowPunct/>
              <w:spacing w:line="240" w:lineRule="auto"/>
              <w:ind w:firstLineChars="0" w:firstLine="0"/>
              <w:jc w:val="left"/>
              <w:rPr>
                <w:rFonts w:eastAsia="宋体" w:cs="宋体"/>
                <w:color w:val="000000"/>
                <w:kern w:val="0"/>
                <w:sz w:val="20"/>
                <w:szCs w:val="20"/>
              </w:rPr>
            </w:pPr>
            <w:r>
              <w:rPr>
                <w:rFonts w:eastAsia="宋体" w:cs="宋体" w:hint="eastAsia"/>
                <w:color w:val="000000"/>
                <w:kern w:val="0"/>
                <w:sz w:val="20"/>
                <w:szCs w:val="20"/>
              </w:rPr>
              <w:t>海关监管</w:t>
            </w:r>
          </w:p>
        </w:tc>
        <w:tc>
          <w:tcPr>
            <w:tcW w:w="548" w:type="pct"/>
            <w:tcBorders>
              <w:top w:val="nil"/>
              <w:left w:val="nil"/>
              <w:bottom w:val="single" w:sz="4" w:space="0" w:color="auto"/>
              <w:right w:val="single" w:sz="4" w:space="0" w:color="auto"/>
            </w:tcBorders>
            <w:shd w:val="clear" w:color="auto" w:fill="auto"/>
            <w:noWrap/>
            <w:vAlign w:val="center"/>
          </w:tcPr>
          <w:p>
            <w:pPr>
              <w:overflowPunct/>
              <w:spacing w:line="240" w:lineRule="auto"/>
              <w:ind w:firstLineChars="0" w:firstLine="0"/>
              <w:jc w:val="right"/>
              <w:rPr>
                <w:rFonts w:cs="Calibri"/>
                <w:sz w:val="16"/>
                <w:szCs w:val="16"/>
              </w:rPr>
            </w:pPr>
            <w:r>
              <w:rPr>
                <w:rFonts w:cs="Calibri" w:hint="eastAsia"/>
                <w:sz w:val="16"/>
                <w:szCs w:val="16"/>
              </w:rPr>
              <w:t>642.41</w:t>
            </w:r>
          </w:p>
        </w:tc>
        <w:tc>
          <w:tcPr>
            <w:tcW w:w="698" w:type="pct"/>
            <w:tcBorders>
              <w:top w:val="nil"/>
              <w:left w:val="nil"/>
              <w:bottom w:val="single" w:sz="4" w:space="0" w:color="auto"/>
              <w:right w:val="single" w:sz="4" w:space="0" w:color="auto"/>
            </w:tcBorders>
            <w:shd w:val="clear" w:color="auto" w:fill="auto"/>
            <w:noWrap/>
            <w:vAlign w:val="center"/>
          </w:tcPr>
          <w:p>
            <w:pPr>
              <w:overflowPunct/>
              <w:spacing w:line="240" w:lineRule="auto"/>
              <w:ind w:firstLineChars="0" w:firstLine="0"/>
              <w:jc w:val="right"/>
              <w:rPr>
                <w:rFonts w:cs="Calibri"/>
                <w:sz w:val="16"/>
                <w:szCs w:val="16"/>
              </w:rPr>
            </w:pPr>
            <w:r>
              <w:rPr>
                <w:rFonts w:cs="Calibri" w:hint="eastAsia"/>
                <w:sz w:val="16"/>
                <w:szCs w:val="16"/>
              </w:rPr>
              <w:t>　</w:t>
            </w:r>
          </w:p>
        </w:tc>
        <w:tc>
          <w:tcPr>
            <w:tcW w:w="684" w:type="pct"/>
            <w:tcBorders>
              <w:top w:val="nil"/>
              <w:left w:val="nil"/>
              <w:bottom w:val="single" w:sz="4" w:space="0" w:color="auto"/>
              <w:right w:val="single" w:sz="4" w:space="0" w:color="auto"/>
            </w:tcBorders>
            <w:shd w:val="clear" w:color="auto" w:fill="auto"/>
            <w:noWrap/>
            <w:vAlign w:val="center"/>
          </w:tcPr>
          <w:p>
            <w:pPr>
              <w:overflowPunct/>
              <w:spacing w:line="240" w:lineRule="auto"/>
              <w:ind w:firstLineChars="0" w:firstLine="0"/>
              <w:jc w:val="right"/>
              <w:rPr>
                <w:rFonts w:cs="Calibri"/>
                <w:sz w:val="16"/>
                <w:szCs w:val="16"/>
              </w:rPr>
            </w:pPr>
            <w:r>
              <w:rPr>
                <w:rFonts w:cs="Calibri" w:hint="eastAsia"/>
                <w:sz w:val="16"/>
                <w:szCs w:val="16"/>
              </w:rPr>
              <w:t>642.41</w:t>
            </w:r>
          </w:p>
        </w:tc>
        <w:tc>
          <w:tcPr>
            <w:tcW w:w="209" w:type="pct"/>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Times New Roman"/>
                <w:color w:val="000000"/>
                <w:kern w:val="0"/>
                <w:sz w:val="20"/>
                <w:szCs w:val="20"/>
              </w:rPr>
            </w:pPr>
          </w:p>
        </w:tc>
        <w:tc>
          <w:tcPr>
            <w:tcW w:w="231" w:type="pct"/>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Times New Roman"/>
                <w:color w:val="000000"/>
                <w:kern w:val="0"/>
                <w:sz w:val="20"/>
                <w:szCs w:val="20"/>
              </w:rPr>
            </w:pPr>
          </w:p>
        </w:tc>
        <w:tc>
          <w:tcPr>
            <w:tcW w:w="293" w:type="pct"/>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Times New Roman"/>
                <w:color w:val="000000"/>
                <w:kern w:val="0"/>
                <w:sz w:val="20"/>
                <w:szCs w:val="20"/>
              </w:rPr>
            </w:pPr>
          </w:p>
        </w:tc>
      </w:tr>
      <w:tr>
        <w:trPr>
          <w:cantSplit/>
          <w:trHeight w:val="360"/>
        </w:trPr>
        <w:tc>
          <w:tcPr>
            <w:tcW w:w="595" w:type="pct"/>
            <w:tcBorders>
              <w:top w:val="nil"/>
              <w:left w:val="single" w:sz="4" w:space="0" w:color="auto"/>
              <w:bottom w:val="single" w:sz="4" w:space="0" w:color="auto"/>
              <w:right w:val="single" w:sz="4" w:space="0" w:color="auto"/>
            </w:tcBorders>
            <w:shd w:val="clear" w:color="auto" w:fill="auto"/>
            <w:noWrap/>
            <w:vAlign w:val="center"/>
          </w:tcPr>
          <w:p>
            <w:pPr>
              <w:widowControl/>
              <w:overflowPunct/>
              <w:spacing w:line="240" w:lineRule="auto"/>
              <w:ind w:firstLineChars="0" w:firstLine="0"/>
              <w:jc w:val="left"/>
              <w:rPr>
                <w:rFonts w:eastAsia="宋体" w:cs="宋体"/>
                <w:color w:val="000000"/>
                <w:kern w:val="0"/>
                <w:sz w:val="20"/>
                <w:szCs w:val="20"/>
              </w:rPr>
            </w:pPr>
            <w:r>
              <w:rPr>
                <w:rFonts w:eastAsia="宋体" w:cs="宋体" w:hint="eastAsia"/>
                <w:color w:val="000000"/>
                <w:kern w:val="0"/>
                <w:sz w:val="20"/>
                <w:szCs w:val="20"/>
              </w:rPr>
              <w:t>2010912</w:t>
            </w:r>
          </w:p>
        </w:tc>
        <w:tc>
          <w:tcPr>
            <w:tcW w:w="1742" w:type="pct"/>
            <w:tcBorders>
              <w:top w:val="nil"/>
              <w:left w:val="nil"/>
              <w:bottom w:val="single" w:sz="4" w:space="0" w:color="auto"/>
              <w:right w:val="single" w:sz="4" w:space="0" w:color="auto"/>
            </w:tcBorders>
            <w:shd w:val="clear" w:color="auto" w:fill="auto"/>
            <w:vAlign w:val="center"/>
          </w:tcPr>
          <w:p>
            <w:pPr>
              <w:widowControl/>
              <w:overflowPunct/>
              <w:spacing w:line="240" w:lineRule="auto"/>
              <w:ind w:firstLineChars="0" w:firstLine="0"/>
              <w:jc w:val="left"/>
              <w:rPr>
                <w:rFonts w:eastAsia="宋体" w:cs="宋体"/>
                <w:color w:val="000000"/>
                <w:kern w:val="0"/>
                <w:sz w:val="20"/>
                <w:szCs w:val="20"/>
              </w:rPr>
            </w:pPr>
            <w:r>
              <w:rPr>
                <w:rFonts w:eastAsia="宋体" w:cs="宋体" w:hint="eastAsia"/>
                <w:color w:val="000000"/>
                <w:kern w:val="0"/>
                <w:sz w:val="20"/>
                <w:szCs w:val="20"/>
              </w:rPr>
              <w:t>检验检疫</w:t>
            </w:r>
          </w:p>
        </w:tc>
        <w:tc>
          <w:tcPr>
            <w:tcW w:w="548" w:type="pct"/>
            <w:tcBorders>
              <w:top w:val="nil"/>
              <w:left w:val="nil"/>
              <w:bottom w:val="single" w:sz="4" w:space="0" w:color="auto"/>
              <w:right w:val="single" w:sz="4" w:space="0" w:color="auto"/>
            </w:tcBorders>
            <w:shd w:val="clear" w:color="auto" w:fill="auto"/>
            <w:noWrap/>
            <w:vAlign w:val="center"/>
          </w:tcPr>
          <w:p>
            <w:pPr>
              <w:overflowPunct/>
              <w:spacing w:line="240" w:lineRule="auto"/>
              <w:ind w:firstLineChars="0" w:firstLine="0"/>
              <w:jc w:val="right"/>
              <w:rPr>
                <w:rFonts w:cs="Calibri"/>
                <w:sz w:val="16"/>
                <w:szCs w:val="16"/>
              </w:rPr>
            </w:pPr>
            <w:r>
              <w:rPr>
                <w:rFonts w:cs="Calibri" w:hint="eastAsia"/>
                <w:sz w:val="16"/>
                <w:szCs w:val="16"/>
              </w:rPr>
              <w:t>3,406.33</w:t>
            </w:r>
          </w:p>
        </w:tc>
        <w:tc>
          <w:tcPr>
            <w:tcW w:w="698" w:type="pct"/>
            <w:tcBorders>
              <w:top w:val="nil"/>
              <w:left w:val="nil"/>
              <w:bottom w:val="single" w:sz="4" w:space="0" w:color="auto"/>
              <w:right w:val="single" w:sz="4" w:space="0" w:color="auto"/>
            </w:tcBorders>
            <w:shd w:val="clear" w:color="auto" w:fill="auto"/>
            <w:noWrap/>
            <w:vAlign w:val="center"/>
          </w:tcPr>
          <w:p>
            <w:pPr>
              <w:overflowPunct/>
              <w:spacing w:line="240" w:lineRule="auto"/>
              <w:ind w:firstLineChars="0" w:firstLine="0"/>
              <w:jc w:val="right"/>
              <w:rPr>
                <w:rFonts w:cs="Calibri"/>
                <w:sz w:val="16"/>
                <w:szCs w:val="16"/>
              </w:rPr>
            </w:pPr>
            <w:r>
              <w:rPr>
                <w:rFonts w:cs="Calibri" w:hint="eastAsia"/>
                <w:sz w:val="16"/>
                <w:szCs w:val="16"/>
              </w:rPr>
              <w:t>　</w:t>
            </w:r>
          </w:p>
        </w:tc>
        <w:tc>
          <w:tcPr>
            <w:tcW w:w="684" w:type="pct"/>
            <w:tcBorders>
              <w:top w:val="nil"/>
              <w:left w:val="nil"/>
              <w:bottom w:val="single" w:sz="4" w:space="0" w:color="auto"/>
              <w:right w:val="single" w:sz="4" w:space="0" w:color="auto"/>
            </w:tcBorders>
            <w:shd w:val="clear" w:color="auto" w:fill="auto"/>
            <w:noWrap/>
            <w:vAlign w:val="center"/>
          </w:tcPr>
          <w:p>
            <w:pPr>
              <w:overflowPunct/>
              <w:spacing w:line="240" w:lineRule="auto"/>
              <w:ind w:firstLineChars="0" w:firstLine="0"/>
              <w:jc w:val="right"/>
              <w:rPr>
                <w:rFonts w:cs="Calibri"/>
                <w:sz w:val="16"/>
                <w:szCs w:val="16"/>
              </w:rPr>
            </w:pPr>
            <w:r>
              <w:rPr>
                <w:rFonts w:cs="Calibri" w:hint="eastAsia"/>
                <w:sz w:val="16"/>
                <w:szCs w:val="16"/>
              </w:rPr>
              <w:t>3,406.33</w:t>
            </w:r>
          </w:p>
        </w:tc>
        <w:tc>
          <w:tcPr>
            <w:tcW w:w="209" w:type="pct"/>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Times New Roman"/>
                <w:color w:val="000000"/>
                <w:kern w:val="0"/>
                <w:sz w:val="20"/>
                <w:szCs w:val="20"/>
              </w:rPr>
            </w:pPr>
          </w:p>
        </w:tc>
        <w:tc>
          <w:tcPr>
            <w:tcW w:w="231" w:type="pct"/>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Times New Roman"/>
                <w:color w:val="000000"/>
                <w:kern w:val="0"/>
                <w:sz w:val="20"/>
                <w:szCs w:val="20"/>
              </w:rPr>
            </w:pPr>
          </w:p>
        </w:tc>
        <w:tc>
          <w:tcPr>
            <w:tcW w:w="293" w:type="pct"/>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Times New Roman"/>
                <w:color w:val="000000"/>
                <w:kern w:val="0"/>
                <w:sz w:val="20"/>
                <w:szCs w:val="20"/>
              </w:rPr>
            </w:pPr>
          </w:p>
        </w:tc>
      </w:tr>
      <w:tr>
        <w:trPr>
          <w:cantSplit/>
          <w:trHeight w:val="360"/>
        </w:trPr>
        <w:tc>
          <w:tcPr>
            <w:tcW w:w="595" w:type="pct"/>
            <w:tcBorders>
              <w:top w:val="nil"/>
              <w:left w:val="single" w:sz="4" w:space="0" w:color="auto"/>
              <w:bottom w:val="single" w:sz="4" w:space="0" w:color="auto"/>
              <w:right w:val="single" w:sz="4" w:space="0" w:color="auto"/>
            </w:tcBorders>
            <w:shd w:val="clear" w:color="auto" w:fill="auto"/>
            <w:noWrap/>
            <w:vAlign w:val="center"/>
          </w:tcPr>
          <w:p>
            <w:pPr>
              <w:widowControl/>
              <w:overflowPunct/>
              <w:spacing w:line="240" w:lineRule="auto"/>
              <w:ind w:firstLineChars="0" w:firstLine="0"/>
              <w:jc w:val="left"/>
              <w:rPr>
                <w:rFonts w:eastAsia="宋体" w:cs="宋体"/>
                <w:color w:val="000000"/>
                <w:kern w:val="0"/>
                <w:sz w:val="20"/>
                <w:szCs w:val="20"/>
              </w:rPr>
            </w:pPr>
            <w:r>
              <w:rPr>
                <w:rFonts w:eastAsia="宋体" w:cs="宋体" w:hint="eastAsia"/>
                <w:color w:val="000000"/>
                <w:kern w:val="0"/>
                <w:sz w:val="20"/>
                <w:szCs w:val="20"/>
              </w:rPr>
              <w:t>2010950</w:t>
            </w:r>
          </w:p>
        </w:tc>
        <w:tc>
          <w:tcPr>
            <w:tcW w:w="1742" w:type="pct"/>
            <w:tcBorders>
              <w:top w:val="nil"/>
              <w:left w:val="nil"/>
              <w:bottom w:val="single" w:sz="4" w:space="0" w:color="auto"/>
              <w:right w:val="single" w:sz="4" w:space="0" w:color="auto"/>
            </w:tcBorders>
            <w:shd w:val="clear" w:color="auto" w:fill="auto"/>
            <w:vAlign w:val="center"/>
          </w:tcPr>
          <w:p>
            <w:pPr>
              <w:widowControl/>
              <w:overflowPunct/>
              <w:spacing w:line="240" w:lineRule="auto"/>
              <w:ind w:firstLineChars="0" w:firstLine="0"/>
              <w:jc w:val="left"/>
              <w:rPr>
                <w:rFonts w:eastAsia="宋体" w:cs="宋体"/>
                <w:color w:val="000000"/>
                <w:kern w:val="0"/>
                <w:sz w:val="20"/>
                <w:szCs w:val="20"/>
              </w:rPr>
            </w:pPr>
            <w:r>
              <w:rPr>
                <w:rFonts w:eastAsia="宋体" w:cs="宋体" w:hint="eastAsia"/>
                <w:color w:val="000000"/>
                <w:kern w:val="0"/>
                <w:sz w:val="20"/>
                <w:szCs w:val="20"/>
              </w:rPr>
              <w:t>事业运行</w:t>
            </w:r>
          </w:p>
        </w:tc>
        <w:tc>
          <w:tcPr>
            <w:tcW w:w="548" w:type="pct"/>
            <w:tcBorders>
              <w:top w:val="nil"/>
              <w:left w:val="nil"/>
              <w:bottom w:val="single" w:sz="4" w:space="0" w:color="auto"/>
              <w:right w:val="single" w:sz="4" w:space="0" w:color="auto"/>
            </w:tcBorders>
            <w:shd w:val="clear" w:color="auto" w:fill="auto"/>
            <w:noWrap/>
            <w:vAlign w:val="center"/>
          </w:tcPr>
          <w:p>
            <w:pPr>
              <w:overflowPunct/>
              <w:spacing w:line="240" w:lineRule="auto"/>
              <w:ind w:firstLineChars="0" w:firstLine="0"/>
              <w:jc w:val="right"/>
              <w:rPr>
                <w:rFonts w:cs="Calibri"/>
                <w:sz w:val="16"/>
                <w:szCs w:val="16"/>
              </w:rPr>
            </w:pPr>
            <w:r>
              <w:rPr>
                <w:rFonts w:cs="Calibri" w:hint="eastAsia"/>
                <w:sz w:val="16"/>
                <w:szCs w:val="16"/>
              </w:rPr>
              <w:t>23,626.63</w:t>
            </w:r>
          </w:p>
        </w:tc>
        <w:tc>
          <w:tcPr>
            <w:tcW w:w="698" w:type="pct"/>
            <w:tcBorders>
              <w:top w:val="nil"/>
              <w:left w:val="nil"/>
              <w:bottom w:val="single" w:sz="4" w:space="0" w:color="auto"/>
              <w:right w:val="single" w:sz="4" w:space="0" w:color="auto"/>
            </w:tcBorders>
            <w:shd w:val="clear" w:color="auto" w:fill="auto"/>
            <w:noWrap/>
            <w:vAlign w:val="center"/>
          </w:tcPr>
          <w:p>
            <w:pPr>
              <w:overflowPunct/>
              <w:spacing w:line="240" w:lineRule="auto"/>
              <w:ind w:firstLineChars="0" w:firstLine="0"/>
              <w:jc w:val="right"/>
              <w:rPr>
                <w:rFonts w:cs="Calibri"/>
                <w:sz w:val="16"/>
                <w:szCs w:val="16"/>
              </w:rPr>
            </w:pPr>
            <w:r>
              <w:rPr>
                <w:rFonts w:cs="Calibri" w:hint="eastAsia"/>
                <w:sz w:val="16"/>
                <w:szCs w:val="16"/>
              </w:rPr>
              <w:t>23,626.63</w:t>
            </w:r>
          </w:p>
        </w:tc>
        <w:tc>
          <w:tcPr>
            <w:tcW w:w="684" w:type="pct"/>
            <w:tcBorders>
              <w:top w:val="nil"/>
              <w:left w:val="nil"/>
              <w:bottom w:val="single" w:sz="4" w:space="0" w:color="auto"/>
              <w:right w:val="single" w:sz="4" w:space="0" w:color="auto"/>
            </w:tcBorders>
            <w:shd w:val="clear" w:color="auto" w:fill="auto"/>
            <w:noWrap/>
            <w:vAlign w:val="center"/>
          </w:tcPr>
          <w:p>
            <w:pPr>
              <w:overflowPunct/>
              <w:spacing w:line="240" w:lineRule="auto"/>
              <w:ind w:firstLineChars="0" w:firstLine="0"/>
              <w:jc w:val="right"/>
              <w:rPr>
                <w:rFonts w:cs="Calibri"/>
                <w:sz w:val="16"/>
                <w:szCs w:val="16"/>
              </w:rPr>
            </w:pPr>
            <w:r>
              <w:rPr>
                <w:rFonts w:cs="Calibri" w:hint="eastAsia"/>
                <w:sz w:val="16"/>
                <w:szCs w:val="16"/>
              </w:rPr>
              <w:t>　</w:t>
            </w:r>
          </w:p>
        </w:tc>
        <w:tc>
          <w:tcPr>
            <w:tcW w:w="209" w:type="pct"/>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Times New Roman"/>
                <w:color w:val="000000"/>
                <w:kern w:val="0"/>
                <w:sz w:val="20"/>
                <w:szCs w:val="20"/>
              </w:rPr>
            </w:pPr>
          </w:p>
        </w:tc>
        <w:tc>
          <w:tcPr>
            <w:tcW w:w="231" w:type="pct"/>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Times New Roman"/>
                <w:color w:val="000000"/>
                <w:kern w:val="0"/>
                <w:sz w:val="20"/>
                <w:szCs w:val="20"/>
              </w:rPr>
            </w:pPr>
          </w:p>
        </w:tc>
        <w:tc>
          <w:tcPr>
            <w:tcW w:w="293" w:type="pct"/>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Times New Roman"/>
                <w:color w:val="000000"/>
                <w:kern w:val="0"/>
                <w:sz w:val="20"/>
                <w:szCs w:val="20"/>
              </w:rPr>
            </w:pPr>
          </w:p>
        </w:tc>
      </w:tr>
      <w:tr>
        <w:trPr>
          <w:cantSplit/>
          <w:trHeight w:val="360"/>
        </w:trPr>
        <w:tc>
          <w:tcPr>
            <w:tcW w:w="595" w:type="pct"/>
            <w:tcBorders>
              <w:top w:val="nil"/>
              <w:left w:val="single" w:sz="4" w:space="0" w:color="auto"/>
              <w:bottom w:val="single" w:sz="4" w:space="0" w:color="auto"/>
              <w:right w:val="single" w:sz="4" w:space="0" w:color="auto"/>
            </w:tcBorders>
            <w:shd w:val="clear" w:color="auto" w:fill="auto"/>
            <w:noWrap/>
            <w:vAlign w:val="center"/>
          </w:tcPr>
          <w:p>
            <w:pPr>
              <w:widowControl/>
              <w:overflowPunct/>
              <w:spacing w:line="240" w:lineRule="auto"/>
              <w:ind w:firstLineChars="0" w:firstLine="0"/>
              <w:jc w:val="left"/>
              <w:rPr>
                <w:rFonts w:eastAsia="宋体" w:cs="宋体"/>
                <w:color w:val="000000"/>
                <w:kern w:val="0"/>
                <w:sz w:val="20"/>
                <w:szCs w:val="20"/>
              </w:rPr>
            </w:pPr>
            <w:r>
              <w:rPr>
                <w:rFonts w:eastAsia="宋体" w:cs="宋体" w:hint="eastAsia"/>
                <w:color w:val="000000"/>
                <w:kern w:val="0"/>
                <w:sz w:val="20"/>
                <w:szCs w:val="20"/>
              </w:rPr>
              <w:t>2010999</w:t>
            </w:r>
          </w:p>
        </w:tc>
        <w:tc>
          <w:tcPr>
            <w:tcW w:w="1742" w:type="pct"/>
            <w:tcBorders>
              <w:top w:val="nil"/>
              <w:left w:val="nil"/>
              <w:bottom w:val="single" w:sz="4" w:space="0" w:color="auto"/>
              <w:right w:val="single" w:sz="4" w:space="0" w:color="auto"/>
            </w:tcBorders>
            <w:shd w:val="clear" w:color="auto" w:fill="auto"/>
            <w:vAlign w:val="center"/>
          </w:tcPr>
          <w:p>
            <w:pPr>
              <w:widowControl/>
              <w:overflowPunct/>
              <w:spacing w:line="240" w:lineRule="auto"/>
              <w:ind w:firstLineChars="0" w:firstLine="0"/>
              <w:jc w:val="left"/>
              <w:rPr>
                <w:rFonts w:eastAsia="宋体" w:cs="宋体"/>
                <w:color w:val="000000"/>
                <w:kern w:val="0"/>
                <w:sz w:val="20"/>
                <w:szCs w:val="20"/>
              </w:rPr>
            </w:pPr>
            <w:r>
              <w:rPr>
                <w:rFonts w:eastAsia="宋体" w:cs="宋体" w:hint="eastAsia"/>
                <w:color w:val="000000"/>
                <w:kern w:val="0"/>
                <w:sz w:val="20"/>
                <w:szCs w:val="20"/>
              </w:rPr>
              <w:t>其他海关事务支出</w:t>
            </w:r>
          </w:p>
        </w:tc>
        <w:tc>
          <w:tcPr>
            <w:tcW w:w="548" w:type="pct"/>
            <w:tcBorders>
              <w:top w:val="nil"/>
              <w:left w:val="nil"/>
              <w:bottom w:val="single" w:sz="4" w:space="0" w:color="auto"/>
              <w:right w:val="single" w:sz="4" w:space="0" w:color="auto"/>
            </w:tcBorders>
            <w:shd w:val="clear" w:color="auto" w:fill="auto"/>
            <w:noWrap/>
            <w:vAlign w:val="center"/>
          </w:tcPr>
          <w:p>
            <w:pPr>
              <w:overflowPunct/>
              <w:spacing w:line="240" w:lineRule="auto"/>
              <w:ind w:firstLineChars="0" w:firstLine="0"/>
              <w:jc w:val="right"/>
              <w:rPr>
                <w:rFonts w:cs="Calibri"/>
                <w:sz w:val="16"/>
                <w:szCs w:val="16"/>
              </w:rPr>
            </w:pPr>
            <w:r>
              <w:rPr>
                <w:rFonts w:cs="Calibri" w:hint="eastAsia"/>
                <w:sz w:val="16"/>
                <w:szCs w:val="16"/>
              </w:rPr>
              <w:t>250.00</w:t>
            </w:r>
          </w:p>
        </w:tc>
        <w:tc>
          <w:tcPr>
            <w:tcW w:w="698" w:type="pct"/>
            <w:tcBorders>
              <w:top w:val="nil"/>
              <w:left w:val="nil"/>
              <w:bottom w:val="single" w:sz="4" w:space="0" w:color="auto"/>
              <w:right w:val="single" w:sz="4" w:space="0" w:color="auto"/>
            </w:tcBorders>
            <w:shd w:val="clear" w:color="auto" w:fill="auto"/>
            <w:noWrap/>
            <w:vAlign w:val="center"/>
          </w:tcPr>
          <w:p>
            <w:pPr>
              <w:overflowPunct/>
              <w:spacing w:line="240" w:lineRule="auto"/>
              <w:ind w:firstLineChars="0" w:firstLine="0"/>
              <w:jc w:val="right"/>
              <w:rPr>
                <w:rFonts w:cs="Calibri"/>
                <w:sz w:val="16"/>
                <w:szCs w:val="16"/>
              </w:rPr>
            </w:pPr>
            <w:r>
              <w:rPr>
                <w:rFonts w:cs="Calibri" w:hint="eastAsia"/>
                <w:sz w:val="16"/>
                <w:szCs w:val="16"/>
              </w:rPr>
              <w:t>　</w:t>
            </w:r>
          </w:p>
        </w:tc>
        <w:tc>
          <w:tcPr>
            <w:tcW w:w="684" w:type="pct"/>
            <w:tcBorders>
              <w:top w:val="nil"/>
              <w:left w:val="nil"/>
              <w:bottom w:val="single" w:sz="4" w:space="0" w:color="auto"/>
              <w:right w:val="single" w:sz="4" w:space="0" w:color="auto"/>
            </w:tcBorders>
            <w:shd w:val="clear" w:color="auto" w:fill="auto"/>
            <w:noWrap/>
            <w:vAlign w:val="center"/>
          </w:tcPr>
          <w:p>
            <w:pPr>
              <w:overflowPunct/>
              <w:spacing w:line="240" w:lineRule="auto"/>
              <w:ind w:firstLineChars="0" w:firstLine="0"/>
              <w:jc w:val="right"/>
              <w:rPr>
                <w:rFonts w:cs="Calibri"/>
                <w:sz w:val="16"/>
                <w:szCs w:val="16"/>
              </w:rPr>
            </w:pPr>
            <w:r>
              <w:rPr>
                <w:rFonts w:cs="Calibri" w:hint="eastAsia"/>
                <w:sz w:val="16"/>
                <w:szCs w:val="16"/>
              </w:rPr>
              <w:t>250.00</w:t>
            </w:r>
          </w:p>
        </w:tc>
        <w:tc>
          <w:tcPr>
            <w:tcW w:w="209" w:type="pct"/>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Times New Roman"/>
                <w:color w:val="000000"/>
                <w:kern w:val="0"/>
                <w:sz w:val="20"/>
                <w:szCs w:val="20"/>
              </w:rPr>
            </w:pPr>
          </w:p>
        </w:tc>
        <w:tc>
          <w:tcPr>
            <w:tcW w:w="231" w:type="pct"/>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Times New Roman"/>
                <w:color w:val="000000"/>
                <w:kern w:val="0"/>
                <w:sz w:val="20"/>
                <w:szCs w:val="20"/>
              </w:rPr>
            </w:pPr>
          </w:p>
        </w:tc>
        <w:tc>
          <w:tcPr>
            <w:tcW w:w="293" w:type="pct"/>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Times New Roman"/>
                <w:color w:val="000000"/>
                <w:kern w:val="0"/>
                <w:sz w:val="20"/>
                <w:szCs w:val="20"/>
              </w:rPr>
            </w:pPr>
          </w:p>
        </w:tc>
      </w:tr>
      <w:tr>
        <w:trPr>
          <w:cantSplit/>
          <w:trHeight w:val="360"/>
        </w:trPr>
        <w:tc>
          <w:tcPr>
            <w:tcW w:w="595" w:type="pct"/>
            <w:tcBorders>
              <w:top w:val="nil"/>
              <w:left w:val="single" w:sz="4" w:space="0" w:color="auto"/>
              <w:bottom w:val="single" w:sz="4" w:space="0" w:color="auto"/>
              <w:right w:val="single" w:sz="4" w:space="0" w:color="auto"/>
            </w:tcBorders>
            <w:shd w:val="clear" w:color="auto" w:fill="auto"/>
            <w:noWrap/>
            <w:vAlign w:val="center"/>
          </w:tcPr>
          <w:p>
            <w:pPr>
              <w:widowControl/>
              <w:overflowPunct/>
              <w:spacing w:line="240" w:lineRule="auto"/>
              <w:ind w:firstLineChars="0" w:firstLine="0"/>
              <w:jc w:val="left"/>
              <w:rPr>
                <w:rFonts w:eastAsia="宋体" w:cs="宋体"/>
                <w:b/>
                <w:bCs/>
                <w:color w:val="000000"/>
                <w:kern w:val="0"/>
                <w:sz w:val="20"/>
                <w:szCs w:val="20"/>
              </w:rPr>
            </w:pPr>
            <w:r>
              <w:rPr>
                <w:rFonts w:eastAsia="宋体" w:cs="宋体" w:hint="eastAsia"/>
                <w:b/>
                <w:bCs/>
                <w:color w:val="000000"/>
                <w:kern w:val="0"/>
                <w:sz w:val="20"/>
                <w:szCs w:val="20"/>
              </w:rPr>
              <w:t>204</w:t>
            </w:r>
          </w:p>
        </w:tc>
        <w:tc>
          <w:tcPr>
            <w:tcW w:w="1742" w:type="pct"/>
            <w:tcBorders>
              <w:top w:val="nil"/>
              <w:left w:val="nil"/>
              <w:bottom w:val="single" w:sz="4" w:space="0" w:color="auto"/>
              <w:right w:val="single" w:sz="4" w:space="0" w:color="auto"/>
            </w:tcBorders>
            <w:shd w:val="clear" w:color="auto" w:fill="auto"/>
            <w:vAlign w:val="center"/>
          </w:tcPr>
          <w:p>
            <w:pPr>
              <w:widowControl/>
              <w:overflowPunct/>
              <w:spacing w:line="240" w:lineRule="auto"/>
              <w:ind w:firstLineChars="0" w:firstLine="0"/>
              <w:jc w:val="left"/>
              <w:rPr>
                <w:rFonts w:eastAsia="宋体" w:cs="宋体"/>
                <w:b/>
                <w:bCs/>
                <w:color w:val="000000"/>
                <w:kern w:val="0"/>
                <w:sz w:val="20"/>
                <w:szCs w:val="20"/>
              </w:rPr>
            </w:pPr>
            <w:r>
              <w:rPr>
                <w:rFonts w:eastAsia="宋体" w:cs="宋体" w:hint="eastAsia"/>
                <w:b/>
                <w:bCs/>
                <w:color w:val="000000"/>
                <w:kern w:val="0"/>
                <w:sz w:val="20"/>
                <w:szCs w:val="20"/>
              </w:rPr>
              <w:t>公共安全支出</w:t>
            </w:r>
          </w:p>
        </w:tc>
        <w:tc>
          <w:tcPr>
            <w:tcW w:w="548" w:type="pct"/>
            <w:tcBorders>
              <w:top w:val="nil"/>
              <w:left w:val="nil"/>
              <w:bottom w:val="single" w:sz="4" w:space="0" w:color="auto"/>
              <w:right w:val="single" w:sz="4" w:space="0" w:color="auto"/>
            </w:tcBorders>
            <w:shd w:val="clear" w:color="auto" w:fill="auto"/>
            <w:noWrap/>
            <w:vAlign w:val="center"/>
          </w:tcPr>
          <w:p>
            <w:pPr>
              <w:overflowPunct/>
              <w:spacing w:line="240" w:lineRule="auto"/>
              <w:ind w:firstLineChars="0" w:firstLine="0"/>
              <w:jc w:val="right"/>
              <w:rPr>
                <w:rFonts w:cs="Calibri"/>
                <w:sz w:val="16"/>
                <w:szCs w:val="16"/>
              </w:rPr>
            </w:pPr>
            <w:r>
              <w:rPr>
                <w:rFonts w:cs="Calibri" w:hint="eastAsia"/>
                <w:sz w:val="16"/>
                <w:szCs w:val="16"/>
              </w:rPr>
              <w:t>7,633.86</w:t>
            </w:r>
          </w:p>
        </w:tc>
        <w:tc>
          <w:tcPr>
            <w:tcW w:w="698" w:type="pct"/>
            <w:tcBorders>
              <w:top w:val="nil"/>
              <w:left w:val="nil"/>
              <w:bottom w:val="single" w:sz="4" w:space="0" w:color="auto"/>
              <w:right w:val="single" w:sz="4" w:space="0" w:color="auto"/>
            </w:tcBorders>
            <w:shd w:val="clear" w:color="auto" w:fill="auto"/>
            <w:noWrap/>
            <w:vAlign w:val="center"/>
          </w:tcPr>
          <w:p>
            <w:pPr>
              <w:overflowPunct/>
              <w:spacing w:line="240" w:lineRule="auto"/>
              <w:ind w:firstLineChars="0" w:firstLine="0"/>
              <w:jc w:val="right"/>
              <w:rPr>
                <w:rFonts w:cs="Calibri"/>
                <w:sz w:val="16"/>
                <w:szCs w:val="16"/>
              </w:rPr>
            </w:pPr>
            <w:r>
              <w:rPr>
                <w:rFonts w:cs="Calibri" w:hint="eastAsia"/>
                <w:sz w:val="16"/>
                <w:szCs w:val="16"/>
              </w:rPr>
              <w:t>5,522.21</w:t>
            </w:r>
          </w:p>
        </w:tc>
        <w:tc>
          <w:tcPr>
            <w:tcW w:w="684" w:type="pct"/>
            <w:tcBorders>
              <w:top w:val="nil"/>
              <w:left w:val="nil"/>
              <w:bottom w:val="single" w:sz="4" w:space="0" w:color="auto"/>
              <w:right w:val="single" w:sz="4" w:space="0" w:color="auto"/>
            </w:tcBorders>
            <w:shd w:val="clear" w:color="auto" w:fill="auto"/>
            <w:noWrap/>
            <w:vAlign w:val="center"/>
          </w:tcPr>
          <w:p>
            <w:pPr>
              <w:overflowPunct/>
              <w:spacing w:line="240" w:lineRule="auto"/>
              <w:ind w:firstLineChars="0" w:firstLine="0"/>
              <w:jc w:val="right"/>
              <w:rPr>
                <w:rFonts w:cs="Calibri"/>
                <w:sz w:val="16"/>
                <w:szCs w:val="16"/>
              </w:rPr>
            </w:pPr>
            <w:r>
              <w:rPr>
                <w:rFonts w:cs="Calibri" w:hint="eastAsia"/>
                <w:sz w:val="16"/>
                <w:szCs w:val="16"/>
              </w:rPr>
              <w:t>2,111.65</w:t>
            </w:r>
          </w:p>
        </w:tc>
        <w:tc>
          <w:tcPr>
            <w:tcW w:w="209" w:type="pct"/>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Times New Roman"/>
                <w:b/>
                <w:bCs/>
                <w:color w:val="000000"/>
                <w:kern w:val="0"/>
                <w:sz w:val="20"/>
                <w:szCs w:val="20"/>
              </w:rPr>
            </w:pPr>
          </w:p>
        </w:tc>
        <w:tc>
          <w:tcPr>
            <w:tcW w:w="231" w:type="pct"/>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Times New Roman"/>
                <w:b/>
                <w:bCs/>
                <w:color w:val="000000"/>
                <w:kern w:val="0"/>
                <w:sz w:val="20"/>
                <w:szCs w:val="20"/>
              </w:rPr>
            </w:pPr>
          </w:p>
        </w:tc>
        <w:tc>
          <w:tcPr>
            <w:tcW w:w="293" w:type="pct"/>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Times New Roman"/>
                <w:b/>
                <w:bCs/>
                <w:color w:val="000000"/>
                <w:kern w:val="0"/>
                <w:sz w:val="20"/>
                <w:szCs w:val="20"/>
              </w:rPr>
            </w:pPr>
          </w:p>
        </w:tc>
      </w:tr>
      <w:tr>
        <w:trPr>
          <w:cantSplit/>
          <w:trHeight w:val="360"/>
        </w:trPr>
        <w:tc>
          <w:tcPr>
            <w:tcW w:w="595" w:type="pct"/>
            <w:tcBorders>
              <w:top w:val="nil"/>
              <w:left w:val="single" w:sz="4" w:space="0" w:color="auto"/>
              <w:bottom w:val="single" w:sz="4" w:space="0" w:color="auto"/>
              <w:right w:val="single" w:sz="4" w:space="0" w:color="auto"/>
            </w:tcBorders>
            <w:shd w:val="clear" w:color="auto" w:fill="auto"/>
            <w:noWrap/>
            <w:vAlign w:val="center"/>
          </w:tcPr>
          <w:p>
            <w:pPr>
              <w:widowControl/>
              <w:overflowPunct/>
              <w:spacing w:line="240" w:lineRule="auto"/>
              <w:ind w:firstLineChars="0" w:firstLine="0"/>
              <w:jc w:val="left"/>
              <w:rPr>
                <w:rFonts w:eastAsia="宋体" w:cs="宋体"/>
                <w:b/>
                <w:bCs/>
                <w:color w:val="000000"/>
                <w:kern w:val="0"/>
                <w:sz w:val="20"/>
                <w:szCs w:val="20"/>
              </w:rPr>
            </w:pPr>
            <w:r>
              <w:rPr>
                <w:rFonts w:eastAsia="宋体" w:cs="宋体" w:hint="eastAsia"/>
                <w:b/>
                <w:bCs/>
                <w:color w:val="000000"/>
                <w:kern w:val="0"/>
                <w:sz w:val="20"/>
                <w:szCs w:val="20"/>
              </w:rPr>
              <w:t>20410</w:t>
            </w:r>
          </w:p>
        </w:tc>
        <w:tc>
          <w:tcPr>
            <w:tcW w:w="1742" w:type="pct"/>
            <w:tcBorders>
              <w:top w:val="nil"/>
              <w:left w:val="nil"/>
              <w:bottom w:val="single" w:sz="4" w:space="0" w:color="auto"/>
              <w:right w:val="single" w:sz="4" w:space="0" w:color="auto"/>
            </w:tcBorders>
            <w:shd w:val="clear" w:color="auto" w:fill="auto"/>
            <w:vAlign w:val="center"/>
          </w:tcPr>
          <w:p>
            <w:pPr>
              <w:widowControl/>
              <w:overflowPunct/>
              <w:spacing w:line="240" w:lineRule="auto"/>
              <w:ind w:firstLineChars="0" w:firstLine="0"/>
              <w:jc w:val="left"/>
              <w:rPr>
                <w:rFonts w:eastAsia="宋体" w:cs="宋体"/>
                <w:b/>
                <w:bCs/>
                <w:color w:val="000000"/>
                <w:kern w:val="0"/>
                <w:sz w:val="20"/>
                <w:szCs w:val="20"/>
              </w:rPr>
            </w:pPr>
            <w:r>
              <w:rPr>
                <w:rFonts w:eastAsia="宋体" w:cs="宋体" w:hint="eastAsia"/>
                <w:b/>
                <w:bCs/>
                <w:color w:val="000000"/>
                <w:kern w:val="0"/>
                <w:sz w:val="20"/>
                <w:szCs w:val="20"/>
              </w:rPr>
              <w:t>缉私警察</w:t>
            </w:r>
          </w:p>
        </w:tc>
        <w:tc>
          <w:tcPr>
            <w:tcW w:w="548" w:type="pct"/>
            <w:tcBorders>
              <w:top w:val="nil"/>
              <w:left w:val="nil"/>
              <w:bottom w:val="single" w:sz="4" w:space="0" w:color="auto"/>
              <w:right w:val="single" w:sz="4" w:space="0" w:color="auto"/>
            </w:tcBorders>
            <w:shd w:val="clear" w:color="auto" w:fill="auto"/>
            <w:noWrap/>
            <w:vAlign w:val="center"/>
          </w:tcPr>
          <w:p>
            <w:pPr>
              <w:overflowPunct/>
              <w:spacing w:line="240" w:lineRule="auto"/>
              <w:ind w:firstLineChars="0" w:firstLine="0"/>
              <w:jc w:val="right"/>
              <w:rPr>
                <w:rFonts w:cs="Calibri"/>
                <w:sz w:val="16"/>
                <w:szCs w:val="16"/>
              </w:rPr>
            </w:pPr>
            <w:r>
              <w:rPr>
                <w:rFonts w:cs="Calibri" w:hint="eastAsia"/>
                <w:sz w:val="16"/>
                <w:szCs w:val="16"/>
              </w:rPr>
              <w:t>7,633.86</w:t>
            </w:r>
          </w:p>
        </w:tc>
        <w:tc>
          <w:tcPr>
            <w:tcW w:w="698" w:type="pct"/>
            <w:tcBorders>
              <w:top w:val="nil"/>
              <w:left w:val="nil"/>
              <w:bottom w:val="single" w:sz="4" w:space="0" w:color="auto"/>
              <w:right w:val="single" w:sz="4" w:space="0" w:color="auto"/>
            </w:tcBorders>
            <w:shd w:val="clear" w:color="auto" w:fill="auto"/>
            <w:noWrap/>
            <w:vAlign w:val="center"/>
          </w:tcPr>
          <w:p>
            <w:pPr>
              <w:overflowPunct/>
              <w:spacing w:line="240" w:lineRule="auto"/>
              <w:ind w:firstLineChars="0" w:firstLine="0"/>
              <w:jc w:val="right"/>
              <w:rPr>
                <w:rFonts w:cs="Calibri"/>
                <w:sz w:val="16"/>
                <w:szCs w:val="16"/>
              </w:rPr>
            </w:pPr>
            <w:r>
              <w:rPr>
                <w:rFonts w:cs="Calibri" w:hint="eastAsia"/>
                <w:sz w:val="16"/>
                <w:szCs w:val="16"/>
              </w:rPr>
              <w:t>5,522.21</w:t>
            </w:r>
          </w:p>
        </w:tc>
        <w:tc>
          <w:tcPr>
            <w:tcW w:w="684" w:type="pct"/>
            <w:tcBorders>
              <w:top w:val="nil"/>
              <w:left w:val="nil"/>
              <w:bottom w:val="single" w:sz="4" w:space="0" w:color="auto"/>
              <w:right w:val="single" w:sz="4" w:space="0" w:color="auto"/>
            </w:tcBorders>
            <w:shd w:val="clear" w:color="auto" w:fill="auto"/>
            <w:noWrap/>
            <w:vAlign w:val="center"/>
          </w:tcPr>
          <w:p>
            <w:pPr>
              <w:overflowPunct/>
              <w:spacing w:line="240" w:lineRule="auto"/>
              <w:ind w:firstLineChars="0" w:firstLine="0"/>
              <w:jc w:val="right"/>
              <w:rPr>
                <w:rFonts w:cs="Calibri"/>
                <w:sz w:val="16"/>
                <w:szCs w:val="16"/>
              </w:rPr>
            </w:pPr>
            <w:r>
              <w:rPr>
                <w:rFonts w:cs="Calibri" w:hint="eastAsia"/>
                <w:sz w:val="16"/>
                <w:szCs w:val="16"/>
              </w:rPr>
              <w:t>2,111.65</w:t>
            </w:r>
          </w:p>
        </w:tc>
        <w:tc>
          <w:tcPr>
            <w:tcW w:w="209" w:type="pct"/>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Times New Roman"/>
                <w:b/>
                <w:bCs/>
                <w:color w:val="000000"/>
                <w:kern w:val="0"/>
                <w:sz w:val="20"/>
                <w:szCs w:val="20"/>
              </w:rPr>
            </w:pPr>
          </w:p>
        </w:tc>
        <w:tc>
          <w:tcPr>
            <w:tcW w:w="231" w:type="pct"/>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Times New Roman"/>
                <w:b/>
                <w:bCs/>
                <w:color w:val="000000"/>
                <w:kern w:val="0"/>
                <w:sz w:val="20"/>
                <w:szCs w:val="20"/>
              </w:rPr>
            </w:pPr>
          </w:p>
        </w:tc>
        <w:tc>
          <w:tcPr>
            <w:tcW w:w="293" w:type="pct"/>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Times New Roman"/>
                <w:b/>
                <w:bCs/>
                <w:color w:val="000000"/>
                <w:kern w:val="0"/>
                <w:sz w:val="20"/>
                <w:szCs w:val="20"/>
              </w:rPr>
            </w:pPr>
          </w:p>
        </w:tc>
      </w:tr>
      <w:tr>
        <w:trPr>
          <w:cantSplit/>
          <w:trHeight w:val="360"/>
        </w:trPr>
        <w:tc>
          <w:tcPr>
            <w:tcW w:w="595" w:type="pct"/>
            <w:tcBorders>
              <w:top w:val="nil"/>
              <w:left w:val="single" w:sz="4" w:space="0" w:color="auto"/>
              <w:bottom w:val="single" w:sz="4" w:space="0" w:color="auto"/>
              <w:right w:val="single" w:sz="4" w:space="0" w:color="auto"/>
            </w:tcBorders>
            <w:shd w:val="clear" w:color="auto" w:fill="auto"/>
            <w:noWrap/>
            <w:vAlign w:val="center"/>
          </w:tcPr>
          <w:p>
            <w:pPr>
              <w:widowControl/>
              <w:overflowPunct/>
              <w:spacing w:line="240" w:lineRule="auto"/>
              <w:ind w:firstLineChars="0" w:firstLine="0"/>
              <w:jc w:val="left"/>
              <w:rPr>
                <w:rFonts w:eastAsia="宋体" w:cs="宋体"/>
                <w:color w:val="000000"/>
                <w:kern w:val="0"/>
                <w:sz w:val="20"/>
                <w:szCs w:val="20"/>
              </w:rPr>
            </w:pPr>
            <w:r>
              <w:rPr>
                <w:rFonts w:eastAsia="宋体" w:cs="宋体" w:hint="eastAsia"/>
                <w:color w:val="000000"/>
                <w:kern w:val="0"/>
                <w:sz w:val="20"/>
                <w:szCs w:val="20"/>
              </w:rPr>
              <w:t>2041001</w:t>
            </w:r>
          </w:p>
        </w:tc>
        <w:tc>
          <w:tcPr>
            <w:tcW w:w="1742" w:type="pct"/>
            <w:tcBorders>
              <w:top w:val="nil"/>
              <w:left w:val="nil"/>
              <w:bottom w:val="single" w:sz="4" w:space="0" w:color="auto"/>
              <w:right w:val="single" w:sz="4" w:space="0" w:color="auto"/>
            </w:tcBorders>
            <w:shd w:val="clear" w:color="auto" w:fill="auto"/>
            <w:vAlign w:val="center"/>
          </w:tcPr>
          <w:p>
            <w:pPr>
              <w:widowControl/>
              <w:overflowPunct/>
              <w:spacing w:line="240" w:lineRule="auto"/>
              <w:ind w:firstLineChars="0" w:firstLine="0"/>
              <w:jc w:val="left"/>
              <w:rPr>
                <w:rFonts w:eastAsia="宋体" w:cs="宋体"/>
                <w:color w:val="000000"/>
                <w:kern w:val="0"/>
                <w:sz w:val="20"/>
                <w:szCs w:val="20"/>
              </w:rPr>
            </w:pPr>
            <w:r>
              <w:rPr>
                <w:rFonts w:eastAsia="宋体" w:cs="宋体" w:hint="eastAsia"/>
                <w:color w:val="000000"/>
                <w:kern w:val="0"/>
                <w:sz w:val="20"/>
                <w:szCs w:val="20"/>
              </w:rPr>
              <w:t>行政运行</w:t>
            </w:r>
          </w:p>
        </w:tc>
        <w:tc>
          <w:tcPr>
            <w:tcW w:w="548" w:type="pct"/>
            <w:tcBorders>
              <w:top w:val="nil"/>
              <w:left w:val="nil"/>
              <w:bottom w:val="single" w:sz="4" w:space="0" w:color="auto"/>
              <w:right w:val="single" w:sz="4" w:space="0" w:color="auto"/>
            </w:tcBorders>
            <w:shd w:val="clear" w:color="auto" w:fill="auto"/>
            <w:noWrap/>
            <w:vAlign w:val="center"/>
          </w:tcPr>
          <w:p>
            <w:pPr>
              <w:overflowPunct/>
              <w:spacing w:line="240" w:lineRule="auto"/>
              <w:ind w:firstLineChars="0" w:firstLine="0"/>
              <w:jc w:val="right"/>
              <w:rPr>
                <w:rFonts w:cs="Calibri"/>
                <w:sz w:val="16"/>
                <w:szCs w:val="16"/>
              </w:rPr>
            </w:pPr>
            <w:r>
              <w:rPr>
                <w:rFonts w:cs="Calibri" w:hint="eastAsia"/>
                <w:sz w:val="16"/>
                <w:szCs w:val="16"/>
              </w:rPr>
              <w:t>5,522.21</w:t>
            </w:r>
          </w:p>
        </w:tc>
        <w:tc>
          <w:tcPr>
            <w:tcW w:w="698" w:type="pct"/>
            <w:tcBorders>
              <w:top w:val="nil"/>
              <w:left w:val="nil"/>
              <w:bottom w:val="single" w:sz="4" w:space="0" w:color="auto"/>
              <w:right w:val="single" w:sz="4" w:space="0" w:color="auto"/>
            </w:tcBorders>
            <w:shd w:val="clear" w:color="auto" w:fill="auto"/>
            <w:noWrap/>
            <w:vAlign w:val="center"/>
          </w:tcPr>
          <w:p>
            <w:pPr>
              <w:overflowPunct/>
              <w:spacing w:line="240" w:lineRule="auto"/>
              <w:ind w:firstLineChars="0" w:firstLine="0"/>
              <w:jc w:val="right"/>
              <w:rPr>
                <w:rFonts w:cs="Calibri"/>
                <w:sz w:val="16"/>
                <w:szCs w:val="16"/>
              </w:rPr>
            </w:pPr>
            <w:r>
              <w:rPr>
                <w:rFonts w:cs="Calibri" w:hint="eastAsia"/>
                <w:sz w:val="16"/>
                <w:szCs w:val="16"/>
              </w:rPr>
              <w:t>5,522.21</w:t>
            </w:r>
          </w:p>
        </w:tc>
        <w:tc>
          <w:tcPr>
            <w:tcW w:w="684" w:type="pct"/>
            <w:tcBorders>
              <w:top w:val="nil"/>
              <w:left w:val="nil"/>
              <w:bottom w:val="single" w:sz="4" w:space="0" w:color="auto"/>
              <w:right w:val="single" w:sz="4" w:space="0" w:color="auto"/>
            </w:tcBorders>
            <w:shd w:val="clear" w:color="auto" w:fill="auto"/>
            <w:noWrap/>
            <w:vAlign w:val="center"/>
          </w:tcPr>
          <w:p>
            <w:pPr>
              <w:overflowPunct/>
              <w:spacing w:line="240" w:lineRule="auto"/>
              <w:ind w:firstLineChars="0" w:firstLine="0"/>
              <w:jc w:val="right"/>
              <w:rPr>
                <w:rFonts w:cs="Calibri"/>
                <w:sz w:val="16"/>
                <w:szCs w:val="16"/>
              </w:rPr>
            </w:pPr>
            <w:r>
              <w:rPr>
                <w:rFonts w:cs="Calibri" w:hint="eastAsia"/>
                <w:sz w:val="16"/>
                <w:szCs w:val="16"/>
              </w:rPr>
              <w:t>　</w:t>
            </w:r>
          </w:p>
        </w:tc>
        <w:tc>
          <w:tcPr>
            <w:tcW w:w="209" w:type="pct"/>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Times New Roman"/>
                <w:color w:val="000000"/>
                <w:kern w:val="0"/>
                <w:sz w:val="20"/>
                <w:szCs w:val="20"/>
              </w:rPr>
            </w:pPr>
          </w:p>
        </w:tc>
        <w:tc>
          <w:tcPr>
            <w:tcW w:w="231" w:type="pct"/>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Times New Roman"/>
                <w:color w:val="000000"/>
                <w:kern w:val="0"/>
                <w:sz w:val="20"/>
                <w:szCs w:val="20"/>
              </w:rPr>
            </w:pPr>
          </w:p>
        </w:tc>
        <w:tc>
          <w:tcPr>
            <w:tcW w:w="293" w:type="pct"/>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Times New Roman"/>
                <w:color w:val="000000"/>
                <w:kern w:val="0"/>
                <w:sz w:val="20"/>
                <w:szCs w:val="20"/>
              </w:rPr>
            </w:pPr>
          </w:p>
        </w:tc>
      </w:tr>
      <w:tr>
        <w:trPr>
          <w:cantSplit/>
          <w:trHeight w:val="360"/>
        </w:trPr>
        <w:tc>
          <w:tcPr>
            <w:tcW w:w="595" w:type="pct"/>
            <w:tcBorders>
              <w:top w:val="nil"/>
              <w:left w:val="single" w:sz="4" w:space="0" w:color="auto"/>
              <w:bottom w:val="single" w:sz="4" w:space="0" w:color="auto"/>
              <w:right w:val="single" w:sz="4" w:space="0" w:color="auto"/>
            </w:tcBorders>
            <w:shd w:val="clear" w:color="auto" w:fill="auto"/>
            <w:noWrap/>
            <w:vAlign w:val="center"/>
          </w:tcPr>
          <w:p>
            <w:pPr>
              <w:widowControl/>
              <w:overflowPunct/>
              <w:spacing w:line="240" w:lineRule="auto"/>
              <w:ind w:firstLineChars="0" w:firstLine="0"/>
              <w:jc w:val="left"/>
              <w:rPr>
                <w:rFonts w:eastAsia="宋体" w:cs="宋体"/>
                <w:color w:val="000000"/>
                <w:kern w:val="0"/>
                <w:sz w:val="20"/>
                <w:szCs w:val="20"/>
              </w:rPr>
            </w:pPr>
            <w:r>
              <w:rPr>
                <w:rFonts w:eastAsia="宋体" w:cs="宋体" w:hint="eastAsia"/>
                <w:color w:val="000000"/>
                <w:kern w:val="0"/>
                <w:sz w:val="20"/>
                <w:szCs w:val="20"/>
              </w:rPr>
              <w:t>2041002</w:t>
            </w:r>
          </w:p>
        </w:tc>
        <w:tc>
          <w:tcPr>
            <w:tcW w:w="1742" w:type="pct"/>
            <w:tcBorders>
              <w:top w:val="nil"/>
              <w:left w:val="nil"/>
              <w:bottom w:val="single" w:sz="4" w:space="0" w:color="auto"/>
              <w:right w:val="single" w:sz="4" w:space="0" w:color="auto"/>
            </w:tcBorders>
            <w:shd w:val="clear" w:color="auto" w:fill="auto"/>
            <w:vAlign w:val="center"/>
          </w:tcPr>
          <w:p>
            <w:pPr>
              <w:widowControl/>
              <w:overflowPunct/>
              <w:spacing w:line="240" w:lineRule="auto"/>
              <w:ind w:firstLineChars="0" w:firstLine="0"/>
              <w:jc w:val="left"/>
              <w:rPr>
                <w:rFonts w:eastAsia="宋体" w:cs="宋体"/>
                <w:color w:val="000000"/>
                <w:kern w:val="0"/>
                <w:sz w:val="20"/>
                <w:szCs w:val="20"/>
              </w:rPr>
            </w:pPr>
            <w:r>
              <w:rPr>
                <w:rFonts w:eastAsia="宋体" w:cs="宋体" w:hint="eastAsia"/>
                <w:color w:val="000000"/>
                <w:kern w:val="0"/>
                <w:sz w:val="20"/>
                <w:szCs w:val="20"/>
              </w:rPr>
              <w:t>一般行政管理事务</w:t>
            </w:r>
          </w:p>
        </w:tc>
        <w:tc>
          <w:tcPr>
            <w:tcW w:w="548" w:type="pct"/>
            <w:tcBorders>
              <w:top w:val="nil"/>
              <w:left w:val="nil"/>
              <w:bottom w:val="single" w:sz="4" w:space="0" w:color="auto"/>
              <w:right w:val="single" w:sz="4" w:space="0" w:color="auto"/>
            </w:tcBorders>
            <w:shd w:val="clear" w:color="auto" w:fill="auto"/>
            <w:noWrap/>
            <w:vAlign w:val="center"/>
          </w:tcPr>
          <w:p>
            <w:pPr>
              <w:overflowPunct/>
              <w:spacing w:line="240" w:lineRule="auto"/>
              <w:ind w:firstLineChars="0" w:firstLine="0"/>
              <w:jc w:val="right"/>
              <w:rPr>
                <w:rFonts w:cs="Calibri"/>
                <w:sz w:val="16"/>
                <w:szCs w:val="16"/>
              </w:rPr>
            </w:pPr>
            <w:r>
              <w:rPr>
                <w:rFonts w:cs="Calibri" w:hint="eastAsia"/>
                <w:sz w:val="16"/>
                <w:szCs w:val="16"/>
              </w:rPr>
              <w:t>80.78</w:t>
            </w:r>
          </w:p>
        </w:tc>
        <w:tc>
          <w:tcPr>
            <w:tcW w:w="698" w:type="pct"/>
            <w:tcBorders>
              <w:top w:val="nil"/>
              <w:left w:val="nil"/>
              <w:bottom w:val="single" w:sz="4" w:space="0" w:color="auto"/>
              <w:right w:val="single" w:sz="4" w:space="0" w:color="auto"/>
            </w:tcBorders>
            <w:shd w:val="clear" w:color="auto" w:fill="auto"/>
            <w:noWrap/>
            <w:vAlign w:val="center"/>
          </w:tcPr>
          <w:p>
            <w:pPr>
              <w:overflowPunct/>
              <w:spacing w:line="240" w:lineRule="auto"/>
              <w:ind w:firstLineChars="0" w:firstLine="0"/>
              <w:jc w:val="right"/>
              <w:rPr>
                <w:rFonts w:cs="Calibri"/>
                <w:sz w:val="16"/>
                <w:szCs w:val="16"/>
              </w:rPr>
            </w:pPr>
            <w:r>
              <w:rPr>
                <w:rFonts w:cs="Calibri" w:hint="eastAsia"/>
                <w:sz w:val="16"/>
                <w:szCs w:val="16"/>
              </w:rPr>
              <w:t>　</w:t>
            </w:r>
          </w:p>
        </w:tc>
        <w:tc>
          <w:tcPr>
            <w:tcW w:w="684" w:type="pct"/>
            <w:tcBorders>
              <w:top w:val="nil"/>
              <w:left w:val="nil"/>
              <w:bottom w:val="single" w:sz="4" w:space="0" w:color="auto"/>
              <w:right w:val="single" w:sz="4" w:space="0" w:color="auto"/>
            </w:tcBorders>
            <w:shd w:val="clear" w:color="auto" w:fill="auto"/>
            <w:noWrap/>
            <w:vAlign w:val="center"/>
          </w:tcPr>
          <w:p>
            <w:pPr>
              <w:overflowPunct/>
              <w:spacing w:line="240" w:lineRule="auto"/>
              <w:ind w:firstLineChars="0" w:firstLine="0"/>
              <w:jc w:val="right"/>
              <w:rPr>
                <w:rFonts w:cs="Calibri"/>
                <w:sz w:val="16"/>
                <w:szCs w:val="16"/>
              </w:rPr>
            </w:pPr>
            <w:r>
              <w:rPr>
                <w:rFonts w:cs="Calibri" w:hint="eastAsia"/>
                <w:sz w:val="16"/>
                <w:szCs w:val="16"/>
              </w:rPr>
              <w:t>80.78</w:t>
            </w:r>
          </w:p>
        </w:tc>
        <w:tc>
          <w:tcPr>
            <w:tcW w:w="209" w:type="pct"/>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Times New Roman"/>
                <w:color w:val="000000"/>
                <w:kern w:val="0"/>
                <w:sz w:val="20"/>
                <w:szCs w:val="20"/>
              </w:rPr>
            </w:pPr>
          </w:p>
        </w:tc>
        <w:tc>
          <w:tcPr>
            <w:tcW w:w="231" w:type="pct"/>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Times New Roman"/>
                <w:color w:val="000000"/>
                <w:kern w:val="0"/>
                <w:sz w:val="20"/>
                <w:szCs w:val="20"/>
              </w:rPr>
            </w:pPr>
          </w:p>
        </w:tc>
        <w:tc>
          <w:tcPr>
            <w:tcW w:w="293" w:type="pct"/>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Times New Roman"/>
                <w:color w:val="000000"/>
                <w:kern w:val="0"/>
                <w:sz w:val="20"/>
                <w:szCs w:val="20"/>
              </w:rPr>
            </w:pPr>
          </w:p>
        </w:tc>
      </w:tr>
      <w:tr>
        <w:trPr>
          <w:cantSplit/>
          <w:trHeight w:val="360"/>
        </w:trPr>
        <w:tc>
          <w:tcPr>
            <w:tcW w:w="595" w:type="pct"/>
            <w:tcBorders>
              <w:top w:val="nil"/>
              <w:left w:val="single" w:sz="4" w:space="0" w:color="auto"/>
              <w:bottom w:val="single" w:sz="4" w:space="0" w:color="auto"/>
              <w:right w:val="single" w:sz="4" w:space="0" w:color="auto"/>
            </w:tcBorders>
            <w:shd w:val="clear" w:color="auto" w:fill="auto"/>
            <w:noWrap/>
            <w:vAlign w:val="center"/>
          </w:tcPr>
          <w:p>
            <w:pPr>
              <w:widowControl/>
              <w:overflowPunct/>
              <w:spacing w:line="240" w:lineRule="auto"/>
              <w:ind w:firstLineChars="0" w:firstLine="0"/>
              <w:jc w:val="left"/>
              <w:rPr>
                <w:rFonts w:eastAsia="宋体" w:cs="宋体"/>
                <w:color w:val="000000"/>
                <w:kern w:val="0"/>
                <w:sz w:val="20"/>
                <w:szCs w:val="20"/>
              </w:rPr>
            </w:pPr>
            <w:r>
              <w:rPr>
                <w:rFonts w:eastAsia="宋体" w:cs="宋体" w:hint="eastAsia"/>
                <w:color w:val="000000"/>
                <w:kern w:val="0"/>
                <w:sz w:val="20"/>
                <w:szCs w:val="20"/>
              </w:rPr>
              <w:t>2041006</w:t>
            </w:r>
          </w:p>
        </w:tc>
        <w:tc>
          <w:tcPr>
            <w:tcW w:w="1742" w:type="pct"/>
            <w:tcBorders>
              <w:top w:val="nil"/>
              <w:left w:val="nil"/>
              <w:bottom w:val="single" w:sz="4" w:space="0" w:color="auto"/>
              <w:right w:val="single" w:sz="4" w:space="0" w:color="auto"/>
            </w:tcBorders>
            <w:shd w:val="clear" w:color="auto" w:fill="auto"/>
            <w:vAlign w:val="center"/>
          </w:tcPr>
          <w:p>
            <w:pPr>
              <w:widowControl/>
              <w:overflowPunct/>
              <w:spacing w:line="240" w:lineRule="auto"/>
              <w:ind w:firstLineChars="0" w:firstLine="0"/>
              <w:jc w:val="left"/>
              <w:rPr>
                <w:rFonts w:eastAsia="宋体" w:cs="宋体"/>
                <w:color w:val="000000"/>
                <w:kern w:val="0"/>
                <w:sz w:val="20"/>
                <w:szCs w:val="20"/>
              </w:rPr>
            </w:pPr>
            <w:r>
              <w:rPr>
                <w:rFonts w:eastAsia="宋体" w:cs="宋体" w:hint="eastAsia"/>
                <w:color w:val="000000"/>
                <w:kern w:val="0"/>
                <w:sz w:val="20"/>
                <w:szCs w:val="20"/>
              </w:rPr>
              <w:t>信息化建设</w:t>
            </w:r>
          </w:p>
        </w:tc>
        <w:tc>
          <w:tcPr>
            <w:tcW w:w="548" w:type="pct"/>
            <w:tcBorders>
              <w:top w:val="nil"/>
              <w:left w:val="nil"/>
              <w:bottom w:val="single" w:sz="4" w:space="0" w:color="auto"/>
              <w:right w:val="single" w:sz="4" w:space="0" w:color="auto"/>
            </w:tcBorders>
            <w:shd w:val="clear" w:color="auto" w:fill="auto"/>
            <w:noWrap/>
            <w:vAlign w:val="center"/>
          </w:tcPr>
          <w:p>
            <w:pPr>
              <w:overflowPunct/>
              <w:spacing w:line="240" w:lineRule="auto"/>
              <w:ind w:firstLineChars="0" w:firstLine="0"/>
              <w:jc w:val="right"/>
              <w:rPr>
                <w:rFonts w:cs="Calibri"/>
                <w:sz w:val="16"/>
                <w:szCs w:val="16"/>
              </w:rPr>
            </w:pPr>
            <w:r>
              <w:rPr>
                <w:rFonts w:cs="Calibri" w:hint="eastAsia"/>
                <w:sz w:val="16"/>
                <w:szCs w:val="16"/>
              </w:rPr>
              <w:t>249.00</w:t>
            </w:r>
          </w:p>
        </w:tc>
        <w:tc>
          <w:tcPr>
            <w:tcW w:w="698" w:type="pct"/>
            <w:tcBorders>
              <w:top w:val="nil"/>
              <w:left w:val="nil"/>
              <w:bottom w:val="single" w:sz="4" w:space="0" w:color="auto"/>
              <w:right w:val="single" w:sz="4" w:space="0" w:color="auto"/>
            </w:tcBorders>
            <w:shd w:val="clear" w:color="auto" w:fill="auto"/>
            <w:noWrap/>
            <w:vAlign w:val="center"/>
          </w:tcPr>
          <w:p>
            <w:pPr>
              <w:overflowPunct/>
              <w:spacing w:line="240" w:lineRule="auto"/>
              <w:ind w:firstLineChars="0" w:firstLine="0"/>
              <w:jc w:val="right"/>
              <w:rPr>
                <w:rFonts w:cs="Calibri"/>
                <w:sz w:val="16"/>
                <w:szCs w:val="16"/>
              </w:rPr>
            </w:pPr>
            <w:r>
              <w:rPr>
                <w:rFonts w:cs="Calibri" w:hint="eastAsia"/>
                <w:sz w:val="16"/>
                <w:szCs w:val="16"/>
              </w:rPr>
              <w:t>　</w:t>
            </w:r>
          </w:p>
        </w:tc>
        <w:tc>
          <w:tcPr>
            <w:tcW w:w="684" w:type="pct"/>
            <w:tcBorders>
              <w:top w:val="nil"/>
              <w:left w:val="nil"/>
              <w:bottom w:val="single" w:sz="4" w:space="0" w:color="auto"/>
              <w:right w:val="single" w:sz="4" w:space="0" w:color="auto"/>
            </w:tcBorders>
            <w:shd w:val="clear" w:color="auto" w:fill="auto"/>
            <w:noWrap/>
            <w:vAlign w:val="center"/>
          </w:tcPr>
          <w:p>
            <w:pPr>
              <w:overflowPunct/>
              <w:spacing w:line="240" w:lineRule="auto"/>
              <w:ind w:firstLineChars="0" w:firstLine="0"/>
              <w:jc w:val="right"/>
              <w:rPr>
                <w:rFonts w:cs="Calibri"/>
                <w:sz w:val="16"/>
                <w:szCs w:val="16"/>
              </w:rPr>
            </w:pPr>
            <w:r>
              <w:rPr>
                <w:rFonts w:cs="Calibri" w:hint="eastAsia"/>
                <w:sz w:val="16"/>
                <w:szCs w:val="16"/>
              </w:rPr>
              <w:t>249.00</w:t>
            </w:r>
          </w:p>
        </w:tc>
        <w:tc>
          <w:tcPr>
            <w:tcW w:w="209" w:type="pct"/>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Times New Roman"/>
                <w:color w:val="000000"/>
                <w:kern w:val="0"/>
                <w:sz w:val="20"/>
                <w:szCs w:val="20"/>
              </w:rPr>
            </w:pPr>
          </w:p>
        </w:tc>
        <w:tc>
          <w:tcPr>
            <w:tcW w:w="231" w:type="pct"/>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Times New Roman"/>
                <w:color w:val="000000"/>
                <w:kern w:val="0"/>
                <w:sz w:val="20"/>
                <w:szCs w:val="20"/>
              </w:rPr>
            </w:pPr>
          </w:p>
        </w:tc>
        <w:tc>
          <w:tcPr>
            <w:tcW w:w="293" w:type="pct"/>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Times New Roman"/>
                <w:color w:val="000000"/>
                <w:kern w:val="0"/>
                <w:sz w:val="20"/>
                <w:szCs w:val="20"/>
              </w:rPr>
            </w:pPr>
          </w:p>
        </w:tc>
      </w:tr>
      <w:tr>
        <w:trPr>
          <w:cantSplit/>
          <w:trHeight w:val="360"/>
        </w:trPr>
        <w:tc>
          <w:tcPr>
            <w:tcW w:w="595" w:type="pct"/>
            <w:tcBorders>
              <w:top w:val="nil"/>
              <w:left w:val="single" w:sz="4" w:space="0" w:color="auto"/>
              <w:bottom w:val="single" w:sz="4" w:space="0" w:color="auto"/>
              <w:right w:val="single" w:sz="4" w:space="0" w:color="auto"/>
            </w:tcBorders>
            <w:shd w:val="clear" w:color="auto" w:fill="auto"/>
            <w:noWrap/>
            <w:vAlign w:val="center"/>
          </w:tcPr>
          <w:p>
            <w:pPr>
              <w:widowControl/>
              <w:overflowPunct/>
              <w:spacing w:line="240" w:lineRule="auto"/>
              <w:ind w:firstLineChars="0" w:firstLine="0"/>
              <w:jc w:val="left"/>
              <w:rPr>
                <w:rFonts w:eastAsia="宋体" w:cs="宋体"/>
                <w:color w:val="000000"/>
                <w:kern w:val="0"/>
                <w:sz w:val="20"/>
                <w:szCs w:val="20"/>
              </w:rPr>
            </w:pPr>
            <w:r>
              <w:rPr>
                <w:rFonts w:eastAsia="宋体" w:cs="宋体" w:hint="eastAsia"/>
                <w:color w:val="000000"/>
                <w:kern w:val="0"/>
                <w:sz w:val="20"/>
                <w:szCs w:val="20"/>
              </w:rPr>
              <w:t>2041007</w:t>
            </w:r>
          </w:p>
        </w:tc>
        <w:tc>
          <w:tcPr>
            <w:tcW w:w="1742" w:type="pct"/>
            <w:tcBorders>
              <w:top w:val="nil"/>
              <w:left w:val="nil"/>
              <w:bottom w:val="single" w:sz="4" w:space="0" w:color="auto"/>
              <w:right w:val="single" w:sz="4" w:space="0" w:color="auto"/>
            </w:tcBorders>
            <w:shd w:val="clear" w:color="auto" w:fill="auto"/>
            <w:vAlign w:val="center"/>
          </w:tcPr>
          <w:p>
            <w:pPr>
              <w:widowControl/>
              <w:overflowPunct/>
              <w:spacing w:line="240" w:lineRule="auto"/>
              <w:ind w:firstLineChars="0" w:firstLine="0"/>
              <w:jc w:val="left"/>
              <w:rPr>
                <w:rFonts w:eastAsia="宋体" w:cs="宋体"/>
                <w:color w:val="000000"/>
                <w:kern w:val="0"/>
                <w:sz w:val="20"/>
                <w:szCs w:val="20"/>
              </w:rPr>
            </w:pPr>
            <w:r>
              <w:rPr>
                <w:rFonts w:eastAsia="宋体" w:cs="宋体" w:hint="eastAsia"/>
                <w:color w:val="000000"/>
                <w:kern w:val="0"/>
                <w:sz w:val="20"/>
                <w:szCs w:val="20"/>
              </w:rPr>
              <w:t>缉私业务</w:t>
            </w:r>
          </w:p>
        </w:tc>
        <w:tc>
          <w:tcPr>
            <w:tcW w:w="548" w:type="pct"/>
            <w:tcBorders>
              <w:top w:val="nil"/>
              <w:left w:val="nil"/>
              <w:bottom w:val="single" w:sz="4" w:space="0" w:color="auto"/>
              <w:right w:val="single" w:sz="4" w:space="0" w:color="auto"/>
            </w:tcBorders>
            <w:shd w:val="clear" w:color="auto" w:fill="auto"/>
            <w:noWrap/>
            <w:vAlign w:val="center"/>
          </w:tcPr>
          <w:p>
            <w:pPr>
              <w:overflowPunct/>
              <w:spacing w:line="240" w:lineRule="auto"/>
              <w:ind w:firstLineChars="0" w:firstLine="0"/>
              <w:jc w:val="right"/>
              <w:rPr>
                <w:rFonts w:cs="Calibri"/>
                <w:sz w:val="16"/>
                <w:szCs w:val="16"/>
              </w:rPr>
            </w:pPr>
            <w:r>
              <w:rPr>
                <w:rFonts w:cs="Calibri" w:hint="eastAsia"/>
                <w:sz w:val="16"/>
                <w:szCs w:val="16"/>
              </w:rPr>
              <w:t>1,781.87</w:t>
            </w:r>
          </w:p>
        </w:tc>
        <w:tc>
          <w:tcPr>
            <w:tcW w:w="698" w:type="pct"/>
            <w:tcBorders>
              <w:top w:val="nil"/>
              <w:left w:val="nil"/>
              <w:bottom w:val="single" w:sz="4" w:space="0" w:color="auto"/>
              <w:right w:val="single" w:sz="4" w:space="0" w:color="auto"/>
            </w:tcBorders>
            <w:shd w:val="clear" w:color="auto" w:fill="auto"/>
            <w:noWrap/>
            <w:vAlign w:val="center"/>
          </w:tcPr>
          <w:p>
            <w:pPr>
              <w:overflowPunct/>
              <w:spacing w:line="240" w:lineRule="auto"/>
              <w:ind w:firstLineChars="0" w:firstLine="0"/>
              <w:jc w:val="right"/>
              <w:rPr>
                <w:rFonts w:cs="Calibri"/>
                <w:sz w:val="16"/>
                <w:szCs w:val="16"/>
              </w:rPr>
            </w:pPr>
            <w:r>
              <w:rPr>
                <w:rFonts w:cs="Calibri" w:hint="eastAsia"/>
                <w:sz w:val="16"/>
                <w:szCs w:val="16"/>
              </w:rPr>
              <w:t>　</w:t>
            </w:r>
          </w:p>
        </w:tc>
        <w:tc>
          <w:tcPr>
            <w:tcW w:w="684" w:type="pct"/>
            <w:tcBorders>
              <w:top w:val="nil"/>
              <w:left w:val="nil"/>
              <w:bottom w:val="single" w:sz="4" w:space="0" w:color="auto"/>
              <w:right w:val="single" w:sz="4" w:space="0" w:color="auto"/>
            </w:tcBorders>
            <w:shd w:val="clear" w:color="auto" w:fill="auto"/>
            <w:noWrap/>
            <w:vAlign w:val="center"/>
          </w:tcPr>
          <w:p>
            <w:pPr>
              <w:overflowPunct/>
              <w:spacing w:line="240" w:lineRule="auto"/>
              <w:ind w:firstLineChars="0" w:firstLine="0"/>
              <w:jc w:val="right"/>
              <w:rPr>
                <w:rFonts w:cs="Calibri"/>
                <w:sz w:val="16"/>
                <w:szCs w:val="16"/>
              </w:rPr>
            </w:pPr>
            <w:r>
              <w:rPr>
                <w:rFonts w:cs="Calibri" w:hint="eastAsia"/>
                <w:sz w:val="16"/>
                <w:szCs w:val="16"/>
              </w:rPr>
              <w:t>1,781.87</w:t>
            </w:r>
          </w:p>
        </w:tc>
        <w:tc>
          <w:tcPr>
            <w:tcW w:w="209" w:type="pct"/>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Times New Roman"/>
                <w:color w:val="000000"/>
                <w:kern w:val="0"/>
                <w:sz w:val="20"/>
                <w:szCs w:val="20"/>
              </w:rPr>
            </w:pPr>
          </w:p>
        </w:tc>
        <w:tc>
          <w:tcPr>
            <w:tcW w:w="231" w:type="pct"/>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Times New Roman"/>
                <w:color w:val="000000"/>
                <w:kern w:val="0"/>
                <w:sz w:val="20"/>
                <w:szCs w:val="20"/>
              </w:rPr>
            </w:pPr>
          </w:p>
        </w:tc>
        <w:tc>
          <w:tcPr>
            <w:tcW w:w="293" w:type="pct"/>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Times New Roman"/>
                <w:color w:val="000000"/>
                <w:kern w:val="0"/>
                <w:sz w:val="20"/>
                <w:szCs w:val="20"/>
              </w:rPr>
            </w:pPr>
          </w:p>
        </w:tc>
      </w:tr>
      <w:tr>
        <w:trPr>
          <w:cantSplit/>
          <w:trHeight w:val="360"/>
        </w:trPr>
        <w:tc>
          <w:tcPr>
            <w:tcW w:w="595" w:type="pct"/>
            <w:tcBorders>
              <w:top w:val="nil"/>
              <w:left w:val="single" w:sz="4" w:space="0" w:color="auto"/>
              <w:bottom w:val="single" w:sz="4" w:space="0" w:color="auto"/>
              <w:right w:val="single" w:sz="4" w:space="0" w:color="auto"/>
            </w:tcBorders>
            <w:shd w:val="clear" w:color="auto" w:fill="auto"/>
            <w:noWrap/>
            <w:vAlign w:val="center"/>
          </w:tcPr>
          <w:p>
            <w:pPr>
              <w:widowControl/>
              <w:overflowPunct/>
              <w:spacing w:line="240" w:lineRule="auto"/>
              <w:ind w:firstLineChars="0" w:firstLine="0"/>
              <w:jc w:val="left"/>
              <w:rPr>
                <w:rFonts w:eastAsia="宋体" w:cs="宋体"/>
                <w:b/>
                <w:color w:val="000000"/>
                <w:kern w:val="0"/>
                <w:sz w:val="20"/>
                <w:szCs w:val="20"/>
              </w:rPr>
            </w:pPr>
            <w:r>
              <w:rPr>
                <w:rFonts w:eastAsia="宋体" w:cs="宋体" w:hint="eastAsia"/>
                <w:b/>
                <w:color w:val="000000"/>
                <w:kern w:val="0"/>
                <w:sz w:val="20"/>
                <w:szCs w:val="20"/>
              </w:rPr>
              <w:t>208</w:t>
            </w:r>
          </w:p>
        </w:tc>
        <w:tc>
          <w:tcPr>
            <w:tcW w:w="1742" w:type="pct"/>
            <w:tcBorders>
              <w:top w:val="nil"/>
              <w:left w:val="nil"/>
              <w:bottom w:val="single" w:sz="4" w:space="0" w:color="auto"/>
              <w:right w:val="single" w:sz="4" w:space="0" w:color="auto"/>
            </w:tcBorders>
            <w:shd w:val="clear" w:color="auto" w:fill="auto"/>
            <w:vAlign w:val="center"/>
          </w:tcPr>
          <w:p>
            <w:pPr>
              <w:widowControl/>
              <w:overflowPunct/>
              <w:spacing w:line="240" w:lineRule="auto"/>
              <w:ind w:firstLineChars="0" w:firstLine="0"/>
              <w:jc w:val="left"/>
              <w:rPr>
                <w:rFonts w:eastAsia="宋体" w:cs="宋体"/>
                <w:b/>
                <w:color w:val="000000"/>
                <w:kern w:val="0"/>
                <w:sz w:val="20"/>
                <w:szCs w:val="20"/>
              </w:rPr>
            </w:pPr>
            <w:r>
              <w:rPr>
                <w:rFonts w:eastAsia="宋体" w:cs="宋体" w:hint="eastAsia"/>
                <w:b/>
                <w:color w:val="000000"/>
                <w:kern w:val="0"/>
                <w:sz w:val="20"/>
                <w:szCs w:val="20"/>
              </w:rPr>
              <w:t>社会保障和就业支出</w:t>
            </w:r>
          </w:p>
        </w:tc>
        <w:tc>
          <w:tcPr>
            <w:tcW w:w="548" w:type="pct"/>
            <w:tcBorders>
              <w:top w:val="nil"/>
              <w:left w:val="nil"/>
              <w:bottom w:val="single" w:sz="4" w:space="0" w:color="auto"/>
              <w:right w:val="single" w:sz="4" w:space="0" w:color="auto"/>
            </w:tcBorders>
            <w:shd w:val="clear" w:color="auto" w:fill="auto"/>
            <w:noWrap/>
            <w:vAlign w:val="center"/>
          </w:tcPr>
          <w:p>
            <w:pPr>
              <w:overflowPunct/>
              <w:spacing w:line="240" w:lineRule="auto"/>
              <w:ind w:firstLineChars="0" w:firstLine="0"/>
              <w:jc w:val="right"/>
              <w:rPr>
                <w:rFonts w:cs="Calibri"/>
                <w:sz w:val="16"/>
                <w:szCs w:val="16"/>
              </w:rPr>
            </w:pPr>
            <w:r>
              <w:rPr>
                <w:rFonts w:cs="Calibri" w:hint="eastAsia"/>
                <w:sz w:val="16"/>
                <w:szCs w:val="16"/>
              </w:rPr>
              <w:t>11,779.23</w:t>
            </w:r>
          </w:p>
        </w:tc>
        <w:tc>
          <w:tcPr>
            <w:tcW w:w="698" w:type="pct"/>
            <w:tcBorders>
              <w:top w:val="nil"/>
              <w:left w:val="nil"/>
              <w:bottom w:val="single" w:sz="4" w:space="0" w:color="auto"/>
              <w:right w:val="single" w:sz="4" w:space="0" w:color="auto"/>
            </w:tcBorders>
            <w:shd w:val="clear" w:color="auto" w:fill="auto"/>
            <w:noWrap/>
            <w:vAlign w:val="center"/>
          </w:tcPr>
          <w:p>
            <w:pPr>
              <w:overflowPunct/>
              <w:spacing w:line="240" w:lineRule="auto"/>
              <w:ind w:firstLineChars="0" w:firstLine="0"/>
              <w:jc w:val="right"/>
              <w:rPr>
                <w:rFonts w:cs="Calibri"/>
                <w:sz w:val="16"/>
                <w:szCs w:val="16"/>
              </w:rPr>
            </w:pPr>
            <w:r>
              <w:rPr>
                <w:rFonts w:cs="Calibri" w:hint="eastAsia"/>
                <w:sz w:val="16"/>
                <w:szCs w:val="16"/>
              </w:rPr>
              <w:t>11,779.23</w:t>
            </w:r>
          </w:p>
        </w:tc>
        <w:tc>
          <w:tcPr>
            <w:tcW w:w="684" w:type="pct"/>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right"/>
              <w:rPr>
                <w:rFonts w:eastAsia="宋体" w:cs="Times New Roman"/>
                <w:b/>
                <w:color w:val="000000"/>
                <w:kern w:val="0"/>
                <w:sz w:val="20"/>
                <w:szCs w:val="20"/>
              </w:rPr>
            </w:pPr>
            <w:r>
              <w:rPr>
                <w:rFonts w:cs="Calibri" w:hint="eastAsia"/>
                <w:sz w:val="16"/>
                <w:szCs w:val="16"/>
              </w:rPr>
              <w:t>　</w:t>
            </w:r>
          </w:p>
        </w:tc>
        <w:tc>
          <w:tcPr>
            <w:tcW w:w="209" w:type="pct"/>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Times New Roman"/>
                <w:b/>
                <w:color w:val="000000"/>
                <w:kern w:val="0"/>
                <w:sz w:val="20"/>
                <w:szCs w:val="20"/>
              </w:rPr>
            </w:pPr>
          </w:p>
        </w:tc>
        <w:tc>
          <w:tcPr>
            <w:tcW w:w="231" w:type="pct"/>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Times New Roman"/>
                <w:b/>
                <w:color w:val="000000"/>
                <w:kern w:val="0"/>
                <w:sz w:val="20"/>
                <w:szCs w:val="20"/>
              </w:rPr>
            </w:pPr>
          </w:p>
        </w:tc>
        <w:tc>
          <w:tcPr>
            <w:tcW w:w="293" w:type="pct"/>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Times New Roman"/>
                <w:color w:val="000000"/>
                <w:kern w:val="0"/>
                <w:sz w:val="20"/>
                <w:szCs w:val="20"/>
              </w:rPr>
            </w:pPr>
          </w:p>
        </w:tc>
      </w:tr>
      <w:tr>
        <w:trPr>
          <w:cantSplit/>
          <w:trHeight w:val="360"/>
        </w:trPr>
        <w:tc>
          <w:tcPr>
            <w:tcW w:w="595" w:type="pct"/>
            <w:tcBorders>
              <w:top w:val="nil"/>
              <w:left w:val="single" w:sz="4" w:space="0" w:color="auto"/>
              <w:bottom w:val="single" w:sz="4" w:space="0" w:color="auto"/>
              <w:right w:val="single" w:sz="4" w:space="0" w:color="auto"/>
            </w:tcBorders>
            <w:shd w:val="clear" w:color="auto" w:fill="auto"/>
            <w:noWrap/>
            <w:vAlign w:val="center"/>
          </w:tcPr>
          <w:p>
            <w:pPr>
              <w:widowControl/>
              <w:overflowPunct/>
              <w:spacing w:line="240" w:lineRule="auto"/>
              <w:ind w:firstLineChars="0" w:firstLine="0"/>
              <w:jc w:val="left"/>
              <w:rPr>
                <w:rFonts w:eastAsia="宋体" w:cs="宋体"/>
                <w:b/>
                <w:color w:val="000000"/>
                <w:kern w:val="0"/>
                <w:sz w:val="20"/>
                <w:szCs w:val="20"/>
              </w:rPr>
            </w:pPr>
            <w:r>
              <w:rPr>
                <w:rFonts w:eastAsia="宋体" w:cs="宋体" w:hint="eastAsia"/>
                <w:b/>
                <w:color w:val="000000"/>
                <w:kern w:val="0"/>
                <w:sz w:val="20"/>
                <w:szCs w:val="20"/>
              </w:rPr>
              <w:t>20805</w:t>
            </w:r>
          </w:p>
        </w:tc>
        <w:tc>
          <w:tcPr>
            <w:tcW w:w="1742" w:type="pct"/>
            <w:tcBorders>
              <w:top w:val="nil"/>
              <w:left w:val="nil"/>
              <w:bottom w:val="single" w:sz="4" w:space="0" w:color="auto"/>
              <w:right w:val="single" w:sz="4" w:space="0" w:color="auto"/>
            </w:tcBorders>
            <w:shd w:val="clear" w:color="auto" w:fill="auto"/>
            <w:vAlign w:val="center"/>
          </w:tcPr>
          <w:p>
            <w:pPr>
              <w:widowControl/>
              <w:overflowPunct/>
              <w:spacing w:line="240" w:lineRule="auto"/>
              <w:ind w:firstLineChars="0" w:firstLine="0"/>
              <w:jc w:val="left"/>
              <w:rPr>
                <w:rFonts w:eastAsia="宋体" w:cs="宋体"/>
                <w:b/>
                <w:color w:val="000000"/>
                <w:kern w:val="0"/>
                <w:sz w:val="20"/>
                <w:szCs w:val="20"/>
              </w:rPr>
            </w:pPr>
            <w:r>
              <w:rPr>
                <w:rFonts w:eastAsia="宋体" w:cs="宋体" w:hint="eastAsia"/>
                <w:b/>
                <w:color w:val="000000"/>
                <w:kern w:val="0"/>
                <w:sz w:val="20"/>
                <w:szCs w:val="20"/>
              </w:rPr>
              <w:t>行政事业单位养老支出</w:t>
            </w:r>
          </w:p>
        </w:tc>
        <w:tc>
          <w:tcPr>
            <w:tcW w:w="548" w:type="pct"/>
            <w:tcBorders>
              <w:top w:val="nil"/>
              <w:left w:val="nil"/>
              <w:bottom w:val="single" w:sz="4" w:space="0" w:color="auto"/>
              <w:right w:val="single" w:sz="4" w:space="0" w:color="auto"/>
            </w:tcBorders>
            <w:shd w:val="clear" w:color="auto" w:fill="auto"/>
            <w:noWrap/>
            <w:vAlign w:val="center"/>
          </w:tcPr>
          <w:p>
            <w:pPr>
              <w:overflowPunct/>
              <w:spacing w:line="240" w:lineRule="auto"/>
              <w:ind w:firstLineChars="0" w:firstLine="0"/>
              <w:jc w:val="right"/>
              <w:rPr>
                <w:rFonts w:cs="Calibri"/>
                <w:sz w:val="16"/>
                <w:szCs w:val="16"/>
              </w:rPr>
            </w:pPr>
            <w:r>
              <w:rPr>
                <w:rFonts w:cs="Calibri" w:hint="eastAsia"/>
                <w:sz w:val="16"/>
                <w:szCs w:val="16"/>
              </w:rPr>
              <w:t>11,779.23</w:t>
            </w:r>
          </w:p>
        </w:tc>
        <w:tc>
          <w:tcPr>
            <w:tcW w:w="698" w:type="pct"/>
            <w:tcBorders>
              <w:top w:val="nil"/>
              <w:left w:val="nil"/>
              <w:bottom w:val="single" w:sz="4" w:space="0" w:color="auto"/>
              <w:right w:val="single" w:sz="4" w:space="0" w:color="auto"/>
            </w:tcBorders>
            <w:shd w:val="clear" w:color="auto" w:fill="auto"/>
            <w:noWrap/>
            <w:vAlign w:val="center"/>
          </w:tcPr>
          <w:p>
            <w:pPr>
              <w:overflowPunct/>
              <w:spacing w:line="240" w:lineRule="auto"/>
              <w:ind w:firstLineChars="0" w:firstLine="0"/>
              <w:jc w:val="right"/>
              <w:rPr>
                <w:rFonts w:cs="Calibri"/>
                <w:sz w:val="16"/>
                <w:szCs w:val="16"/>
              </w:rPr>
            </w:pPr>
            <w:r>
              <w:rPr>
                <w:rFonts w:cs="Calibri" w:hint="eastAsia"/>
                <w:sz w:val="16"/>
                <w:szCs w:val="16"/>
              </w:rPr>
              <w:t>11,779.23</w:t>
            </w:r>
          </w:p>
        </w:tc>
        <w:tc>
          <w:tcPr>
            <w:tcW w:w="684" w:type="pct"/>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right"/>
              <w:rPr>
                <w:rFonts w:eastAsia="宋体" w:cs="Times New Roman"/>
                <w:b/>
                <w:color w:val="000000"/>
                <w:kern w:val="0"/>
                <w:sz w:val="20"/>
                <w:szCs w:val="20"/>
              </w:rPr>
            </w:pPr>
            <w:r>
              <w:rPr>
                <w:rFonts w:cs="Calibri" w:hint="eastAsia"/>
                <w:sz w:val="16"/>
                <w:szCs w:val="16"/>
              </w:rPr>
              <w:t>　</w:t>
            </w:r>
          </w:p>
        </w:tc>
        <w:tc>
          <w:tcPr>
            <w:tcW w:w="209" w:type="pct"/>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Times New Roman"/>
                <w:b/>
                <w:color w:val="000000"/>
                <w:kern w:val="0"/>
                <w:sz w:val="20"/>
                <w:szCs w:val="20"/>
              </w:rPr>
            </w:pPr>
          </w:p>
        </w:tc>
        <w:tc>
          <w:tcPr>
            <w:tcW w:w="231" w:type="pct"/>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Times New Roman"/>
                <w:b/>
                <w:color w:val="000000"/>
                <w:kern w:val="0"/>
                <w:sz w:val="20"/>
                <w:szCs w:val="20"/>
              </w:rPr>
            </w:pPr>
          </w:p>
        </w:tc>
        <w:tc>
          <w:tcPr>
            <w:tcW w:w="293" w:type="pct"/>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Times New Roman"/>
                <w:color w:val="000000"/>
                <w:kern w:val="0"/>
                <w:sz w:val="20"/>
                <w:szCs w:val="20"/>
              </w:rPr>
            </w:pPr>
          </w:p>
        </w:tc>
      </w:tr>
      <w:tr>
        <w:trPr>
          <w:cantSplit/>
          <w:trHeight w:val="360"/>
        </w:trPr>
        <w:tc>
          <w:tcPr>
            <w:tcW w:w="595" w:type="pct"/>
            <w:tcBorders>
              <w:top w:val="nil"/>
              <w:left w:val="single" w:sz="4" w:space="0" w:color="auto"/>
              <w:bottom w:val="single" w:sz="4" w:space="0" w:color="auto"/>
              <w:right w:val="single" w:sz="4" w:space="0" w:color="auto"/>
            </w:tcBorders>
            <w:shd w:val="clear" w:color="auto" w:fill="auto"/>
            <w:noWrap/>
            <w:vAlign w:val="center"/>
          </w:tcPr>
          <w:p>
            <w:pPr>
              <w:widowControl/>
              <w:overflowPunct/>
              <w:spacing w:line="240" w:lineRule="auto"/>
              <w:ind w:firstLineChars="0" w:firstLine="0"/>
              <w:jc w:val="left"/>
              <w:rPr>
                <w:rFonts w:eastAsia="宋体" w:cs="宋体"/>
                <w:color w:val="000000"/>
                <w:kern w:val="0"/>
                <w:sz w:val="20"/>
                <w:szCs w:val="20"/>
              </w:rPr>
            </w:pPr>
            <w:r>
              <w:rPr>
                <w:rFonts w:eastAsia="宋体" w:cs="宋体" w:hint="eastAsia"/>
                <w:color w:val="000000"/>
                <w:kern w:val="0"/>
                <w:sz w:val="20"/>
                <w:szCs w:val="20"/>
              </w:rPr>
              <w:t>2080501</w:t>
            </w:r>
          </w:p>
        </w:tc>
        <w:tc>
          <w:tcPr>
            <w:tcW w:w="1742" w:type="pct"/>
            <w:tcBorders>
              <w:top w:val="nil"/>
              <w:left w:val="nil"/>
              <w:bottom w:val="single" w:sz="4" w:space="0" w:color="auto"/>
              <w:right w:val="single" w:sz="4" w:space="0" w:color="auto"/>
            </w:tcBorders>
            <w:shd w:val="clear" w:color="auto" w:fill="auto"/>
            <w:vAlign w:val="center"/>
          </w:tcPr>
          <w:p>
            <w:pPr>
              <w:widowControl/>
              <w:overflowPunct/>
              <w:spacing w:line="240" w:lineRule="auto"/>
              <w:ind w:firstLineChars="0" w:firstLine="0"/>
              <w:jc w:val="left"/>
              <w:rPr>
                <w:rFonts w:eastAsia="宋体" w:cs="宋体"/>
                <w:color w:val="000000"/>
                <w:kern w:val="0"/>
                <w:sz w:val="20"/>
                <w:szCs w:val="20"/>
              </w:rPr>
            </w:pPr>
            <w:r>
              <w:rPr>
                <w:rFonts w:eastAsia="宋体" w:cs="宋体" w:hint="eastAsia"/>
                <w:color w:val="000000"/>
                <w:kern w:val="0"/>
                <w:sz w:val="20"/>
                <w:szCs w:val="20"/>
              </w:rPr>
              <w:t>行政单位离退休</w:t>
            </w:r>
          </w:p>
        </w:tc>
        <w:tc>
          <w:tcPr>
            <w:tcW w:w="548" w:type="pct"/>
            <w:tcBorders>
              <w:top w:val="nil"/>
              <w:left w:val="nil"/>
              <w:bottom w:val="single" w:sz="4" w:space="0" w:color="auto"/>
              <w:right w:val="single" w:sz="4" w:space="0" w:color="auto"/>
            </w:tcBorders>
            <w:shd w:val="clear" w:color="auto" w:fill="auto"/>
            <w:noWrap/>
            <w:vAlign w:val="center"/>
          </w:tcPr>
          <w:p>
            <w:pPr>
              <w:overflowPunct/>
              <w:spacing w:line="240" w:lineRule="auto"/>
              <w:ind w:firstLineChars="0" w:firstLine="0"/>
              <w:jc w:val="right"/>
              <w:rPr>
                <w:rFonts w:cs="Calibri"/>
                <w:sz w:val="16"/>
                <w:szCs w:val="16"/>
              </w:rPr>
            </w:pPr>
            <w:r>
              <w:rPr>
                <w:rFonts w:cs="Calibri" w:hint="eastAsia"/>
                <w:sz w:val="16"/>
                <w:szCs w:val="16"/>
              </w:rPr>
              <w:t>2,367.50</w:t>
            </w:r>
          </w:p>
        </w:tc>
        <w:tc>
          <w:tcPr>
            <w:tcW w:w="698" w:type="pct"/>
            <w:tcBorders>
              <w:top w:val="nil"/>
              <w:left w:val="nil"/>
              <w:bottom w:val="single" w:sz="4" w:space="0" w:color="auto"/>
              <w:right w:val="single" w:sz="4" w:space="0" w:color="auto"/>
            </w:tcBorders>
            <w:shd w:val="clear" w:color="auto" w:fill="auto"/>
            <w:noWrap/>
            <w:vAlign w:val="center"/>
          </w:tcPr>
          <w:p>
            <w:pPr>
              <w:overflowPunct/>
              <w:spacing w:line="240" w:lineRule="auto"/>
              <w:ind w:firstLineChars="0" w:firstLine="0"/>
              <w:jc w:val="right"/>
              <w:rPr>
                <w:rFonts w:cs="Calibri"/>
                <w:sz w:val="16"/>
                <w:szCs w:val="16"/>
              </w:rPr>
            </w:pPr>
            <w:r>
              <w:rPr>
                <w:rFonts w:cs="Calibri" w:hint="eastAsia"/>
                <w:sz w:val="16"/>
                <w:szCs w:val="16"/>
              </w:rPr>
              <w:t>2,367.50</w:t>
            </w:r>
          </w:p>
        </w:tc>
        <w:tc>
          <w:tcPr>
            <w:tcW w:w="684" w:type="pct"/>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right"/>
              <w:rPr>
                <w:rFonts w:eastAsia="宋体" w:cs="Times New Roman"/>
                <w:color w:val="000000"/>
                <w:kern w:val="0"/>
                <w:sz w:val="20"/>
                <w:szCs w:val="20"/>
              </w:rPr>
            </w:pPr>
            <w:r>
              <w:rPr>
                <w:rFonts w:cs="Calibri" w:hint="eastAsia"/>
                <w:sz w:val="16"/>
                <w:szCs w:val="16"/>
              </w:rPr>
              <w:t>　</w:t>
            </w:r>
          </w:p>
        </w:tc>
        <w:tc>
          <w:tcPr>
            <w:tcW w:w="209" w:type="pct"/>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Times New Roman"/>
                <w:color w:val="000000"/>
                <w:kern w:val="0"/>
                <w:sz w:val="20"/>
                <w:szCs w:val="20"/>
              </w:rPr>
            </w:pPr>
          </w:p>
        </w:tc>
        <w:tc>
          <w:tcPr>
            <w:tcW w:w="231" w:type="pct"/>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Times New Roman"/>
                <w:color w:val="000000"/>
                <w:kern w:val="0"/>
                <w:sz w:val="20"/>
                <w:szCs w:val="20"/>
              </w:rPr>
            </w:pPr>
          </w:p>
        </w:tc>
        <w:tc>
          <w:tcPr>
            <w:tcW w:w="293" w:type="pct"/>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Times New Roman"/>
                <w:color w:val="000000"/>
                <w:kern w:val="0"/>
                <w:sz w:val="20"/>
                <w:szCs w:val="20"/>
              </w:rPr>
            </w:pPr>
          </w:p>
        </w:tc>
      </w:tr>
      <w:tr>
        <w:trPr>
          <w:cantSplit/>
          <w:trHeight w:val="360"/>
        </w:trPr>
        <w:tc>
          <w:tcPr>
            <w:tcW w:w="595" w:type="pct"/>
            <w:tcBorders>
              <w:top w:val="nil"/>
              <w:left w:val="single" w:sz="4" w:space="0" w:color="auto"/>
              <w:bottom w:val="single" w:sz="4" w:space="0" w:color="auto"/>
              <w:right w:val="single" w:sz="4" w:space="0" w:color="auto"/>
            </w:tcBorders>
            <w:shd w:val="clear" w:color="auto" w:fill="auto"/>
            <w:noWrap/>
            <w:vAlign w:val="center"/>
          </w:tcPr>
          <w:p>
            <w:pPr>
              <w:widowControl/>
              <w:overflowPunct/>
              <w:spacing w:line="240" w:lineRule="auto"/>
              <w:ind w:firstLineChars="0" w:firstLine="0"/>
              <w:jc w:val="left"/>
              <w:rPr>
                <w:rFonts w:eastAsia="宋体" w:cs="宋体"/>
                <w:color w:val="000000"/>
                <w:kern w:val="0"/>
                <w:sz w:val="20"/>
                <w:szCs w:val="20"/>
              </w:rPr>
            </w:pPr>
            <w:r>
              <w:rPr>
                <w:rFonts w:eastAsia="宋体" w:cs="宋体" w:hint="eastAsia"/>
                <w:color w:val="000000"/>
                <w:kern w:val="0"/>
                <w:sz w:val="20"/>
                <w:szCs w:val="20"/>
              </w:rPr>
              <w:t>2080502</w:t>
            </w:r>
          </w:p>
        </w:tc>
        <w:tc>
          <w:tcPr>
            <w:tcW w:w="1742" w:type="pct"/>
            <w:tcBorders>
              <w:top w:val="nil"/>
              <w:left w:val="nil"/>
              <w:bottom w:val="single" w:sz="4" w:space="0" w:color="auto"/>
              <w:right w:val="single" w:sz="4" w:space="0" w:color="auto"/>
            </w:tcBorders>
            <w:shd w:val="clear" w:color="auto" w:fill="auto"/>
            <w:vAlign w:val="center"/>
          </w:tcPr>
          <w:p>
            <w:pPr>
              <w:widowControl/>
              <w:overflowPunct/>
              <w:spacing w:line="240" w:lineRule="auto"/>
              <w:ind w:firstLineChars="0" w:firstLine="0"/>
              <w:jc w:val="left"/>
              <w:rPr>
                <w:rFonts w:eastAsia="宋体" w:cs="宋体"/>
                <w:color w:val="000000"/>
                <w:kern w:val="0"/>
                <w:sz w:val="20"/>
                <w:szCs w:val="20"/>
              </w:rPr>
            </w:pPr>
            <w:r>
              <w:rPr>
                <w:rFonts w:eastAsia="宋体" w:cs="宋体" w:hint="eastAsia"/>
                <w:color w:val="000000"/>
                <w:kern w:val="0"/>
                <w:sz w:val="20"/>
                <w:szCs w:val="20"/>
              </w:rPr>
              <w:t>事业单位离退休</w:t>
            </w:r>
          </w:p>
        </w:tc>
        <w:tc>
          <w:tcPr>
            <w:tcW w:w="548" w:type="pct"/>
            <w:tcBorders>
              <w:top w:val="nil"/>
              <w:left w:val="nil"/>
              <w:bottom w:val="single" w:sz="4" w:space="0" w:color="auto"/>
              <w:right w:val="single" w:sz="4" w:space="0" w:color="auto"/>
            </w:tcBorders>
            <w:shd w:val="clear" w:color="auto" w:fill="auto"/>
            <w:noWrap/>
            <w:vAlign w:val="center"/>
          </w:tcPr>
          <w:p>
            <w:pPr>
              <w:overflowPunct/>
              <w:spacing w:line="240" w:lineRule="auto"/>
              <w:ind w:firstLineChars="0" w:firstLine="0"/>
              <w:jc w:val="right"/>
              <w:rPr>
                <w:rFonts w:cs="Calibri"/>
                <w:sz w:val="16"/>
                <w:szCs w:val="16"/>
              </w:rPr>
            </w:pPr>
            <w:r>
              <w:rPr>
                <w:rFonts w:cs="Calibri" w:hint="eastAsia"/>
                <w:sz w:val="16"/>
                <w:szCs w:val="16"/>
              </w:rPr>
              <w:t>270.42</w:t>
            </w:r>
          </w:p>
        </w:tc>
        <w:tc>
          <w:tcPr>
            <w:tcW w:w="698" w:type="pct"/>
            <w:tcBorders>
              <w:top w:val="nil"/>
              <w:left w:val="nil"/>
              <w:bottom w:val="single" w:sz="4" w:space="0" w:color="auto"/>
              <w:right w:val="single" w:sz="4" w:space="0" w:color="auto"/>
            </w:tcBorders>
            <w:shd w:val="clear" w:color="auto" w:fill="auto"/>
            <w:noWrap/>
            <w:vAlign w:val="center"/>
          </w:tcPr>
          <w:p>
            <w:pPr>
              <w:overflowPunct/>
              <w:spacing w:line="240" w:lineRule="auto"/>
              <w:ind w:firstLineChars="0" w:firstLine="0"/>
              <w:jc w:val="right"/>
              <w:rPr>
                <w:rFonts w:cs="Calibri"/>
                <w:sz w:val="16"/>
                <w:szCs w:val="16"/>
              </w:rPr>
            </w:pPr>
            <w:r>
              <w:rPr>
                <w:rFonts w:cs="Calibri" w:hint="eastAsia"/>
                <w:sz w:val="16"/>
                <w:szCs w:val="16"/>
              </w:rPr>
              <w:t>270.42</w:t>
            </w:r>
          </w:p>
        </w:tc>
        <w:tc>
          <w:tcPr>
            <w:tcW w:w="684" w:type="pct"/>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right"/>
              <w:rPr>
                <w:rFonts w:eastAsia="宋体" w:cs="Times New Roman"/>
                <w:color w:val="000000"/>
                <w:kern w:val="0"/>
                <w:sz w:val="20"/>
                <w:szCs w:val="20"/>
              </w:rPr>
            </w:pPr>
            <w:r>
              <w:rPr>
                <w:rFonts w:cs="Calibri" w:hint="eastAsia"/>
                <w:sz w:val="16"/>
                <w:szCs w:val="16"/>
              </w:rPr>
              <w:t>　</w:t>
            </w:r>
          </w:p>
        </w:tc>
        <w:tc>
          <w:tcPr>
            <w:tcW w:w="209" w:type="pct"/>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Times New Roman"/>
                <w:color w:val="000000"/>
                <w:kern w:val="0"/>
                <w:sz w:val="20"/>
                <w:szCs w:val="20"/>
              </w:rPr>
            </w:pPr>
          </w:p>
        </w:tc>
        <w:tc>
          <w:tcPr>
            <w:tcW w:w="231" w:type="pct"/>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Times New Roman"/>
                <w:color w:val="000000"/>
                <w:kern w:val="0"/>
                <w:sz w:val="20"/>
                <w:szCs w:val="20"/>
              </w:rPr>
            </w:pPr>
          </w:p>
        </w:tc>
        <w:tc>
          <w:tcPr>
            <w:tcW w:w="293" w:type="pct"/>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Times New Roman"/>
                <w:color w:val="000000"/>
                <w:kern w:val="0"/>
                <w:sz w:val="20"/>
                <w:szCs w:val="20"/>
              </w:rPr>
            </w:pPr>
          </w:p>
        </w:tc>
      </w:tr>
      <w:tr>
        <w:trPr>
          <w:trHeight w:val="360"/>
        </w:trPr>
        <w:tc>
          <w:tcPr>
            <w:tcW w:w="595" w:type="pct"/>
            <w:tcBorders>
              <w:top w:val="nil"/>
              <w:left w:val="single" w:sz="4" w:space="0" w:color="auto"/>
              <w:bottom w:val="single" w:sz="4" w:space="0" w:color="auto"/>
              <w:right w:val="single" w:sz="4" w:space="0" w:color="auto"/>
            </w:tcBorders>
            <w:shd w:val="clear" w:color="auto" w:fill="auto"/>
            <w:noWrap/>
            <w:vAlign w:val="center"/>
          </w:tcPr>
          <w:p>
            <w:pPr>
              <w:widowControl/>
              <w:overflowPunct/>
              <w:spacing w:line="240" w:lineRule="auto"/>
              <w:ind w:firstLineChars="0" w:firstLine="0"/>
              <w:jc w:val="left"/>
              <w:rPr>
                <w:rFonts w:eastAsia="宋体" w:cs="宋体"/>
                <w:color w:val="000000"/>
                <w:kern w:val="0"/>
                <w:sz w:val="20"/>
                <w:szCs w:val="20"/>
              </w:rPr>
            </w:pPr>
            <w:r>
              <w:rPr>
                <w:rFonts w:eastAsia="宋体" w:cs="宋体" w:hint="eastAsia"/>
                <w:color w:val="000000"/>
                <w:kern w:val="0"/>
                <w:sz w:val="20"/>
                <w:szCs w:val="20"/>
              </w:rPr>
              <w:t>2080505</w:t>
            </w:r>
          </w:p>
        </w:tc>
        <w:tc>
          <w:tcPr>
            <w:tcW w:w="1742" w:type="pct"/>
            <w:tcBorders>
              <w:top w:val="nil"/>
              <w:left w:val="nil"/>
              <w:bottom w:val="single" w:sz="4" w:space="0" w:color="auto"/>
              <w:right w:val="single" w:sz="4" w:space="0" w:color="auto"/>
            </w:tcBorders>
            <w:shd w:val="clear" w:color="auto" w:fill="auto"/>
            <w:vAlign w:val="center"/>
          </w:tcPr>
          <w:p>
            <w:pPr>
              <w:widowControl/>
              <w:overflowPunct/>
              <w:spacing w:line="240" w:lineRule="auto"/>
              <w:ind w:firstLineChars="0" w:firstLine="0"/>
              <w:jc w:val="left"/>
              <w:rPr>
                <w:rFonts w:eastAsia="宋体" w:cs="宋体"/>
                <w:color w:val="000000"/>
                <w:kern w:val="0"/>
                <w:sz w:val="20"/>
                <w:szCs w:val="20"/>
              </w:rPr>
            </w:pPr>
            <w:r>
              <w:rPr>
                <w:rFonts w:eastAsia="宋体" w:cs="宋体" w:hint="eastAsia"/>
                <w:color w:val="000000"/>
                <w:kern w:val="0"/>
                <w:sz w:val="20"/>
                <w:szCs w:val="20"/>
              </w:rPr>
              <w:t>机关事业单位基本养老保险缴费支出</w:t>
            </w:r>
          </w:p>
        </w:tc>
        <w:tc>
          <w:tcPr>
            <w:tcW w:w="548" w:type="pct"/>
            <w:tcBorders>
              <w:top w:val="nil"/>
              <w:left w:val="nil"/>
              <w:bottom w:val="single" w:sz="4" w:space="0" w:color="auto"/>
              <w:right w:val="single" w:sz="4" w:space="0" w:color="auto"/>
            </w:tcBorders>
            <w:shd w:val="clear" w:color="auto" w:fill="auto"/>
            <w:noWrap/>
            <w:vAlign w:val="center"/>
          </w:tcPr>
          <w:p>
            <w:pPr>
              <w:overflowPunct/>
              <w:spacing w:line="240" w:lineRule="auto"/>
              <w:ind w:firstLineChars="0" w:firstLine="0"/>
              <w:jc w:val="right"/>
              <w:rPr>
                <w:rFonts w:cs="Calibri"/>
                <w:sz w:val="16"/>
                <w:szCs w:val="16"/>
              </w:rPr>
            </w:pPr>
            <w:r>
              <w:rPr>
                <w:rFonts w:cs="Calibri" w:hint="eastAsia"/>
                <w:sz w:val="16"/>
                <w:szCs w:val="16"/>
              </w:rPr>
              <w:t>6,072.17</w:t>
            </w:r>
          </w:p>
        </w:tc>
        <w:tc>
          <w:tcPr>
            <w:tcW w:w="698" w:type="pct"/>
            <w:tcBorders>
              <w:top w:val="nil"/>
              <w:left w:val="nil"/>
              <w:bottom w:val="single" w:sz="4" w:space="0" w:color="auto"/>
              <w:right w:val="single" w:sz="4" w:space="0" w:color="auto"/>
            </w:tcBorders>
            <w:shd w:val="clear" w:color="auto" w:fill="auto"/>
            <w:noWrap/>
            <w:vAlign w:val="center"/>
          </w:tcPr>
          <w:p>
            <w:pPr>
              <w:overflowPunct/>
              <w:spacing w:line="240" w:lineRule="auto"/>
              <w:ind w:firstLineChars="0" w:firstLine="0"/>
              <w:jc w:val="right"/>
              <w:rPr>
                <w:rFonts w:cs="Calibri"/>
                <w:sz w:val="16"/>
                <w:szCs w:val="16"/>
              </w:rPr>
            </w:pPr>
            <w:r>
              <w:rPr>
                <w:rFonts w:cs="Calibri" w:hint="eastAsia"/>
                <w:sz w:val="16"/>
                <w:szCs w:val="16"/>
              </w:rPr>
              <w:t>6,072.17</w:t>
            </w:r>
          </w:p>
        </w:tc>
        <w:tc>
          <w:tcPr>
            <w:tcW w:w="684" w:type="pct"/>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right"/>
              <w:rPr>
                <w:rFonts w:eastAsia="宋体" w:cs="Times New Roman"/>
                <w:color w:val="000000"/>
                <w:kern w:val="0"/>
                <w:sz w:val="20"/>
                <w:szCs w:val="20"/>
              </w:rPr>
            </w:pPr>
            <w:r>
              <w:rPr>
                <w:rFonts w:cs="Calibri" w:hint="eastAsia"/>
                <w:sz w:val="16"/>
                <w:szCs w:val="16"/>
              </w:rPr>
              <w:t>　</w:t>
            </w:r>
          </w:p>
        </w:tc>
        <w:tc>
          <w:tcPr>
            <w:tcW w:w="209" w:type="pct"/>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Times New Roman"/>
                <w:color w:val="000000"/>
                <w:kern w:val="0"/>
                <w:sz w:val="20"/>
                <w:szCs w:val="20"/>
              </w:rPr>
            </w:pPr>
          </w:p>
        </w:tc>
        <w:tc>
          <w:tcPr>
            <w:tcW w:w="231" w:type="pct"/>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Times New Roman"/>
                <w:color w:val="000000"/>
                <w:kern w:val="0"/>
                <w:sz w:val="20"/>
                <w:szCs w:val="20"/>
              </w:rPr>
            </w:pPr>
          </w:p>
        </w:tc>
        <w:tc>
          <w:tcPr>
            <w:tcW w:w="293" w:type="pct"/>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Times New Roman"/>
                <w:color w:val="000000"/>
                <w:kern w:val="0"/>
                <w:sz w:val="20"/>
                <w:szCs w:val="20"/>
              </w:rPr>
            </w:pPr>
          </w:p>
        </w:tc>
      </w:tr>
      <w:tr>
        <w:trPr>
          <w:cantSplit/>
          <w:trHeight w:val="360"/>
        </w:trPr>
        <w:tc>
          <w:tcPr>
            <w:tcW w:w="595" w:type="pct"/>
            <w:tcBorders>
              <w:top w:val="nil"/>
              <w:left w:val="single" w:sz="4" w:space="0" w:color="auto"/>
              <w:bottom w:val="single" w:sz="4" w:space="0" w:color="auto"/>
              <w:right w:val="single" w:sz="4" w:space="0" w:color="auto"/>
            </w:tcBorders>
            <w:shd w:val="clear" w:color="auto" w:fill="auto"/>
            <w:noWrap/>
            <w:vAlign w:val="center"/>
          </w:tcPr>
          <w:p>
            <w:pPr>
              <w:widowControl/>
              <w:overflowPunct/>
              <w:spacing w:line="240" w:lineRule="auto"/>
              <w:ind w:firstLineChars="0" w:firstLine="0"/>
              <w:jc w:val="left"/>
              <w:rPr>
                <w:rFonts w:eastAsia="宋体" w:cs="宋体"/>
                <w:color w:val="000000"/>
                <w:kern w:val="0"/>
                <w:sz w:val="20"/>
                <w:szCs w:val="20"/>
              </w:rPr>
            </w:pPr>
            <w:r>
              <w:rPr>
                <w:rFonts w:eastAsia="宋体" w:cs="宋体" w:hint="eastAsia"/>
                <w:color w:val="000000"/>
                <w:kern w:val="0"/>
                <w:sz w:val="20"/>
                <w:szCs w:val="20"/>
              </w:rPr>
              <w:t>2080506</w:t>
            </w:r>
          </w:p>
        </w:tc>
        <w:tc>
          <w:tcPr>
            <w:tcW w:w="1742" w:type="pct"/>
            <w:tcBorders>
              <w:top w:val="nil"/>
              <w:left w:val="nil"/>
              <w:bottom w:val="single" w:sz="4" w:space="0" w:color="auto"/>
              <w:right w:val="single" w:sz="4" w:space="0" w:color="auto"/>
            </w:tcBorders>
            <w:shd w:val="clear" w:color="auto" w:fill="auto"/>
            <w:vAlign w:val="center"/>
          </w:tcPr>
          <w:p>
            <w:pPr>
              <w:widowControl/>
              <w:overflowPunct/>
              <w:spacing w:line="240" w:lineRule="auto"/>
              <w:ind w:firstLineChars="0" w:firstLine="0"/>
              <w:jc w:val="left"/>
              <w:rPr>
                <w:rFonts w:eastAsia="宋体" w:cs="宋体"/>
                <w:color w:val="000000"/>
                <w:kern w:val="0"/>
                <w:sz w:val="20"/>
                <w:szCs w:val="20"/>
              </w:rPr>
            </w:pPr>
            <w:r>
              <w:rPr>
                <w:rFonts w:eastAsia="宋体" w:cs="宋体" w:hint="eastAsia"/>
                <w:color w:val="000000"/>
                <w:kern w:val="0"/>
                <w:sz w:val="20"/>
                <w:szCs w:val="20"/>
              </w:rPr>
              <w:t>机关事业单位职业年金缴费支出</w:t>
            </w:r>
          </w:p>
        </w:tc>
        <w:tc>
          <w:tcPr>
            <w:tcW w:w="548" w:type="pct"/>
            <w:tcBorders>
              <w:top w:val="nil"/>
              <w:left w:val="nil"/>
              <w:bottom w:val="single" w:sz="4" w:space="0" w:color="auto"/>
              <w:right w:val="single" w:sz="4" w:space="0" w:color="auto"/>
            </w:tcBorders>
            <w:shd w:val="clear" w:color="auto" w:fill="auto"/>
            <w:noWrap/>
            <w:vAlign w:val="center"/>
          </w:tcPr>
          <w:p>
            <w:pPr>
              <w:overflowPunct/>
              <w:spacing w:line="240" w:lineRule="auto"/>
              <w:ind w:firstLineChars="0" w:firstLine="0"/>
              <w:jc w:val="right"/>
              <w:rPr>
                <w:rFonts w:cs="Calibri"/>
                <w:sz w:val="16"/>
                <w:szCs w:val="16"/>
              </w:rPr>
            </w:pPr>
            <w:r>
              <w:rPr>
                <w:rFonts w:cs="Calibri" w:hint="eastAsia"/>
                <w:sz w:val="16"/>
                <w:szCs w:val="16"/>
              </w:rPr>
              <w:t>3,069.14</w:t>
            </w:r>
          </w:p>
        </w:tc>
        <w:tc>
          <w:tcPr>
            <w:tcW w:w="698" w:type="pct"/>
            <w:tcBorders>
              <w:top w:val="nil"/>
              <w:left w:val="nil"/>
              <w:bottom w:val="single" w:sz="4" w:space="0" w:color="auto"/>
              <w:right w:val="single" w:sz="4" w:space="0" w:color="auto"/>
            </w:tcBorders>
            <w:shd w:val="clear" w:color="auto" w:fill="auto"/>
            <w:noWrap/>
            <w:vAlign w:val="center"/>
          </w:tcPr>
          <w:p>
            <w:pPr>
              <w:overflowPunct/>
              <w:spacing w:line="240" w:lineRule="auto"/>
              <w:ind w:firstLineChars="0" w:firstLine="0"/>
              <w:jc w:val="right"/>
              <w:rPr>
                <w:rFonts w:cs="Calibri"/>
                <w:sz w:val="16"/>
                <w:szCs w:val="16"/>
              </w:rPr>
            </w:pPr>
            <w:r>
              <w:rPr>
                <w:rFonts w:cs="Calibri" w:hint="eastAsia"/>
                <w:sz w:val="16"/>
                <w:szCs w:val="16"/>
              </w:rPr>
              <w:t>3,069.14</w:t>
            </w:r>
          </w:p>
        </w:tc>
        <w:tc>
          <w:tcPr>
            <w:tcW w:w="684" w:type="pct"/>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right"/>
              <w:rPr>
                <w:rFonts w:eastAsia="宋体" w:cs="Times New Roman"/>
                <w:color w:val="000000"/>
                <w:kern w:val="0"/>
                <w:sz w:val="20"/>
                <w:szCs w:val="20"/>
              </w:rPr>
            </w:pPr>
            <w:r>
              <w:rPr>
                <w:rFonts w:cs="Calibri" w:hint="eastAsia"/>
                <w:sz w:val="16"/>
                <w:szCs w:val="16"/>
              </w:rPr>
              <w:t>　</w:t>
            </w:r>
          </w:p>
        </w:tc>
        <w:tc>
          <w:tcPr>
            <w:tcW w:w="209" w:type="pct"/>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Times New Roman"/>
                <w:color w:val="000000"/>
                <w:kern w:val="0"/>
                <w:sz w:val="20"/>
                <w:szCs w:val="20"/>
              </w:rPr>
            </w:pPr>
          </w:p>
        </w:tc>
        <w:tc>
          <w:tcPr>
            <w:tcW w:w="231" w:type="pct"/>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Times New Roman"/>
                <w:color w:val="000000"/>
                <w:kern w:val="0"/>
                <w:sz w:val="20"/>
                <w:szCs w:val="20"/>
              </w:rPr>
            </w:pPr>
          </w:p>
        </w:tc>
        <w:tc>
          <w:tcPr>
            <w:tcW w:w="293" w:type="pct"/>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Times New Roman"/>
                <w:color w:val="000000"/>
                <w:kern w:val="0"/>
                <w:sz w:val="20"/>
                <w:szCs w:val="20"/>
              </w:rPr>
            </w:pPr>
          </w:p>
        </w:tc>
      </w:tr>
      <w:tr>
        <w:trPr>
          <w:cantSplit/>
          <w:trHeight w:val="360"/>
        </w:trPr>
        <w:tc>
          <w:tcPr>
            <w:tcW w:w="595" w:type="pct"/>
            <w:tcBorders>
              <w:top w:val="nil"/>
              <w:left w:val="single" w:sz="4" w:space="0" w:color="auto"/>
              <w:bottom w:val="single" w:sz="4" w:space="0" w:color="auto"/>
              <w:right w:val="single" w:sz="4" w:space="0" w:color="auto"/>
            </w:tcBorders>
            <w:shd w:val="clear" w:color="auto" w:fill="auto"/>
            <w:noWrap/>
            <w:vAlign w:val="center"/>
          </w:tcPr>
          <w:p>
            <w:pPr>
              <w:widowControl/>
              <w:overflowPunct/>
              <w:spacing w:line="240" w:lineRule="auto"/>
              <w:ind w:firstLineChars="0" w:firstLine="0"/>
              <w:jc w:val="left"/>
              <w:rPr>
                <w:rFonts w:eastAsia="宋体" w:cs="宋体"/>
                <w:b/>
                <w:color w:val="000000"/>
                <w:kern w:val="0"/>
                <w:sz w:val="20"/>
                <w:szCs w:val="20"/>
              </w:rPr>
            </w:pPr>
            <w:r>
              <w:rPr>
                <w:rFonts w:eastAsia="宋体" w:cs="宋体" w:hint="eastAsia"/>
                <w:b/>
                <w:color w:val="000000"/>
                <w:kern w:val="0"/>
                <w:sz w:val="20"/>
                <w:szCs w:val="20"/>
              </w:rPr>
              <w:t>210</w:t>
            </w:r>
          </w:p>
        </w:tc>
        <w:tc>
          <w:tcPr>
            <w:tcW w:w="1742" w:type="pct"/>
            <w:tcBorders>
              <w:top w:val="nil"/>
              <w:left w:val="nil"/>
              <w:bottom w:val="single" w:sz="4" w:space="0" w:color="auto"/>
              <w:right w:val="single" w:sz="4" w:space="0" w:color="auto"/>
            </w:tcBorders>
            <w:shd w:val="clear" w:color="auto" w:fill="auto"/>
            <w:vAlign w:val="center"/>
          </w:tcPr>
          <w:p>
            <w:pPr>
              <w:widowControl/>
              <w:overflowPunct/>
              <w:spacing w:line="240" w:lineRule="auto"/>
              <w:ind w:firstLineChars="0" w:firstLine="0"/>
              <w:jc w:val="left"/>
              <w:rPr>
                <w:rFonts w:eastAsia="宋体" w:cs="宋体"/>
                <w:b/>
                <w:color w:val="000000"/>
                <w:kern w:val="0"/>
                <w:sz w:val="20"/>
                <w:szCs w:val="20"/>
              </w:rPr>
            </w:pPr>
            <w:r>
              <w:rPr>
                <w:rFonts w:eastAsia="宋体" w:cs="宋体" w:hint="eastAsia"/>
                <w:b/>
                <w:color w:val="000000"/>
                <w:kern w:val="0"/>
                <w:sz w:val="20"/>
                <w:szCs w:val="20"/>
              </w:rPr>
              <w:t>卫生健康支出</w:t>
            </w:r>
          </w:p>
        </w:tc>
        <w:tc>
          <w:tcPr>
            <w:tcW w:w="548" w:type="pct"/>
            <w:tcBorders>
              <w:top w:val="nil"/>
              <w:left w:val="nil"/>
              <w:bottom w:val="single" w:sz="4" w:space="0" w:color="auto"/>
              <w:right w:val="single" w:sz="4" w:space="0" w:color="auto"/>
            </w:tcBorders>
            <w:shd w:val="clear" w:color="auto" w:fill="auto"/>
            <w:noWrap/>
            <w:vAlign w:val="center"/>
          </w:tcPr>
          <w:p>
            <w:pPr>
              <w:overflowPunct/>
              <w:spacing w:line="240" w:lineRule="auto"/>
              <w:ind w:firstLineChars="0" w:firstLine="0"/>
              <w:jc w:val="right"/>
              <w:rPr>
                <w:rFonts w:cs="Calibri"/>
                <w:sz w:val="16"/>
                <w:szCs w:val="16"/>
              </w:rPr>
            </w:pPr>
            <w:r>
              <w:rPr>
                <w:rFonts w:cs="Calibri" w:hint="eastAsia"/>
                <w:sz w:val="16"/>
                <w:szCs w:val="16"/>
              </w:rPr>
              <w:t>5,454.86</w:t>
            </w:r>
          </w:p>
        </w:tc>
        <w:tc>
          <w:tcPr>
            <w:tcW w:w="698" w:type="pct"/>
            <w:tcBorders>
              <w:top w:val="nil"/>
              <w:left w:val="nil"/>
              <w:bottom w:val="single" w:sz="4" w:space="0" w:color="auto"/>
              <w:right w:val="single" w:sz="4" w:space="0" w:color="auto"/>
            </w:tcBorders>
            <w:shd w:val="clear" w:color="auto" w:fill="auto"/>
            <w:noWrap/>
            <w:vAlign w:val="center"/>
          </w:tcPr>
          <w:p>
            <w:pPr>
              <w:overflowPunct/>
              <w:spacing w:line="240" w:lineRule="auto"/>
              <w:ind w:firstLineChars="0" w:firstLine="0"/>
              <w:jc w:val="right"/>
              <w:rPr>
                <w:rFonts w:cs="Calibri"/>
                <w:sz w:val="16"/>
                <w:szCs w:val="16"/>
              </w:rPr>
            </w:pPr>
            <w:r>
              <w:rPr>
                <w:rFonts w:cs="Calibri" w:hint="eastAsia"/>
                <w:sz w:val="16"/>
                <w:szCs w:val="16"/>
              </w:rPr>
              <w:t>5,454.86</w:t>
            </w:r>
          </w:p>
        </w:tc>
        <w:tc>
          <w:tcPr>
            <w:tcW w:w="684" w:type="pct"/>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right"/>
              <w:rPr>
                <w:rFonts w:eastAsia="宋体" w:cs="Times New Roman"/>
                <w:b/>
                <w:color w:val="000000"/>
                <w:kern w:val="0"/>
                <w:sz w:val="20"/>
                <w:szCs w:val="20"/>
              </w:rPr>
            </w:pPr>
            <w:r>
              <w:rPr>
                <w:rFonts w:cs="Calibri" w:hint="eastAsia"/>
                <w:sz w:val="16"/>
                <w:szCs w:val="16"/>
              </w:rPr>
              <w:t>　</w:t>
            </w:r>
          </w:p>
        </w:tc>
        <w:tc>
          <w:tcPr>
            <w:tcW w:w="209" w:type="pct"/>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Times New Roman"/>
                <w:b/>
                <w:color w:val="000000"/>
                <w:kern w:val="0"/>
                <w:sz w:val="20"/>
                <w:szCs w:val="20"/>
              </w:rPr>
            </w:pPr>
          </w:p>
        </w:tc>
        <w:tc>
          <w:tcPr>
            <w:tcW w:w="231" w:type="pct"/>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Times New Roman"/>
                <w:color w:val="000000"/>
                <w:kern w:val="0"/>
                <w:sz w:val="20"/>
                <w:szCs w:val="20"/>
              </w:rPr>
            </w:pPr>
          </w:p>
        </w:tc>
        <w:tc>
          <w:tcPr>
            <w:tcW w:w="293" w:type="pct"/>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Times New Roman"/>
                <w:color w:val="000000"/>
                <w:kern w:val="0"/>
                <w:sz w:val="20"/>
                <w:szCs w:val="20"/>
              </w:rPr>
            </w:pPr>
          </w:p>
        </w:tc>
      </w:tr>
      <w:tr>
        <w:trPr>
          <w:cantSplit/>
          <w:trHeight w:val="360"/>
        </w:trPr>
        <w:tc>
          <w:tcPr>
            <w:tcW w:w="595" w:type="pct"/>
            <w:tcBorders>
              <w:top w:val="nil"/>
              <w:left w:val="single" w:sz="4" w:space="0" w:color="auto"/>
              <w:bottom w:val="single" w:sz="4" w:space="0" w:color="auto"/>
              <w:right w:val="single" w:sz="4" w:space="0" w:color="auto"/>
            </w:tcBorders>
            <w:shd w:val="clear" w:color="auto" w:fill="auto"/>
            <w:noWrap/>
            <w:vAlign w:val="center"/>
          </w:tcPr>
          <w:p>
            <w:pPr>
              <w:widowControl/>
              <w:overflowPunct/>
              <w:spacing w:line="240" w:lineRule="auto"/>
              <w:ind w:firstLineChars="0" w:firstLine="0"/>
              <w:jc w:val="left"/>
              <w:rPr>
                <w:rFonts w:eastAsia="宋体" w:cs="宋体"/>
                <w:b/>
                <w:color w:val="000000"/>
                <w:kern w:val="0"/>
                <w:sz w:val="20"/>
                <w:szCs w:val="20"/>
              </w:rPr>
            </w:pPr>
            <w:r>
              <w:rPr>
                <w:rFonts w:eastAsia="宋体" w:cs="宋体" w:hint="eastAsia"/>
                <w:b/>
                <w:color w:val="000000"/>
                <w:kern w:val="0"/>
                <w:sz w:val="20"/>
                <w:szCs w:val="20"/>
              </w:rPr>
              <w:t>21011</w:t>
            </w:r>
          </w:p>
        </w:tc>
        <w:tc>
          <w:tcPr>
            <w:tcW w:w="1742" w:type="pct"/>
            <w:tcBorders>
              <w:top w:val="nil"/>
              <w:left w:val="nil"/>
              <w:bottom w:val="single" w:sz="4" w:space="0" w:color="auto"/>
              <w:right w:val="single" w:sz="4" w:space="0" w:color="auto"/>
            </w:tcBorders>
            <w:shd w:val="clear" w:color="auto" w:fill="auto"/>
            <w:vAlign w:val="center"/>
          </w:tcPr>
          <w:p>
            <w:pPr>
              <w:widowControl/>
              <w:overflowPunct/>
              <w:spacing w:line="240" w:lineRule="auto"/>
              <w:ind w:firstLineChars="0" w:firstLine="0"/>
              <w:jc w:val="left"/>
              <w:rPr>
                <w:rFonts w:eastAsia="宋体" w:cs="宋体"/>
                <w:b/>
                <w:color w:val="000000"/>
                <w:kern w:val="0"/>
                <w:sz w:val="20"/>
                <w:szCs w:val="20"/>
              </w:rPr>
            </w:pPr>
            <w:r>
              <w:rPr>
                <w:rFonts w:eastAsia="宋体" w:cs="宋体" w:hint="eastAsia"/>
                <w:b/>
                <w:color w:val="000000"/>
                <w:kern w:val="0"/>
                <w:sz w:val="20"/>
                <w:szCs w:val="20"/>
              </w:rPr>
              <w:t>行政事业单位医疗</w:t>
            </w:r>
          </w:p>
        </w:tc>
        <w:tc>
          <w:tcPr>
            <w:tcW w:w="548" w:type="pct"/>
            <w:tcBorders>
              <w:top w:val="nil"/>
              <w:left w:val="nil"/>
              <w:bottom w:val="single" w:sz="4" w:space="0" w:color="auto"/>
              <w:right w:val="single" w:sz="4" w:space="0" w:color="auto"/>
            </w:tcBorders>
            <w:shd w:val="clear" w:color="auto" w:fill="auto"/>
            <w:noWrap/>
            <w:vAlign w:val="center"/>
          </w:tcPr>
          <w:p>
            <w:pPr>
              <w:overflowPunct/>
              <w:spacing w:line="240" w:lineRule="auto"/>
              <w:ind w:firstLineChars="0" w:firstLine="0"/>
              <w:jc w:val="right"/>
              <w:rPr>
                <w:rFonts w:cs="Calibri"/>
                <w:sz w:val="16"/>
                <w:szCs w:val="16"/>
              </w:rPr>
            </w:pPr>
            <w:r>
              <w:rPr>
                <w:rFonts w:cs="Calibri" w:hint="eastAsia"/>
                <w:sz w:val="16"/>
                <w:szCs w:val="16"/>
              </w:rPr>
              <w:t>5,454.86</w:t>
            </w:r>
          </w:p>
        </w:tc>
        <w:tc>
          <w:tcPr>
            <w:tcW w:w="698" w:type="pct"/>
            <w:tcBorders>
              <w:top w:val="nil"/>
              <w:left w:val="nil"/>
              <w:bottom w:val="single" w:sz="4" w:space="0" w:color="auto"/>
              <w:right w:val="single" w:sz="4" w:space="0" w:color="auto"/>
            </w:tcBorders>
            <w:shd w:val="clear" w:color="auto" w:fill="auto"/>
            <w:noWrap/>
            <w:vAlign w:val="center"/>
          </w:tcPr>
          <w:p>
            <w:pPr>
              <w:overflowPunct/>
              <w:spacing w:line="240" w:lineRule="auto"/>
              <w:ind w:firstLineChars="0" w:firstLine="0"/>
              <w:jc w:val="right"/>
              <w:rPr>
                <w:rFonts w:cs="Calibri"/>
                <w:sz w:val="16"/>
                <w:szCs w:val="16"/>
              </w:rPr>
            </w:pPr>
            <w:r>
              <w:rPr>
                <w:rFonts w:cs="Calibri" w:hint="eastAsia"/>
                <w:sz w:val="16"/>
                <w:szCs w:val="16"/>
              </w:rPr>
              <w:t>5,454.86</w:t>
            </w:r>
          </w:p>
        </w:tc>
        <w:tc>
          <w:tcPr>
            <w:tcW w:w="684" w:type="pct"/>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right"/>
              <w:rPr>
                <w:rFonts w:eastAsia="宋体" w:cs="Times New Roman"/>
                <w:b/>
                <w:color w:val="000000"/>
                <w:kern w:val="0"/>
                <w:sz w:val="20"/>
                <w:szCs w:val="20"/>
              </w:rPr>
            </w:pPr>
            <w:r>
              <w:rPr>
                <w:rFonts w:cs="Calibri" w:hint="eastAsia"/>
                <w:sz w:val="16"/>
                <w:szCs w:val="16"/>
              </w:rPr>
              <w:t>　</w:t>
            </w:r>
          </w:p>
        </w:tc>
        <w:tc>
          <w:tcPr>
            <w:tcW w:w="209" w:type="pct"/>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Times New Roman"/>
                <w:b/>
                <w:color w:val="000000"/>
                <w:kern w:val="0"/>
                <w:sz w:val="20"/>
                <w:szCs w:val="20"/>
              </w:rPr>
            </w:pPr>
          </w:p>
        </w:tc>
        <w:tc>
          <w:tcPr>
            <w:tcW w:w="231" w:type="pct"/>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Times New Roman"/>
                <w:color w:val="000000"/>
                <w:kern w:val="0"/>
                <w:sz w:val="20"/>
                <w:szCs w:val="20"/>
              </w:rPr>
            </w:pPr>
          </w:p>
        </w:tc>
        <w:tc>
          <w:tcPr>
            <w:tcW w:w="293" w:type="pct"/>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Times New Roman"/>
                <w:color w:val="000000"/>
                <w:kern w:val="0"/>
                <w:sz w:val="20"/>
                <w:szCs w:val="20"/>
              </w:rPr>
            </w:pPr>
          </w:p>
        </w:tc>
      </w:tr>
      <w:tr>
        <w:trPr>
          <w:cantSplit/>
          <w:trHeight w:val="360"/>
        </w:trPr>
        <w:tc>
          <w:tcPr>
            <w:tcW w:w="595" w:type="pct"/>
            <w:tcBorders>
              <w:top w:val="nil"/>
              <w:left w:val="single" w:sz="4" w:space="0" w:color="auto"/>
              <w:bottom w:val="single" w:sz="4" w:space="0" w:color="auto"/>
              <w:right w:val="single" w:sz="4" w:space="0" w:color="auto"/>
            </w:tcBorders>
            <w:shd w:val="clear" w:color="auto" w:fill="auto"/>
            <w:noWrap/>
            <w:vAlign w:val="center"/>
          </w:tcPr>
          <w:p>
            <w:pPr>
              <w:widowControl/>
              <w:overflowPunct/>
              <w:spacing w:line="240" w:lineRule="auto"/>
              <w:ind w:firstLineChars="0" w:firstLine="0"/>
              <w:jc w:val="left"/>
              <w:rPr>
                <w:rFonts w:eastAsia="宋体" w:cs="宋体"/>
                <w:color w:val="000000"/>
                <w:kern w:val="0"/>
                <w:sz w:val="20"/>
                <w:szCs w:val="20"/>
              </w:rPr>
            </w:pPr>
            <w:r>
              <w:rPr>
                <w:rFonts w:eastAsia="宋体" w:cs="宋体" w:hint="eastAsia"/>
                <w:color w:val="000000"/>
                <w:kern w:val="0"/>
                <w:sz w:val="20"/>
                <w:szCs w:val="20"/>
              </w:rPr>
              <w:t>2101101</w:t>
            </w:r>
          </w:p>
        </w:tc>
        <w:tc>
          <w:tcPr>
            <w:tcW w:w="1742" w:type="pct"/>
            <w:tcBorders>
              <w:top w:val="nil"/>
              <w:left w:val="nil"/>
              <w:bottom w:val="single" w:sz="4" w:space="0" w:color="auto"/>
              <w:right w:val="single" w:sz="4" w:space="0" w:color="auto"/>
            </w:tcBorders>
            <w:shd w:val="clear" w:color="auto" w:fill="auto"/>
            <w:vAlign w:val="center"/>
          </w:tcPr>
          <w:p>
            <w:pPr>
              <w:widowControl/>
              <w:overflowPunct/>
              <w:spacing w:line="240" w:lineRule="auto"/>
              <w:ind w:firstLineChars="0" w:firstLine="0"/>
              <w:jc w:val="left"/>
              <w:rPr>
                <w:rFonts w:eastAsia="宋体" w:cs="宋体"/>
                <w:color w:val="000000"/>
                <w:kern w:val="0"/>
                <w:sz w:val="20"/>
                <w:szCs w:val="20"/>
              </w:rPr>
            </w:pPr>
            <w:r>
              <w:rPr>
                <w:rFonts w:eastAsia="宋体" w:cs="宋体" w:hint="eastAsia"/>
                <w:color w:val="000000"/>
                <w:kern w:val="0"/>
                <w:sz w:val="20"/>
                <w:szCs w:val="20"/>
              </w:rPr>
              <w:t>行政单位医疗</w:t>
            </w:r>
          </w:p>
        </w:tc>
        <w:tc>
          <w:tcPr>
            <w:tcW w:w="548" w:type="pct"/>
            <w:tcBorders>
              <w:top w:val="nil"/>
              <w:left w:val="nil"/>
              <w:bottom w:val="single" w:sz="4" w:space="0" w:color="auto"/>
              <w:right w:val="single" w:sz="4" w:space="0" w:color="auto"/>
            </w:tcBorders>
            <w:shd w:val="clear" w:color="auto" w:fill="auto"/>
            <w:noWrap/>
            <w:vAlign w:val="center"/>
          </w:tcPr>
          <w:p>
            <w:pPr>
              <w:overflowPunct/>
              <w:spacing w:line="240" w:lineRule="auto"/>
              <w:ind w:firstLineChars="0" w:firstLine="0"/>
              <w:jc w:val="right"/>
              <w:rPr>
                <w:rFonts w:cs="Calibri"/>
                <w:sz w:val="16"/>
                <w:szCs w:val="16"/>
              </w:rPr>
            </w:pPr>
            <w:r>
              <w:rPr>
                <w:rFonts w:cs="Calibri" w:hint="eastAsia"/>
                <w:sz w:val="16"/>
                <w:szCs w:val="16"/>
              </w:rPr>
              <w:t>2,678.69</w:t>
            </w:r>
          </w:p>
        </w:tc>
        <w:tc>
          <w:tcPr>
            <w:tcW w:w="698" w:type="pct"/>
            <w:tcBorders>
              <w:top w:val="nil"/>
              <w:left w:val="nil"/>
              <w:bottom w:val="single" w:sz="4" w:space="0" w:color="auto"/>
              <w:right w:val="single" w:sz="4" w:space="0" w:color="auto"/>
            </w:tcBorders>
            <w:shd w:val="clear" w:color="auto" w:fill="auto"/>
            <w:noWrap/>
            <w:vAlign w:val="center"/>
          </w:tcPr>
          <w:p>
            <w:pPr>
              <w:overflowPunct/>
              <w:spacing w:line="240" w:lineRule="auto"/>
              <w:ind w:firstLineChars="0" w:firstLine="0"/>
              <w:jc w:val="right"/>
              <w:rPr>
                <w:rFonts w:cs="Calibri"/>
                <w:sz w:val="16"/>
                <w:szCs w:val="16"/>
              </w:rPr>
            </w:pPr>
            <w:r>
              <w:rPr>
                <w:rFonts w:cs="Calibri" w:hint="eastAsia"/>
                <w:sz w:val="16"/>
                <w:szCs w:val="16"/>
              </w:rPr>
              <w:t>2,678.69</w:t>
            </w:r>
          </w:p>
        </w:tc>
        <w:tc>
          <w:tcPr>
            <w:tcW w:w="684" w:type="pct"/>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right"/>
              <w:rPr>
                <w:rFonts w:eastAsia="宋体" w:cs="Times New Roman"/>
                <w:color w:val="000000"/>
                <w:kern w:val="0"/>
                <w:sz w:val="20"/>
                <w:szCs w:val="20"/>
              </w:rPr>
            </w:pPr>
            <w:r>
              <w:rPr>
                <w:rFonts w:cs="Calibri" w:hint="eastAsia"/>
                <w:sz w:val="16"/>
                <w:szCs w:val="16"/>
              </w:rPr>
              <w:t>　</w:t>
            </w:r>
          </w:p>
        </w:tc>
        <w:tc>
          <w:tcPr>
            <w:tcW w:w="209" w:type="pct"/>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Times New Roman"/>
                <w:color w:val="000000"/>
                <w:kern w:val="0"/>
                <w:sz w:val="20"/>
                <w:szCs w:val="20"/>
              </w:rPr>
            </w:pPr>
          </w:p>
        </w:tc>
        <w:tc>
          <w:tcPr>
            <w:tcW w:w="231" w:type="pct"/>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Times New Roman"/>
                <w:color w:val="000000"/>
                <w:kern w:val="0"/>
                <w:sz w:val="20"/>
                <w:szCs w:val="20"/>
              </w:rPr>
            </w:pPr>
          </w:p>
        </w:tc>
        <w:tc>
          <w:tcPr>
            <w:tcW w:w="293" w:type="pct"/>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Times New Roman"/>
                <w:color w:val="000000"/>
                <w:kern w:val="0"/>
                <w:sz w:val="20"/>
                <w:szCs w:val="20"/>
              </w:rPr>
            </w:pPr>
          </w:p>
        </w:tc>
      </w:tr>
      <w:tr>
        <w:trPr>
          <w:cantSplit/>
          <w:trHeight w:val="360"/>
        </w:trPr>
        <w:tc>
          <w:tcPr>
            <w:tcW w:w="595" w:type="pct"/>
            <w:tcBorders>
              <w:top w:val="nil"/>
              <w:left w:val="single" w:sz="4" w:space="0" w:color="auto"/>
              <w:bottom w:val="single" w:sz="4" w:space="0" w:color="auto"/>
              <w:right w:val="single" w:sz="4" w:space="0" w:color="auto"/>
            </w:tcBorders>
            <w:shd w:val="clear" w:color="auto" w:fill="auto"/>
            <w:noWrap/>
            <w:vAlign w:val="center"/>
          </w:tcPr>
          <w:p>
            <w:pPr>
              <w:widowControl/>
              <w:overflowPunct/>
              <w:spacing w:line="240" w:lineRule="auto"/>
              <w:ind w:firstLineChars="0" w:firstLine="0"/>
              <w:jc w:val="left"/>
              <w:rPr>
                <w:rFonts w:eastAsia="宋体" w:cs="宋体"/>
                <w:color w:val="000000"/>
                <w:kern w:val="0"/>
                <w:sz w:val="20"/>
                <w:szCs w:val="20"/>
              </w:rPr>
            </w:pPr>
            <w:r>
              <w:rPr>
                <w:rFonts w:eastAsia="宋体" w:cs="宋体" w:hint="eastAsia"/>
                <w:color w:val="000000"/>
                <w:kern w:val="0"/>
                <w:sz w:val="20"/>
                <w:szCs w:val="20"/>
              </w:rPr>
              <w:t>2101102</w:t>
            </w:r>
          </w:p>
        </w:tc>
        <w:tc>
          <w:tcPr>
            <w:tcW w:w="1742" w:type="pct"/>
            <w:tcBorders>
              <w:top w:val="nil"/>
              <w:left w:val="nil"/>
              <w:bottom w:val="single" w:sz="4" w:space="0" w:color="auto"/>
              <w:right w:val="single" w:sz="4" w:space="0" w:color="auto"/>
            </w:tcBorders>
            <w:shd w:val="clear" w:color="auto" w:fill="auto"/>
            <w:vAlign w:val="center"/>
          </w:tcPr>
          <w:p>
            <w:pPr>
              <w:widowControl/>
              <w:overflowPunct/>
              <w:spacing w:line="240" w:lineRule="auto"/>
              <w:ind w:firstLineChars="0" w:firstLine="0"/>
              <w:jc w:val="left"/>
              <w:rPr>
                <w:rFonts w:eastAsia="宋体" w:cs="宋体"/>
                <w:color w:val="000000"/>
                <w:kern w:val="0"/>
                <w:sz w:val="20"/>
                <w:szCs w:val="20"/>
              </w:rPr>
            </w:pPr>
            <w:r>
              <w:rPr>
                <w:rFonts w:eastAsia="宋体" w:cs="宋体" w:hint="eastAsia"/>
                <w:color w:val="000000"/>
                <w:kern w:val="0"/>
                <w:sz w:val="20"/>
                <w:szCs w:val="20"/>
              </w:rPr>
              <w:t>事业单位医疗</w:t>
            </w:r>
          </w:p>
        </w:tc>
        <w:tc>
          <w:tcPr>
            <w:tcW w:w="548" w:type="pct"/>
            <w:tcBorders>
              <w:top w:val="nil"/>
              <w:left w:val="nil"/>
              <w:bottom w:val="single" w:sz="4" w:space="0" w:color="auto"/>
              <w:right w:val="single" w:sz="4" w:space="0" w:color="auto"/>
            </w:tcBorders>
            <w:shd w:val="clear" w:color="auto" w:fill="auto"/>
            <w:noWrap/>
            <w:vAlign w:val="center"/>
          </w:tcPr>
          <w:p>
            <w:pPr>
              <w:overflowPunct/>
              <w:spacing w:line="240" w:lineRule="auto"/>
              <w:ind w:firstLineChars="0" w:firstLine="0"/>
              <w:jc w:val="right"/>
              <w:rPr>
                <w:rFonts w:cs="Calibri"/>
                <w:sz w:val="16"/>
                <w:szCs w:val="16"/>
              </w:rPr>
            </w:pPr>
            <w:r>
              <w:rPr>
                <w:rFonts w:cs="Calibri" w:hint="eastAsia"/>
                <w:sz w:val="16"/>
                <w:szCs w:val="16"/>
              </w:rPr>
              <w:t>758.99</w:t>
            </w:r>
          </w:p>
        </w:tc>
        <w:tc>
          <w:tcPr>
            <w:tcW w:w="698" w:type="pct"/>
            <w:tcBorders>
              <w:top w:val="nil"/>
              <w:left w:val="nil"/>
              <w:bottom w:val="single" w:sz="4" w:space="0" w:color="auto"/>
              <w:right w:val="single" w:sz="4" w:space="0" w:color="auto"/>
            </w:tcBorders>
            <w:shd w:val="clear" w:color="auto" w:fill="auto"/>
            <w:noWrap/>
            <w:vAlign w:val="center"/>
          </w:tcPr>
          <w:p>
            <w:pPr>
              <w:overflowPunct/>
              <w:spacing w:line="240" w:lineRule="auto"/>
              <w:ind w:firstLineChars="0" w:firstLine="0"/>
              <w:jc w:val="right"/>
              <w:rPr>
                <w:rFonts w:cs="Calibri"/>
                <w:sz w:val="16"/>
                <w:szCs w:val="16"/>
              </w:rPr>
            </w:pPr>
            <w:r>
              <w:rPr>
                <w:rFonts w:cs="Calibri" w:hint="eastAsia"/>
                <w:sz w:val="16"/>
                <w:szCs w:val="16"/>
              </w:rPr>
              <w:t>758.99</w:t>
            </w:r>
          </w:p>
        </w:tc>
        <w:tc>
          <w:tcPr>
            <w:tcW w:w="684" w:type="pct"/>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right"/>
              <w:rPr>
                <w:rFonts w:eastAsia="宋体" w:cs="Times New Roman"/>
                <w:color w:val="000000"/>
                <w:kern w:val="0"/>
                <w:sz w:val="20"/>
                <w:szCs w:val="20"/>
              </w:rPr>
            </w:pPr>
            <w:r>
              <w:rPr>
                <w:rFonts w:cs="Calibri" w:hint="eastAsia"/>
                <w:sz w:val="16"/>
                <w:szCs w:val="16"/>
              </w:rPr>
              <w:t>　</w:t>
            </w:r>
          </w:p>
        </w:tc>
        <w:tc>
          <w:tcPr>
            <w:tcW w:w="209" w:type="pct"/>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Times New Roman"/>
                <w:color w:val="000000"/>
                <w:kern w:val="0"/>
                <w:sz w:val="20"/>
                <w:szCs w:val="20"/>
              </w:rPr>
            </w:pPr>
          </w:p>
        </w:tc>
        <w:tc>
          <w:tcPr>
            <w:tcW w:w="231" w:type="pct"/>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Times New Roman"/>
                <w:color w:val="000000"/>
                <w:kern w:val="0"/>
                <w:sz w:val="20"/>
                <w:szCs w:val="20"/>
              </w:rPr>
            </w:pPr>
          </w:p>
        </w:tc>
        <w:tc>
          <w:tcPr>
            <w:tcW w:w="293" w:type="pct"/>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Times New Roman"/>
                <w:color w:val="000000"/>
                <w:kern w:val="0"/>
                <w:sz w:val="20"/>
                <w:szCs w:val="20"/>
              </w:rPr>
            </w:pPr>
          </w:p>
        </w:tc>
      </w:tr>
      <w:tr>
        <w:trPr>
          <w:cantSplit/>
          <w:trHeight w:val="360"/>
        </w:trPr>
        <w:tc>
          <w:tcPr>
            <w:tcW w:w="595" w:type="pct"/>
            <w:tcBorders>
              <w:top w:val="nil"/>
              <w:left w:val="single" w:sz="4" w:space="0" w:color="auto"/>
              <w:bottom w:val="single" w:sz="4" w:space="0" w:color="auto"/>
              <w:right w:val="single" w:sz="4" w:space="0" w:color="auto"/>
            </w:tcBorders>
            <w:shd w:val="clear" w:color="auto" w:fill="auto"/>
            <w:noWrap/>
            <w:vAlign w:val="center"/>
          </w:tcPr>
          <w:p>
            <w:pPr>
              <w:widowControl/>
              <w:overflowPunct/>
              <w:spacing w:line="240" w:lineRule="auto"/>
              <w:ind w:firstLineChars="0" w:firstLine="0"/>
              <w:jc w:val="left"/>
              <w:rPr>
                <w:rFonts w:eastAsia="宋体" w:cs="宋体"/>
                <w:color w:val="000000"/>
                <w:kern w:val="0"/>
                <w:sz w:val="20"/>
                <w:szCs w:val="20"/>
              </w:rPr>
            </w:pPr>
            <w:r>
              <w:rPr>
                <w:rFonts w:eastAsia="宋体" w:cs="宋体" w:hint="eastAsia"/>
                <w:color w:val="000000"/>
                <w:kern w:val="0"/>
                <w:sz w:val="20"/>
                <w:szCs w:val="20"/>
              </w:rPr>
              <w:t>2101103</w:t>
            </w:r>
          </w:p>
        </w:tc>
        <w:tc>
          <w:tcPr>
            <w:tcW w:w="1742" w:type="pct"/>
            <w:tcBorders>
              <w:top w:val="nil"/>
              <w:left w:val="nil"/>
              <w:bottom w:val="single" w:sz="4" w:space="0" w:color="auto"/>
              <w:right w:val="single" w:sz="4" w:space="0" w:color="auto"/>
            </w:tcBorders>
            <w:shd w:val="clear" w:color="auto" w:fill="auto"/>
            <w:vAlign w:val="center"/>
          </w:tcPr>
          <w:p>
            <w:pPr>
              <w:widowControl/>
              <w:overflowPunct/>
              <w:spacing w:line="240" w:lineRule="auto"/>
              <w:ind w:firstLineChars="0" w:firstLine="0"/>
              <w:jc w:val="left"/>
              <w:rPr>
                <w:rFonts w:eastAsia="宋体" w:cs="宋体"/>
                <w:color w:val="000000"/>
                <w:kern w:val="0"/>
                <w:sz w:val="20"/>
                <w:szCs w:val="20"/>
              </w:rPr>
            </w:pPr>
            <w:r>
              <w:rPr>
                <w:rFonts w:eastAsia="宋体" w:cs="宋体" w:hint="eastAsia"/>
                <w:color w:val="000000"/>
                <w:kern w:val="0"/>
                <w:sz w:val="20"/>
                <w:szCs w:val="20"/>
              </w:rPr>
              <w:t>公务员医疗补助</w:t>
            </w:r>
          </w:p>
        </w:tc>
        <w:tc>
          <w:tcPr>
            <w:tcW w:w="548" w:type="pct"/>
            <w:tcBorders>
              <w:top w:val="nil"/>
              <w:left w:val="nil"/>
              <w:bottom w:val="single" w:sz="4" w:space="0" w:color="auto"/>
              <w:right w:val="single" w:sz="4" w:space="0" w:color="auto"/>
            </w:tcBorders>
            <w:shd w:val="clear" w:color="auto" w:fill="auto"/>
            <w:noWrap/>
            <w:vAlign w:val="center"/>
          </w:tcPr>
          <w:p>
            <w:pPr>
              <w:overflowPunct/>
              <w:spacing w:line="240" w:lineRule="auto"/>
              <w:ind w:firstLineChars="0" w:firstLine="0"/>
              <w:jc w:val="right"/>
              <w:rPr>
                <w:rFonts w:cs="Calibri"/>
                <w:sz w:val="16"/>
                <w:szCs w:val="16"/>
              </w:rPr>
            </w:pPr>
            <w:r>
              <w:rPr>
                <w:rFonts w:cs="Calibri" w:hint="eastAsia"/>
                <w:sz w:val="16"/>
                <w:szCs w:val="16"/>
              </w:rPr>
              <w:t>1,863.87</w:t>
            </w:r>
          </w:p>
        </w:tc>
        <w:tc>
          <w:tcPr>
            <w:tcW w:w="698" w:type="pct"/>
            <w:tcBorders>
              <w:top w:val="nil"/>
              <w:left w:val="nil"/>
              <w:bottom w:val="single" w:sz="4" w:space="0" w:color="auto"/>
              <w:right w:val="single" w:sz="4" w:space="0" w:color="auto"/>
            </w:tcBorders>
            <w:shd w:val="clear" w:color="auto" w:fill="auto"/>
            <w:noWrap/>
            <w:vAlign w:val="center"/>
          </w:tcPr>
          <w:p>
            <w:pPr>
              <w:overflowPunct/>
              <w:spacing w:line="240" w:lineRule="auto"/>
              <w:ind w:firstLineChars="0" w:firstLine="0"/>
              <w:jc w:val="right"/>
              <w:rPr>
                <w:rFonts w:cs="Calibri"/>
                <w:sz w:val="16"/>
                <w:szCs w:val="16"/>
              </w:rPr>
            </w:pPr>
            <w:r>
              <w:rPr>
                <w:rFonts w:cs="Calibri" w:hint="eastAsia"/>
                <w:sz w:val="16"/>
                <w:szCs w:val="16"/>
              </w:rPr>
              <w:t>1,863.87</w:t>
            </w:r>
          </w:p>
        </w:tc>
        <w:tc>
          <w:tcPr>
            <w:tcW w:w="684" w:type="pct"/>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right"/>
              <w:rPr>
                <w:rFonts w:eastAsia="宋体" w:cs="Times New Roman"/>
                <w:color w:val="000000"/>
                <w:kern w:val="0"/>
                <w:sz w:val="20"/>
                <w:szCs w:val="20"/>
              </w:rPr>
            </w:pPr>
            <w:r>
              <w:rPr>
                <w:rFonts w:cs="Calibri" w:hint="eastAsia"/>
                <w:sz w:val="16"/>
                <w:szCs w:val="16"/>
              </w:rPr>
              <w:t>　</w:t>
            </w:r>
          </w:p>
        </w:tc>
        <w:tc>
          <w:tcPr>
            <w:tcW w:w="209" w:type="pct"/>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Times New Roman"/>
                <w:color w:val="000000"/>
                <w:kern w:val="0"/>
                <w:sz w:val="20"/>
                <w:szCs w:val="20"/>
              </w:rPr>
            </w:pPr>
          </w:p>
        </w:tc>
        <w:tc>
          <w:tcPr>
            <w:tcW w:w="231" w:type="pct"/>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Times New Roman"/>
                <w:color w:val="000000"/>
                <w:kern w:val="0"/>
                <w:sz w:val="20"/>
                <w:szCs w:val="20"/>
              </w:rPr>
            </w:pPr>
          </w:p>
        </w:tc>
        <w:tc>
          <w:tcPr>
            <w:tcW w:w="293" w:type="pct"/>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Times New Roman"/>
                <w:color w:val="000000"/>
                <w:kern w:val="0"/>
                <w:sz w:val="20"/>
                <w:szCs w:val="20"/>
              </w:rPr>
            </w:pPr>
          </w:p>
        </w:tc>
      </w:tr>
      <w:tr>
        <w:trPr>
          <w:cantSplit/>
          <w:trHeight w:val="360"/>
        </w:trPr>
        <w:tc>
          <w:tcPr>
            <w:tcW w:w="595" w:type="pct"/>
            <w:tcBorders>
              <w:top w:val="nil"/>
              <w:left w:val="single" w:sz="4" w:space="0" w:color="auto"/>
              <w:bottom w:val="single" w:sz="4" w:space="0" w:color="auto"/>
              <w:right w:val="single" w:sz="4" w:space="0" w:color="auto"/>
            </w:tcBorders>
            <w:shd w:val="clear" w:color="auto" w:fill="auto"/>
            <w:noWrap/>
            <w:vAlign w:val="center"/>
          </w:tcPr>
          <w:p>
            <w:pPr>
              <w:widowControl/>
              <w:overflowPunct/>
              <w:spacing w:line="240" w:lineRule="auto"/>
              <w:ind w:firstLineChars="0" w:firstLine="0"/>
              <w:jc w:val="left"/>
              <w:rPr>
                <w:rFonts w:eastAsia="宋体" w:cs="宋体"/>
                <w:color w:val="000000"/>
                <w:kern w:val="0"/>
                <w:sz w:val="20"/>
                <w:szCs w:val="20"/>
              </w:rPr>
            </w:pPr>
            <w:r>
              <w:rPr>
                <w:rFonts w:eastAsia="宋体" w:cs="宋体" w:hint="eastAsia"/>
                <w:color w:val="000000"/>
                <w:kern w:val="0"/>
                <w:sz w:val="20"/>
                <w:szCs w:val="20"/>
              </w:rPr>
              <w:t>2101199</w:t>
            </w:r>
          </w:p>
        </w:tc>
        <w:tc>
          <w:tcPr>
            <w:tcW w:w="1742" w:type="pct"/>
            <w:tcBorders>
              <w:top w:val="nil"/>
              <w:left w:val="nil"/>
              <w:bottom w:val="single" w:sz="4" w:space="0" w:color="auto"/>
              <w:right w:val="single" w:sz="4" w:space="0" w:color="auto"/>
            </w:tcBorders>
            <w:shd w:val="clear" w:color="auto" w:fill="auto"/>
            <w:vAlign w:val="center"/>
          </w:tcPr>
          <w:p>
            <w:pPr>
              <w:widowControl/>
              <w:overflowPunct/>
              <w:spacing w:line="240" w:lineRule="auto"/>
              <w:ind w:firstLineChars="0" w:firstLine="0"/>
              <w:jc w:val="left"/>
              <w:rPr>
                <w:rFonts w:eastAsia="宋体" w:cs="宋体"/>
                <w:color w:val="000000"/>
                <w:kern w:val="0"/>
                <w:sz w:val="20"/>
                <w:szCs w:val="20"/>
              </w:rPr>
            </w:pPr>
            <w:r>
              <w:rPr>
                <w:rFonts w:eastAsia="宋体" w:cs="宋体" w:hint="eastAsia"/>
                <w:color w:val="000000"/>
                <w:kern w:val="0"/>
                <w:sz w:val="20"/>
                <w:szCs w:val="20"/>
              </w:rPr>
              <w:t>其他行政事业单位医疗支出</w:t>
            </w:r>
          </w:p>
        </w:tc>
        <w:tc>
          <w:tcPr>
            <w:tcW w:w="548" w:type="pct"/>
            <w:tcBorders>
              <w:top w:val="nil"/>
              <w:left w:val="nil"/>
              <w:bottom w:val="single" w:sz="4" w:space="0" w:color="auto"/>
              <w:right w:val="single" w:sz="4" w:space="0" w:color="auto"/>
            </w:tcBorders>
            <w:shd w:val="clear" w:color="auto" w:fill="auto"/>
            <w:noWrap/>
            <w:vAlign w:val="center"/>
          </w:tcPr>
          <w:p>
            <w:pPr>
              <w:overflowPunct/>
              <w:spacing w:line="240" w:lineRule="auto"/>
              <w:ind w:firstLineChars="0" w:firstLine="0"/>
              <w:jc w:val="right"/>
              <w:rPr>
                <w:rFonts w:cs="Calibri"/>
                <w:sz w:val="16"/>
                <w:szCs w:val="16"/>
              </w:rPr>
            </w:pPr>
            <w:r>
              <w:rPr>
                <w:rFonts w:cs="Calibri" w:hint="eastAsia"/>
                <w:sz w:val="16"/>
                <w:szCs w:val="16"/>
              </w:rPr>
              <w:t>153.31</w:t>
            </w:r>
          </w:p>
        </w:tc>
        <w:tc>
          <w:tcPr>
            <w:tcW w:w="698" w:type="pct"/>
            <w:tcBorders>
              <w:top w:val="nil"/>
              <w:left w:val="nil"/>
              <w:bottom w:val="single" w:sz="4" w:space="0" w:color="auto"/>
              <w:right w:val="single" w:sz="4" w:space="0" w:color="auto"/>
            </w:tcBorders>
            <w:shd w:val="clear" w:color="auto" w:fill="auto"/>
            <w:noWrap/>
            <w:vAlign w:val="center"/>
          </w:tcPr>
          <w:p>
            <w:pPr>
              <w:overflowPunct/>
              <w:spacing w:line="240" w:lineRule="auto"/>
              <w:ind w:firstLineChars="0" w:firstLine="0"/>
              <w:jc w:val="right"/>
              <w:rPr>
                <w:rFonts w:cs="Calibri"/>
                <w:sz w:val="16"/>
                <w:szCs w:val="16"/>
              </w:rPr>
            </w:pPr>
            <w:r>
              <w:rPr>
                <w:rFonts w:cs="Calibri" w:hint="eastAsia"/>
                <w:sz w:val="16"/>
                <w:szCs w:val="16"/>
              </w:rPr>
              <w:t>153.31</w:t>
            </w:r>
          </w:p>
        </w:tc>
        <w:tc>
          <w:tcPr>
            <w:tcW w:w="684" w:type="pct"/>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right"/>
              <w:rPr>
                <w:rFonts w:eastAsia="宋体" w:cs="Times New Roman"/>
                <w:color w:val="000000"/>
                <w:kern w:val="0"/>
                <w:sz w:val="20"/>
                <w:szCs w:val="20"/>
              </w:rPr>
            </w:pPr>
            <w:r>
              <w:rPr>
                <w:rFonts w:cs="Calibri" w:hint="eastAsia"/>
                <w:sz w:val="16"/>
                <w:szCs w:val="16"/>
              </w:rPr>
              <w:t>　</w:t>
            </w:r>
          </w:p>
        </w:tc>
        <w:tc>
          <w:tcPr>
            <w:tcW w:w="209" w:type="pct"/>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Times New Roman"/>
                <w:color w:val="000000"/>
                <w:kern w:val="0"/>
                <w:sz w:val="20"/>
                <w:szCs w:val="20"/>
              </w:rPr>
            </w:pPr>
          </w:p>
        </w:tc>
        <w:tc>
          <w:tcPr>
            <w:tcW w:w="231" w:type="pct"/>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Times New Roman"/>
                <w:color w:val="000000"/>
                <w:kern w:val="0"/>
                <w:sz w:val="20"/>
                <w:szCs w:val="20"/>
              </w:rPr>
            </w:pPr>
          </w:p>
        </w:tc>
        <w:tc>
          <w:tcPr>
            <w:tcW w:w="293" w:type="pct"/>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Times New Roman"/>
                <w:color w:val="000000"/>
                <w:kern w:val="0"/>
                <w:sz w:val="20"/>
                <w:szCs w:val="20"/>
              </w:rPr>
            </w:pPr>
          </w:p>
        </w:tc>
      </w:tr>
      <w:tr>
        <w:trPr>
          <w:cantSplit/>
          <w:trHeight w:val="360"/>
        </w:trPr>
        <w:tc>
          <w:tcPr>
            <w:tcW w:w="595" w:type="pct"/>
            <w:tcBorders>
              <w:top w:val="nil"/>
              <w:left w:val="single" w:sz="4" w:space="0" w:color="auto"/>
              <w:bottom w:val="single" w:sz="4" w:space="0" w:color="auto"/>
              <w:right w:val="single" w:sz="4" w:space="0" w:color="auto"/>
            </w:tcBorders>
            <w:shd w:val="clear" w:color="auto" w:fill="auto"/>
            <w:noWrap/>
            <w:vAlign w:val="center"/>
          </w:tcPr>
          <w:p>
            <w:pPr>
              <w:widowControl/>
              <w:overflowPunct/>
              <w:spacing w:line="240" w:lineRule="auto"/>
              <w:ind w:firstLineChars="0" w:firstLine="0"/>
              <w:jc w:val="left"/>
              <w:rPr>
                <w:rFonts w:eastAsia="宋体" w:cs="宋体"/>
                <w:b/>
                <w:color w:val="000000"/>
                <w:kern w:val="0"/>
                <w:sz w:val="20"/>
                <w:szCs w:val="20"/>
              </w:rPr>
            </w:pPr>
            <w:r>
              <w:rPr>
                <w:rFonts w:eastAsia="宋体" w:cs="宋体" w:hint="eastAsia"/>
                <w:b/>
                <w:color w:val="000000"/>
                <w:kern w:val="0"/>
                <w:sz w:val="20"/>
                <w:szCs w:val="20"/>
              </w:rPr>
              <w:t>221</w:t>
            </w:r>
          </w:p>
        </w:tc>
        <w:tc>
          <w:tcPr>
            <w:tcW w:w="1742" w:type="pct"/>
            <w:tcBorders>
              <w:top w:val="nil"/>
              <w:left w:val="nil"/>
              <w:bottom w:val="single" w:sz="4" w:space="0" w:color="auto"/>
              <w:right w:val="single" w:sz="4" w:space="0" w:color="auto"/>
            </w:tcBorders>
            <w:shd w:val="clear" w:color="auto" w:fill="auto"/>
            <w:vAlign w:val="center"/>
          </w:tcPr>
          <w:p>
            <w:pPr>
              <w:widowControl/>
              <w:overflowPunct/>
              <w:spacing w:line="240" w:lineRule="auto"/>
              <w:ind w:firstLineChars="0" w:firstLine="0"/>
              <w:jc w:val="left"/>
              <w:rPr>
                <w:rFonts w:eastAsia="宋体" w:cs="宋体"/>
                <w:b/>
                <w:color w:val="000000"/>
                <w:kern w:val="0"/>
                <w:sz w:val="20"/>
                <w:szCs w:val="20"/>
              </w:rPr>
            </w:pPr>
            <w:r>
              <w:rPr>
                <w:rFonts w:eastAsia="宋体" w:cs="宋体" w:hint="eastAsia"/>
                <w:b/>
                <w:color w:val="000000"/>
                <w:kern w:val="0"/>
                <w:sz w:val="20"/>
                <w:szCs w:val="20"/>
              </w:rPr>
              <w:t>住房保障支出</w:t>
            </w:r>
          </w:p>
        </w:tc>
        <w:tc>
          <w:tcPr>
            <w:tcW w:w="548" w:type="pct"/>
            <w:tcBorders>
              <w:top w:val="nil"/>
              <w:left w:val="nil"/>
              <w:bottom w:val="single" w:sz="4" w:space="0" w:color="auto"/>
              <w:right w:val="single" w:sz="4" w:space="0" w:color="auto"/>
            </w:tcBorders>
            <w:shd w:val="clear" w:color="auto" w:fill="auto"/>
            <w:noWrap/>
            <w:vAlign w:val="center"/>
          </w:tcPr>
          <w:p>
            <w:pPr>
              <w:overflowPunct/>
              <w:spacing w:line="240" w:lineRule="auto"/>
              <w:ind w:firstLineChars="0" w:firstLine="0"/>
              <w:jc w:val="right"/>
              <w:rPr>
                <w:rFonts w:cs="Calibri"/>
                <w:sz w:val="16"/>
                <w:szCs w:val="16"/>
              </w:rPr>
            </w:pPr>
            <w:r>
              <w:rPr>
                <w:rFonts w:cs="Calibri" w:hint="eastAsia"/>
                <w:sz w:val="16"/>
                <w:szCs w:val="16"/>
              </w:rPr>
              <w:t>16,299.40</w:t>
            </w:r>
          </w:p>
        </w:tc>
        <w:tc>
          <w:tcPr>
            <w:tcW w:w="698" w:type="pct"/>
            <w:tcBorders>
              <w:top w:val="nil"/>
              <w:left w:val="nil"/>
              <w:bottom w:val="single" w:sz="4" w:space="0" w:color="auto"/>
              <w:right w:val="single" w:sz="4" w:space="0" w:color="auto"/>
            </w:tcBorders>
            <w:shd w:val="clear" w:color="auto" w:fill="auto"/>
            <w:noWrap/>
            <w:vAlign w:val="center"/>
          </w:tcPr>
          <w:p>
            <w:pPr>
              <w:overflowPunct/>
              <w:spacing w:line="240" w:lineRule="auto"/>
              <w:ind w:firstLineChars="0" w:firstLine="0"/>
              <w:jc w:val="right"/>
              <w:rPr>
                <w:rFonts w:cs="Calibri"/>
                <w:sz w:val="16"/>
                <w:szCs w:val="16"/>
              </w:rPr>
            </w:pPr>
            <w:r>
              <w:rPr>
                <w:rFonts w:cs="Calibri" w:hint="eastAsia"/>
                <w:sz w:val="16"/>
                <w:szCs w:val="16"/>
              </w:rPr>
              <w:t>16,299.40</w:t>
            </w:r>
          </w:p>
        </w:tc>
        <w:tc>
          <w:tcPr>
            <w:tcW w:w="684" w:type="pct"/>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right"/>
              <w:rPr>
                <w:rFonts w:eastAsia="宋体" w:cs="Times New Roman"/>
                <w:b/>
                <w:color w:val="000000"/>
                <w:kern w:val="0"/>
                <w:sz w:val="20"/>
                <w:szCs w:val="20"/>
              </w:rPr>
            </w:pPr>
            <w:r>
              <w:rPr>
                <w:rFonts w:cs="Calibri" w:hint="eastAsia"/>
                <w:sz w:val="16"/>
                <w:szCs w:val="16"/>
              </w:rPr>
              <w:t>　</w:t>
            </w:r>
          </w:p>
        </w:tc>
        <w:tc>
          <w:tcPr>
            <w:tcW w:w="209" w:type="pct"/>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Times New Roman"/>
                <w:b/>
                <w:color w:val="000000"/>
                <w:kern w:val="0"/>
                <w:sz w:val="20"/>
                <w:szCs w:val="20"/>
              </w:rPr>
            </w:pPr>
          </w:p>
        </w:tc>
        <w:tc>
          <w:tcPr>
            <w:tcW w:w="231" w:type="pct"/>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Times New Roman"/>
                <w:color w:val="000000"/>
                <w:kern w:val="0"/>
                <w:sz w:val="20"/>
                <w:szCs w:val="20"/>
              </w:rPr>
            </w:pPr>
          </w:p>
        </w:tc>
        <w:tc>
          <w:tcPr>
            <w:tcW w:w="293" w:type="pct"/>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Times New Roman"/>
                <w:color w:val="000000"/>
                <w:kern w:val="0"/>
                <w:sz w:val="20"/>
                <w:szCs w:val="20"/>
              </w:rPr>
            </w:pPr>
          </w:p>
        </w:tc>
      </w:tr>
      <w:tr>
        <w:trPr>
          <w:cantSplit/>
          <w:trHeight w:val="360"/>
        </w:trPr>
        <w:tc>
          <w:tcPr>
            <w:tcW w:w="595" w:type="pct"/>
            <w:tcBorders>
              <w:top w:val="nil"/>
              <w:left w:val="single" w:sz="4" w:space="0" w:color="auto"/>
              <w:bottom w:val="single" w:sz="4" w:space="0" w:color="auto"/>
              <w:right w:val="single" w:sz="4" w:space="0" w:color="auto"/>
            </w:tcBorders>
            <w:shd w:val="clear" w:color="auto" w:fill="auto"/>
            <w:noWrap/>
            <w:vAlign w:val="center"/>
          </w:tcPr>
          <w:p>
            <w:pPr>
              <w:widowControl/>
              <w:overflowPunct/>
              <w:spacing w:line="240" w:lineRule="auto"/>
              <w:ind w:firstLineChars="0" w:firstLine="0"/>
              <w:jc w:val="left"/>
              <w:rPr>
                <w:rFonts w:eastAsia="宋体" w:cs="宋体"/>
                <w:b/>
                <w:color w:val="000000"/>
                <w:kern w:val="0"/>
                <w:sz w:val="20"/>
                <w:szCs w:val="20"/>
              </w:rPr>
            </w:pPr>
            <w:r>
              <w:rPr>
                <w:rFonts w:eastAsia="宋体" w:cs="宋体" w:hint="eastAsia"/>
                <w:b/>
                <w:color w:val="000000"/>
                <w:kern w:val="0"/>
                <w:sz w:val="20"/>
                <w:szCs w:val="20"/>
              </w:rPr>
              <w:t>22102</w:t>
            </w:r>
          </w:p>
        </w:tc>
        <w:tc>
          <w:tcPr>
            <w:tcW w:w="1742" w:type="pct"/>
            <w:tcBorders>
              <w:top w:val="nil"/>
              <w:left w:val="nil"/>
              <w:bottom w:val="single" w:sz="4" w:space="0" w:color="auto"/>
              <w:right w:val="single" w:sz="4" w:space="0" w:color="auto"/>
            </w:tcBorders>
            <w:shd w:val="clear" w:color="auto" w:fill="auto"/>
            <w:vAlign w:val="center"/>
          </w:tcPr>
          <w:p>
            <w:pPr>
              <w:widowControl/>
              <w:overflowPunct/>
              <w:spacing w:line="240" w:lineRule="auto"/>
              <w:ind w:firstLineChars="0" w:firstLine="0"/>
              <w:jc w:val="left"/>
              <w:rPr>
                <w:rFonts w:eastAsia="宋体" w:cs="宋体"/>
                <w:b/>
                <w:color w:val="000000"/>
                <w:kern w:val="0"/>
                <w:sz w:val="20"/>
                <w:szCs w:val="20"/>
              </w:rPr>
            </w:pPr>
            <w:r>
              <w:rPr>
                <w:rFonts w:eastAsia="宋体" w:cs="宋体" w:hint="eastAsia"/>
                <w:b/>
                <w:color w:val="000000"/>
                <w:kern w:val="0"/>
                <w:sz w:val="20"/>
                <w:szCs w:val="20"/>
              </w:rPr>
              <w:t>住房改革支出</w:t>
            </w:r>
          </w:p>
        </w:tc>
        <w:tc>
          <w:tcPr>
            <w:tcW w:w="548" w:type="pct"/>
            <w:tcBorders>
              <w:top w:val="nil"/>
              <w:left w:val="nil"/>
              <w:bottom w:val="single" w:sz="4" w:space="0" w:color="auto"/>
              <w:right w:val="single" w:sz="4" w:space="0" w:color="auto"/>
            </w:tcBorders>
            <w:shd w:val="clear" w:color="auto" w:fill="auto"/>
            <w:noWrap/>
            <w:vAlign w:val="center"/>
          </w:tcPr>
          <w:p>
            <w:pPr>
              <w:overflowPunct/>
              <w:spacing w:line="240" w:lineRule="auto"/>
              <w:ind w:firstLineChars="0" w:firstLine="0"/>
              <w:jc w:val="right"/>
              <w:rPr>
                <w:rFonts w:cs="Calibri"/>
                <w:sz w:val="16"/>
                <w:szCs w:val="16"/>
              </w:rPr>
            </w:pPr>
            <w:r>
              <w:rPr>
                <w:rFonts w:cs="Calibri" w:hint="eastAsia"/>
                <w:sz w:val="16"/>
                <w:szCs w:val="16"/>
              </w:rPr>
              <w:t>16,299.40</w:t>
            </w:r>
          </w:p>
        </w:tc>
        <w:tc>
          <w:tcPr>
            <w:tcW w:w="698" w:type="pct"/>
            <w:tcBorders>
              <w:top w:val="nil"/>
              <w:left w:val="nil"/>
              <w:bottom w:val="single" w:sz="4" w:space="0" w:color="auto"/>
              <w:right w:val="single" w:sz="4" w:space="0" w:color="auto"/>
            </w:tcBorders>
            <w:shd w:val="clear" w:color="auto" w:fill="auto"/>
            <w:noWrap/>
            <w:vAlign w:val="center"/>
          </w:tcPr>
          <w:p>
            <w:pPr>
              <w:overflowPunct/>
              <w:spacing w:line="240" w:lineRule="auto"/>
              <w:ind w:firstLineChars="0" w:firstLine="0"/>
              <w:jc w:val="right"/>
              <w:rPr>
                <w:rFonts w:cs="Calibri"/>
                <w:sz w:val="16"/>
                <w:szCs w:val="16"/>
              </w:rPr>
            </w:pPr>
            <w:r>
              <w:rPr>
                <w:rFonts w:cs="Calibri" w:hint="eastAsia"/>
                <w:sz w:val="16"/>
                <w:szCs w:val="16"/>
              </w:rPr>
              <w:t>16,299.40</w:t>
            </w:r>
          </w:p>
        </w:tc>
        <w:tc>
          <w:tcPr>
            <w:tcW w:w="684" w:type="pct"/>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right"/>
              <w:rPr>
                <w:rFonts w:eastAsia="宋体" w:cs="Times New Roman"/>
                <w:b/>
                <w:color w:val="000000"/>
                <w:kern w:val="0"/>
                <w:sz w:val="20"/>
                <w:szCs w:val="20"/>
              </w:rPr>
            </w:pPr>
            <w:r>
              <w:rPr>
                <w:rFonts w:cs="Calibri" w:hint="eastAsia"/>
                <w:sz w:val="16"/>
                <w:szCs w:val="16"/>
              </w:rPr>
              <w:t>　</w:t>
            </w:r>
          </w:p>
        </w:tc>
        <w:tc>
          <w:tcPr>
            <w:tcW w:w="209" w:type="pct"/>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Times New Roman"/>
                <w:b/>
                <w:color w:val="000000"/>
                <w:kern w:val="0"/>
                <w:sz w:val="20"/>
                <w:szCs w:val="20"/>
              </w:rPr>
            </w:pPr>
          </w:p>
        </w:tc>
        <w:tc>
          <w:tcPr>
            <w:tcW w:w="231" w:type="pct"/>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Times New Roman"/>
                <w:color w:val="000000"/>
                <w:kern w:val="0"/>
                <w:sz w:val="20"/>
                <w:szCs w:val="20"/>
              </w:rPr>
            </w:pPr>
          </w:p>
        </w:tc>
        <w:tc>
          <w:tcPr>
            <w:tcW w:w="293" w:type="pct"/>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Times New Roman"/>
                <w:color w:val="000000"/>
                <w:kern w:val="0"/>
                <w:sz w:val="20"/>
                <w:szCs w:val="20"/>
              </w:rPr>
            </w:pPr>
          </w:p>
        </w:tc>
      </w:tr>
      <w:tr>
        <w:trPr>
          <w:cantSplit/>
          <w:trHeight w:val="360"/>
        </w:trPr>
        <w:tc>
          <w:tcPr>
            <w:tcW w:w="595" w:type="pct"/>
            <w:tcBorders>
              <w:top w:val="nil"/>
              <w:left w:val="single" w:sz="4" w:space="0" w:color="auto"/>
              <w:bottom w:val="single" w:sz="4" w:space="0" w:color="auto"/>
              <w:right w:val="single" w:sz="4" w:space="0" w:color="auto"/>
            </w:tcBorders>
            <w:shd w:val="clear" w:color="auto" w:fill="auto"/>
            <w:noWrap/>
            <w:vAlign w:val="center"/>
          </w:tcPr>
          <w:p>
            <w:pPr>
              <w:widowControl/>
              <w:overflowPunct/>
              <w:spacing w:line="240" w:lineRule="auto"/>
              <w:ind w:firstLineChars="0" w:firstLine="0"/>
              <w:jc w:val="left"/>
              <w:rPr>
                <w:rFonts w:eastAsia="宋体" w:cs="宋体"/>
                <w:color w:val="000000"/>
                <w:kern w:val="0"/>
                <w:sz w:val="20"/>
                <w:szCs w:val="20"/>
              </w:rPr>
            </w:pPr>
            <w:r>
              <w:rPr>
                <w:rFonts w:eastAsia="宋体" w:cs="宋体" w:hint="eastAsia"/>
                <w:color w:val="000000"/>
                <w:kern w:val="0"/>
                <w:sz w:val="20"/>
                <w:szCs w:val="20"/>
              </w:rPr>
              <w:t>2210201</w:t>
            </w:r>
          </w:p>
        </w:tc>
        <w:tc>
          <w:tcPr>
            <w:tcW w:w="1742" w:type="pct"/>
            <w:tcBorders>
              <w:top w:val="nil"/>
              <w:left w:val="nil"/>
              <w:bottom w:val="single" w:sz="4" w:space="0" w:color="auto"/>
              <w:right w:val="single" w:sz="4" w:space="0" w:color="auto"/>
            </w:tcBorders>
            <w:shd w:val="clear" w:color="auto" w:fill="auto"/>
            <w:vAlign w:val="center"/>
          </w:tcPr>
          <w:p>
            <w:pPr>
              <w:widowControl/>
              <w:overflowPunct/>
              <w:spacing w:line="240" w:lineRule="auto"/>
              <w:ind w:firstLineChars="0" w:firstLine="0"/>
              <w:jc w:val="left"/>
              <w:rPr>
                <w:rFonts w:eastAsia="宋体" w:cs="宋体"/>
                <w:color w:val="000000"/>
                <w:kern w:val="0"/>
                <w:sz w:val="20"/>
                <w:szCs w:val="20"/>
              </w:rPr>
            </w:pPr>
            <w:r>
              <w:rPr>
                <w:rFonts w:eastAsia="宋体" w:cs="宋体" w:hint="eastAsia"/>
                <w:color w:val="000000"/>
                <w:kern w:val="0"/>
                <w:sz w:val="20"/>
                <w:szCs w:val="20"/>
              </w:rPr>
              <w:t>住房公积金</w:t>
            </w:r>
          </w:p>
        </w:tc>
        <w:tc>
          <w:tcPr>
            <w:tcW w:w="548" w:type="pct"/>
            <w:tcBorders>
              <w:top w:val="nil"/>
              <w:left w:val="nil"/>
              <w:bottom w:val="single" w:sz="4" w:space="0" w:color="auto"/>
              <w:right w:val="single" w:sz="4" w:space="0" w:color="auto"/>
            </w:tcBorders>
            <w:shd w:val="clear" w:color="auto" w:fill="auto"/>
            <w:noWrap/>
            <w:vAlign w:val="center"/>
          </w:tcPr>
          <w:p>
            <w:pPr>
              <w:overflowPunct/>
              <w:spacing w:line="240" w:lineRule="auto"/>
              <w:ind w:firstLineChars="0" w:firstLine="0"/>
              <w:jc w:val="right"/>
              <w:rPr>
                <w:rFonts w:cs="Calibri"/>
                <w:sz w:val="16"/>
                <w:szCs w:val="16"/>
              </w:rPr>
            </w:pPr>
            <w:r>
              <w:rPr>
                <w:rFonts w:cs="Calibri" w:hint="eastAsia"/>
                <w:sz w:val="16"/>
                <w:szCs w:val="16"/>
              </w:rPr>
              <w:t>6,361.06</w:t>
            </w:r>
          </w:p>
        </w:tc>
        <w:tc>
          <w:tcPr>
            <w:tcW w:w="698" w:type="pct"/>
            <w:tcBorders>
              <w:top w:val="nil"/>
              <w:left w:val="nil"/>
              <w:bottom w:val="single" w:sz="4" w:space="0" w:color="auto"/>
              <w:right w:val="single" w:sz="4" w:space="0" w:color="auto"/>
            </w:tcBorders>
            <w:shd w:val="clear" w:color="auto" w:fill="auto"/>
            <w:noWrap/>
            <w:vAlign w:val="center"/>
          </w:tcPr>
          <w:p>
            <w:pPr>
              <w:overflowPunct/>
              <w:spacing w:line="240" w:lineRule="auto"/>
              <w:ind w:firstLineChars="0" w:firstLine="0"/>
              <w:jc w:val="right"/>
              <w:rPr>
                <w:rFonts w:cs="Calibri"/>
                <w:sz w:val="16"/>
                <w:szCs w:val="16"/>
              </w:rPr>
            </w:pPr>
            <w:r>
              <w:rPr>
                <w:rFonts w:cs="Calibri" w:hint="eastAsia"/>
                <w:sz w:val="16"/>
                <w:szCs w:val="16"/>
              </w:rPr>
              <w:t>6,361.06</w:t>
            </w:r>
          </w:p>
        </w:tc>
        <w:tc>
          <w:tcPr>
            <w:tcW w:w="684" w:type="pct"/>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right"/>
              <w:rPr>
                <w:rFonts w:eastAsia="宋体" w:cs="Times New Roman"/>
                <w:color w:val="000000"/>
                <w:kern w:val="0"/>
                <w:sz w:val="20"/>
                <w:szCs w:val="20"/>
              </w:rPr>
            </w:pPr>
            <w:r>
              <w:rPr>
                <w:rFonts w:cs="Calibri" w:hint="eastAsia"/>
                <w:sz w:val="16"/>
                <w:szCs w:val="16"/>
              </w:rPr>
              <w:t>　</w:t>
            </w:r>
          </w:p>
        </w:tc>
        <w:tc>
          <w:tcPr>
            <w:tcW w:w="209" w:type="pct"/>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Times New Roman"/>
                <w:color w:val="000000"/>
                <w:kern w:val="0"/>
                <w:sz w:val="20"/>
                <w:szCs w:val="20"/>
              </w:rPr>
            </w:pPr>
          </w:p>
        </w:tc>
        <w:tc>
          <w:tcPr>
            <w:tcW w:w="231" w:type="pct"/>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Times New Roman"/>
                <w:color w:val="000000"/>
                <w:kern w:val="0"/>
                <w:sz w:val="20"/>
                <w:szCs w:val="20"/>
              </w:rPr>
            </w:pPr>
          </w:p>
        </w:tc>
        <w:tc>
          <w:tcPr>
            <w:tcW w:w="293" w:type="pct"/>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Times New Roman"/>
                <w:color w:val="000000"/>
                <w:kern w:val="0"/>
                <w:sz w:val="20"/>
                <w:szCs w:val="20"/>
              </w:rPr>
            </w:pPr>
          </w:p>
        </w:tc>
      </w:tr>
      <w:tr>
        <w:trPr>
          <w:cantSplit/>
          <w:trHeight w:val="360"/>
        </w:trPr>
        <w:tc>
          <w:tcPr>
            <w:tcW w:w="595" w:type="pct"/>
            <w:tcBorders>
              <w:top w:val="nil"/>
              <w:left w:val="single" w:sz="4" w:space="0" w:color="auto"/>
              <w:bottom w:val="single" w:sz="4" w:space="0" w:color="auto"/>
              <w:right w:val="single" w:sz="4" w:space="0" w:color="auto"/>
            </w:tcBorders>
            <w:shd w:val="clear" w:color="auto" w:fill="auto"/>
            <w:noWrap/>
            <w:vAlign w:val="center"/>
          </w:tcPr>
          <w:p>
            <w:pPr>
              <w:widowControl/>
              <w:overflowPunct/>
              <w:spacing w:line="240" w:lineRule="auto"/>
              <w:ind w:firstLineChars="0" w:firstLine="0"/>
              <w:jc w:val="left"/>
              <w:rPr>
                <w:rFonts w:eastAsia="宋体" w:cs="宋体"/>
                <w:color w:val="000000"/>
                <w:kern w:val="0"/>
                <w:sz w:val="20"/>
                <w:szCs w:val="20"/>
              </w:rPr>
            </w:pPr>
            <w:r>
              <w:rPr>
                <w:rFonts w:eastAsia="宋体" w:cs="宋体" w:hint="eastAsia"/>
                <w:color w:val="000000"/>
                <w:kern w:val="0"/>
                <w:sz w:val="20"/>
                <w:szCs w:val="20"/>
              </w:rPr>
              <w:t>2210203</w:t>
            </w:r>
          </w:p>
        </w:tc>
        <w:tc>
          <w:tcPr>
            <w:tcW w:w="1742" w:type="pct"/>
            <w:tcBorders>
              <w:top w:val="nil"/>
              <w:left w:val="nil"/>
              <w:bottom w:val="single" w:sz="4" w:space="0" w:color="auto"/>
              <w:right w:val="single" w:sz="4" w:space="0" w:color="auto"/>
            </w:tcBorders>
            <w:shd w:val="clear" w:color="auto" w:fill="auto"/>
            <w:vAlign w:val="center"/>
          </w:tcPr>
          <w:p>
            <w:pPr>
              <w:widowControl/>
              <w:overflowPunct/>
              <w:spacing w:line="240" w:lineRule="auto"/>
              <w:ind w:firstLineChars="0" w:firstLine="0"/>
              <w:jc w:val="left"/>
              <w:rPr>
                <w:rFonts w:eastAsia="宋体" w:cs="宋体"/>
                <w:color w:val="000000"/>
                <w:kern w:val="0"/>
                <w:sz w:val="20"/>
                <w:szCs w:val="20"/>
              </w:rPr>
            </w:pPr>
            <w:r>
              <w:rPr>
                <w:rFonts w:eastAsia="宋体" w:cs="宋体" w:hint="eastAsia"/>
                <w:color w:val="000000"/>
                <w:kern w:val="0"/>
                <w:sz w:val="20"/>
                <w:szCs w:val="20"/>
              </w:rPr>
              <w:t>购房补贴</w:t>
            </w:r>
          </w:p>
        </w:tc>
        <w:tc>
          <w:tcPr>
            <w:tcW w:w="548" w:type="pct"/>
            <w:tcBorders>
              <w:top w:val="nil"/>
              <w:left w:val="nil"/>
              <w:bottom w:val="single" w:sz="4" w:space="0" w:color="auto"/>
              <w:right w:val="single" w:sz="4" w:space="0" w:color="auto"/>
            </w:tcBorders>
            <w:shd w:val="clear" w:color="auto" w:fill="auto"/>
            <w:noWrap/>
            <w:vAlign w:val="center"/>
          </w:tcPr>
          <w:p>
            <w:pPr>
              <w:overflowPunct/>
              <w:spacing w:line="240" w:lineRule="auto"/>
              <w:ind w:firstLineChars="0" w:firstLine="0"/>
              <w:jc w:val="right"/>
              <w:rPr>
                <w:rFonts w:cs="Calibri"/>
                <w:sz w:val="16"/>
                <w:szCs w:val="16"/>
              </w:rPr>
            </w:pPr>
            <w:r>
              <w:rPr>
                <w:rFonts w:cs="Calibri" w:hint="eastAsia"/>
                <w:sz w:val="16"/>
                <w:szCs w:val="16"/>
              </w:rPr>
              <w:t>9,938.34</w:t>
            </w:r>
          </w:p>
        </w:tc>
        <w:tc>
          <w:tcPr>
            <w:tcW w:w="698" w:type="pct"/>
            <w:tcBorders>
              <w:top w:val="nil"/>
              <w:left w:val="nil"/>
              <w:bottom w:val="single" w:sz="4" w:space="0" w:color="auto"/>
              <w:right w:val="single" w:sz="4" w:space="0" w:color="auto"/>
            </w:tcBorders>
            <w:shd w:val="clear" w:color="auto" w:fill="auto"/>
            <w:noWrap/>
            <w:vAlign w:val="center"/>
          </w:tcPr>
          <w:p>
            <w:pPr>
              <w:overflowPunct/>
              <w:spacing w:line="240" w:lineRule="auto"/>
              <w:ind w:firstLineChars="0" w:firstLine="0"/>
              <w:jc w:val="right"/>
              <w:rPr>
                <w:rFonts w:cs="Calibri"/>
                <w:sz w:val="16"/>
                <w:szCs w:val="16"/>
              </w:rPr>
            </w:pPr>
            <w:r>
              <w:rPr>
                <w:rFonts w:cs="Calibri" w:hint="eastAsia"/>
                <w:sz w:val="16"/>
                <w:szCs w:val="16"/>
              </w:rPr>
              <w:t>9,938.34</w:t>
            </w:r>
          </w:p>
        </w:tc>
        <w:tc>
          <w:tcPr>
            <w:tcW w:w="684" w:type="pct"/>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right"/>
              <w:rPr>
                <w:rFonts w:eastAsia="宋体" w:cs="Times New Roman"/>
                <w:color w:val="000000"/>
                <w:kern w:val="0"/>
                <w:sz w:val="20"/>
                <w:szCs w:val="20"/>
              </w:rPr>
            </w:pPr>
            <w:r>
              <w:rPr>
                <w:rFonts w:cs="Calibri" w:hint="eastAsia"/>
                <w:sz w:val="16"/>
                <w:szCs w:val="16"/>
              </w:rPr>
              <w:t>　</w:t>
            </w:r>
          </w:p>
        </w:tc>
        <w:tc>
          <w:tcPr>
            <w:tcW w:w="209" w:type="pct"/>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Times New Roman"/>
                <w:color w:val="000000"/>
                <w:kern w:val="0"/>
                <w:sz w:val="20"/>
                <w:szCs w:val="20"/>
              </w:rPr>
            </w:pPr>
          </w:p>
        </w:tc>
        <w:tc>
          <w:tcPr>
            <w:tcW w:w="231" w:type="pct"/>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Times New Roman"/>
                <w:color w:val="000000"/>
                <w:kern w:val="0"/>
                <w:sz w:val="20"/>
                <w:szCs w:val="20"/>
              </w:rPr>
            </w:pPr>
          </w:p>
        </w:tc>
        <w:tc>
          <w:tcPr>
            <w:tcW w:w="293" w:type="pct"/>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Times New Roman"/>
                <w:color w:val="000000"/>
                <w:kern w:val="0"/>
                <w:sz w:val="20"/>
                <w:szCs w:val="20"/>
              </w:rPr>
            </w:pPr>
          </w:p>
        </w:tc>
      </w:tr>
      <w:tr>
        <w:trPr>
          <w:cantSplit/>
          <w:trHeight w:val="360"/>
        </w:trPr>
        <w:tc>
          <w:tcPr>
            <w:tcW w:w="595" w:type="pct"/>
            <w:tcBorders>
              <w:top w:val="nil"/>
              <w:left w:val="single" w:sz="4" w:space="0" w:color="auto"/>
              <w:bottom w:val="single" w:sz="4" w:space="0" w:color="auto"/>
              <w:right w:val="single" w:sz="4" w:space="0" w:color="auto"/>
            </w:tcBorders>
            <w:shd w:val="clear" w:color="auto" w:fill="auto"/>
            <w:noWrap/>
            <w:vAlign w:val="center"/>
          </w:tcPr>
          <w:p>
            <w:pPr>
              <w:widowControl/>
              <w:overflowPunct/>
              <w:spacing w:line="240" w:lineRule="auto"/>
              <w:ind w:firstLineChars="0" w:firstLine="0"/>
              <w:jc w:val="left"/>
              <w:rPr>
                <w:rFonts w:eastAsia="宋体" w:cs="宋体"/>
                <w:b/>
                <w:color w:val="000000"/>
                <w:kern w:val="0"/>
                <w:sz w:val="20"/>
                <w:szCs w:val="20"/>
              </w:rPr>
            </w:pPr>
            <w:r>
              <w:rPr>
                <w:rFonts w:eastAsia="宋体" w:cs="宋体"/>
                <w:b/>
                <w:color w:val="000000"/>
                <w:kern w:val="0"/>
                <w:sz w:val="20"/>
                <w:szCs w:val="20"/>
              </w:rPr>
              <w:t>229</w:t>
            </w:r>
          </w:p>
        </w:tc>
        <w:tc>
          <w:tcPr>
            <w:tcW w:w="1742" w:type="pct"/>
            <w:tcBorders>
              <w:top w:val="nil"/>
              <w:left w:val="nil"/>
              <w:bottom w:val="single" w:sz="4" w:space="0" w:color="auto"/>
              <w:right w:val="single" w:sz="4" w:space="0" w:color="auto"/>
            </w:tcBorders>
            <w:shd w:val="clear" w:color="auto" w:fill="auto"/>
            <w:vAlign w:val="center"/>
          </w:tcPr>
          <w:p>
            <w:pPr>
              <w:widowControl/>
              <w:overflowPunct/>
              <w:spacing w:line="240" w:lineRule="auto"/>
              <w:ind w:firstLineChars="0" w:firstLine="0"/>
              <w:jc w:val="left"/>
              <w:rPr>
                <w:rFonts w:eastAsia="宋体" w:cs="宋体"/>
                <w:b/>
                <w:color w:val="000000"/>
                <w:kern w:val="0"/>
                <w:sz w:val="20"/>
                <w:szCs w:val="20"/>
              </w:rPr>
            </w:pPr>
            <w:r>
              <w:rPr>
                <w:rFonts w:eastAsia="宋体" w:cs="宋体" w:hint="eastAsia"/>
                <w:b/>
                <w:color w:val="000000"/>
                <w:kern w:val="0"/>
                <w:sz w:val="20"/>
                <w:szCs w:val="20"/>
              </w:rPr>
              <w:t>其他支出</w:t>
            </w:r>
          </w:p>
        </w:tc>
        <w:tc>
          <w:tcPr>
            <w:tcW w:w="548" w:type="pct"/>
            <w:tcBorders>
              <w:top w:val="nil"/>
              <w:left w:val="nil"/>
              <w:bottom w:val="single" w:sz="4" w:space="0" w:color="auto"/>
              <w:right w:val="single" w:sz="4" w:space="0" w:color="auto"/>
            </w:tcBorders>
            <w:shd w:val="clear" w:color="auto" w:fill="auto"/>
            <w:noWrap/>
            <w:vAlign w:val="center"/>
          </w:tcPr>
          <w:p>
            <w:pPr>
              <w:overflowPunct/>
              <w:spacing w:line="240" w:lineRule="auto"/>
              <w:ind w:firstLineChars="0" w:firstLine="0"/>
              <w:jc w:val="right"/>
              <w:rPr>
                <w:rFonts w:cs="Calibri"/>
                <w:sz w:val="16"/>
                <w:szCs w:val="16"/>
              </w:rPr>
            </w:pPr>
            <w:r>
              <w:rPr>
                <w:rFonts w:cs="Calibri" w:hint="eastAsia"/>
                <w:sz w:val="16"/>
                <w:szCs w:val="16"/>
              </w:rPr>
              <w:t>2,948.23</w:t>
            </w:r>
          </w:p>
        </w:tc>
        <w:tc>
          <w:tcPr>
            <w:tcW w:w="698" w:type="pct"/>
            <w:tcBorders>
              <w:top w:val="nil"/>
              <w:left w:val="nil"/>
              <w:bottom w:val="single" w:sz="4" w:space="0" w:color="auto"/>
              <w:right w:val="single" w:sz="4" w:space="0" w:color="auto"/>
            </w:tcBorders>
            <w:shd w:val="clear" w:color="auto" w:fill="auto"/>
            <w:noWrap/>
            <w:vAlign w:val="center"/>
          </w:tcPr>
          <w:p>
            <w:pPr>
              <w:overflowPunct/>
              <w:spacing w:line="240" w:lineRule="auto"/>
              <w:ind w:firstLineChars="0" w:firstLine="0"/>
              <w:jc w:val="right"/>
              <w:rPr>
                <w:rFonts w:cs="Calibri"/>
                <w:sz w:val="16"/>
                <w:szCs w:val="16"/>
              </w:rPr>
            </w:pPr>
            <w:r>
              <w:rPr>
                <w:rFonts w:cs="Calibri" w:hint="eastAsia"/>
                <w:sz w:val="16"/>
                <w:szCs w:val="16"/>
              </w:rPr>
              <w:t>　</w:t>
            </w:r>
          </w:p>
        </w:tc>
        <w:tc>
          <w:tcPr>
            <w:tcW w:w="684" w:type="pct"/>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right"/>
              <w:rPr>
                <w:rFonts w:eastAsia="宋体" w:cs="Times New Roman"/>
                <w:color w:val="000000"/>
                <w:kern w:val="0"/>
                <w:sz w:val="20"/>
                <w:szCs w:val="20"/>
              </w:rPr>
            </w:pPr>
            <w:r>
              <w:rPr>
                <w:rFonts w:cs="Calibri" w:hint="eastAsia"/>
                <w:sz w:val="16"/>
                <w:szCs w:val="16"/>
              </w:rPr>
              <w:t>2,948.23</w:t>
            </w:r>
          </w:p>
        </w:tc>
        <w:tc>
          <w:tcPr>
            <w:tcW w:w="209" w:type="pct"/>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Times New Roman"/>
                <w:color w:val="000000"/>
                <w:kern w:val="0"/>
                <w:sz w:val="20"/>
                <w:szCs w:val="20"/>
              </w:rPr>
            </w:pPr>
          </w:p>
        </w:tc>
        <w:tc>
          <w:tcPr>
            <w:tcW w:w="231" w:type="pct"/>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Times New Roman"/>
                <w:color w:val="000000"/>
                <w:kern w:val="0"/>
                <w:sz w:val="20"/>
                <w:szCs w:val="20"/>
              </w:rPr>
            </w:pPr>
          </w:p>
        </w:tc>
        <w:tc>
          <w:tcPr>
            <w:tcW w:w="293" w:type="pct"/>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Times New Roman"/>
                <w:color w:val="000000"/>
                <w:kern w:val="0"/>
                <w:sz w:val="20"/>
                <w:szCs w:val="20"/>
              </w:rPr>
            </w:pPr>
          </w:p>
        </w:tc>
      </w:tr>
      <w:tr>
        <w:trPr>
          <w:cantSplit/>
          <w:trHeight w:val="360"/>
        </w:trPr>
        <w:tc>
          <w:tcPr>
            <w:tcW w:w="595" w:type="pct"/>
            <w:tcBorders>
              <w:top w:val="nil"/>
              <w:left w:val="single" w:sz="4" w:space="0" w:color="auto"/>
              <w:bottom w:val="single" w:sz="4" w:space="0" w:color="auto"/>
              <w:right w:val="single" w:sz="4" w:space="0" w:color="auto"/>
            </w:tcBorders>
            <w:shd w:val="clear" w:color="auto" w:fill="auto"/>
            <w:noWrap/>
            <w:vAlign w:val="center"/>
          </w:tcPr>
          <w:p>
            <w:pPr>
              <w:widowControl/>
              <w:overflowPunct/>
              <w:spacing w:line="240" w:lineRule="auto"/>
              <w:ind w:firstLineChars="0" w:firstLine="0"/>
              <w:jc w:val="left"/>
              <w:rPr>
                <w:rFonts w:eastAsia="宋体" w:cs="宋体"/>
                <w:b/>
                <w:color w:val="000000"/>
                <w:kern w:val="0"/>
                <w:sz w:val="20"/>
                <w:szCs w:val="20"/>
              </w:rPr>
            </w:pPr>
            <w:r>
              <w:rPr>
                <w:rFonts w:eastAsia="宋体" w:cs="宋体"/>
                <w:b/>
                <w:color w:val="000000"/>
                <w:kern w:val="0"/>
                <w:sz w:val="20"/>
                <w:szCs w:val="20"/>
              </w:rPr>
              <w:t>22998</w:t>
            </w:r>
          </w:p>
        </w:tc>
        <w:tc>
          <w:tcPr>
            <w:tcW w:w="1742" w:type="pct"/>
            <w:tcBorders>
              <w:top w:val="nil"/>
              <w:left w:val="nil"/>
              <w:bottom w:val="single" w:sz="4" w:space="0" w:color="auto"/>
              <w:right w:val="single" w:sz="4" w:space="0" w:color="auto"/>
            </w:tcBorders>
            <w:shd w:val="clear" w:color="auto" w:fill="auto"/>
            <w:vAlign w:val="center"/>
          </w:tcPr>
          <w:p>
            <w:pPr>
              <w:widowControl/>
              <w:overflowPunct/>
              <w:spacing w:line="240" w:lineRule="auto"/>
              <w:ind w:firstLineChars="0" w:firstLine="0"/>
              <w:jc w:val="left"/>
              <w:rPr>
                <w:rFonts w:eastAsia="宋体" w:cs="宋体"/>
                <w:b/>
                <w:color w:val="000000"/>
                <w:kern w:val="0"/>
                <w:sz w:val="20"/>
                <w:szCs w:val="20"/>
              </w:rPr>
            </w:pPr>
            <w:r>
              <w:rPr>
                <w:rFonts w:eastAsia="宋体" w:cs="宋体" w:hint="eastAsia"/>
                <w:b/>
                <w:color w:val="000000"/>
                <w:kern w:val="0"/>
                <w:sz w:val="20"/>
                <w:szCs w:val="20"/>
              </w:rPr>
              <w:t>超长期特别国债安排的其他支出</w:t>
            </w:r>
          </w:p>
        </w:tc>
        <w:tc>
          <w:tcPr>
            <w:tcW w:w="548" w:type="pct"/>
            <w:tcBorders>
              <w:top w:val="nil"/>
              <w:left w:val="nil"/>
              <w:bottom w:val="single" w:sz="4" w:space="0" w:color="auto"/>
              <w:right w:val="single" w:sz="4" w:space="0" w:color="auto"/>
            </w:tcBorders>
            <w:shd w:val="clear" w:color="auto" w:fill="auto"/>
            <w:noWrap/>
            <w:vAlign w:val="center"/>
          </w:tcPr>
          <w:p>
            <w:pPr>
              <w:overflowPunct/>
              <w:spacing w:line="240" w:lineRule="auto"/>
              <w:ind w:firstLineChars="0" w:firstLine="0"/>
              <w:jc w:val="right"/>
              <w:rPr>
                <w:rFonts w:cs="Calibri"/>
                <w:sz w:val="16"/>
                <w:szCs w:val="16"/>
              </w:rPr>
            </w:pPr>
            <w:r>
              <w:rPr>
                <w:rFonts w:cs="Calibri" w:hint="eastAsia"/>
                <w:sz w:val="16"/>
                <w:szCs w:val="16"/>
              </w:rPr>
              <w:t>2,948.23</w:t>
            </w:r>
          </w:p>
        </w:tc>
        <w:tc>
          <w:tcPr>
            <w:tcW w:w="698" w:type="pct"/>
            <w:tcBorders>
              <w:top w:val="nil"/>
              <w:left w:val="nil"/>
              <w:bottom w:val="single" w:sz="4" w:space="0" w:color="auto"/>
              <w:right w:val="single" w:sz="4" w:space="0" w:color="auto"/>
            </w:tcBorders>
            <w:shd w:val="clear" w:color="auto" w:fill="auto"/>
            <w:noWrap/>
            <w:vAlign w:val="center"/>
          </w:tcPr>
          <w:p>
            <w:pPr>
              <w:overflowPunct/>
              <w:spacing w:line="240" w:lineRule="auto"/>
              <w:ind w:firstLineChars="0" w:firstLine="0"/>
              <w:jc w:val="right"/>
              <w:rPr>
                <w:rFonts w:cs="Calibri"/>
                <w:sz w:val="16"/>
                <w:szCs w:val="16"/>
              </w:rPr>
            </w:pPr>
            <w:r>
              <w:rPr>
                <w:rFonts w:cs="Calibri" w:hint="eastAsia"/>
                <w:sz w:val="16"/>
                <w:szCs w:val="16"/>
              </w:rPr>
              <w:t>　</w:t>
            </w:r>
          </w:p>
        </w:tc>
        <w:tc>
          <w:tcPr>
            <w:tcW w:w="684" w:type="pct"/>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right"/>
              <w:rPr>
                <w:rFonts w:eastAsia="宋体" w:cs="Times New Roman"/>
                <w:color w:val="000000"/>
                <w:kern w:val="0"/>
                <w:sz w:val="20"/>
                <w:szCs w:val="20"/>
              </w:rPr>
            </w:pPr>
            <w:r>
              <w:rPr>
                <w:rFonts w:cs="Calibri" w:hint="eastAsia"/>
                <w:sz w:val="16"/>
                <w:szCs w:val="16"/>
              </w:rPr>
              <w:t>2,948.23</w:t>
            </w:r>
          </w:p>
        </w:tc>
        <w:tc>
          <w:tcPr>
            <w:tcW w:w="209" w:type="pct"/>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Times New Roman"/>
                <w:color w:val="000000"/>
                <w:kern w:val="0"/>
                <w:sz w:val="20"/>
                <w:szCs w:val="20"/>
              </w:rPr>
            </w:pPr>
          </w:p>
        </w:tc>
        <w:tc>
          <w:tcPr>
            <w:tcW w:w="231" w:type="pct"/>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Times New Roman"/>
                <w:color w:val="000000"/>
                <w:kern w:val="0"/>
                <w:sz w:val="20"/>
                <w:szCs w:val="20"/>
              </w:rPr>
            </w:pPr>
          </w:p>
        </w:tc>
        <w:tc>
          <w:tcPr>
            <w:tcW w:w="293" w:type="pct"/>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Times New Roman"/>
                <w:color w:val="000000"/>
                <w:kern w:val="0"/>
                <w:sz w:val="20"/>
                <w:szCs w:val="20"/>
              </w:rPr>
            </w:pPr>
          </w:p>
        </w:tc>
      </w:tr>
      <w:tr>
        <w:trPr>
          <w:cantSplit/>
          <w:trHeight w:val="360"/>
        </w:trPr>
        <w:tc>
          <w:tcPr>
            <w:tcW w:w="595" w:type="pct"/>
            <w:tcBorders>
              <w:top w:val="nil"/>
              <w:left w:val="single" w:sz="4" w:space="0" w:color="auto"/>
              <w:bottom w:val="single" w:sz="4" w:space="0" w:color="auto"/>
              <w:right w:val="single" w:sz="4" w:space="0" w:color="auto"/>
            </w:tcBorders>
            <w:shd w:val="clear" w:color="auto" w:fill="auto"/>
            <w:noWrap/>
            <w:vAlign w:val="center"/>
          </w:tcPr>
          <w:p>
            <w:pPr>
              <w:widowControl/>
              <w:overflowPunct/>
              <w:spacing w:line="240" w:lineRule="auto"/>
              <w:ind w:firstLineChars="0" w:firstLine="0"/>
              <w:jc w:val="left"/>
              <w:rPr>
                <w:rFonts w:eastAsia="宋体" w:cs="宋体"/>
                <w:color w:val="000000"/>
                <w:kern w:val="0"/>
                <w:sz w:val="20"/>
                <w:szCs w:val="20"/>
              </w:rPr>
            </w:pPr>
            <w:r>
              <w:rPr>
                <w:rFonts w:cs="Calibri" w:hint="eastAsia"/>
                <w:sz w:val="16"/>
                <w:szCs w:val="16"/>
              </w:rPr>
              <w:t>2299899</w:t>
            </w:r>
          </w:p>
        </w:tc>
        <w:tc>
          <w:tcPr>
            <w:tcW w:w="1742" w:type="pct"/>
            <w:tcBorders>
              <w:top w:val="nil"/>
              <w:left w:val="nil"/>
              <w:bottom w:val="single" w:sz="4" w:space="0" w:color="auto"/>
              <w:right w:val="single" w:sz="4" w:space="0" w:color="auto"/>
            </w:tcBorders>
            <w:shd w:val="clear" w:color="auto" w:fill="auto"/>
            <w:vAlign w:val="center"/>
          </w:tcPr>
          <w:p>
            <w:pPr>
              <w:widowControl/>
              <w:overflowPunct/>
              <w:spacing w:line="240" w:lineRule="auto"/>
              <w:ind w:firstLineChars="0" w:firstLine="0"/>
              <w:jc w:val="left"/>
              <w:rPr>
                <w:rFonts w:eastAsia="宋体" w:cs="宋体"/>
                <w:color w:val="000000"/>
                <w:kern w:val="0"/>
                <w:sz w:val="20"/>
                <w:szCs w:val="20"/>
              </w:rPr>
            </w:pPr>
            <w:r>
              <w:rPr>
                <w:rFonts w:cs="Calibri" w:hint="eastAsia"/>
                <w:sz w:val="16"/>
                <w:szCs w:val="16"/>
              </w:rPr>
              <w:t>其他支出</w:t>
            </w:r>
          </w:p>
        </w:tc>
        <w:tc>
          <w:tcPr>
            <w:tcW w:w="548" w:type="pct"/>
            <w:tcBorders>
              <w:top w:val="nil"/>
              <w:left w:val="nil"/>
              <w:bottom w:val="single" w:sz="4" w:space="0" w:color="auto"/>
              <w:right w:val="single" w:sz="4" w:space="0" w:color="auto"/>
            </w:tcBorders>
            <w:shd w:val="clear" w:color="auto" w:fill="auto"/>
            <w:noWrap/>
            <w:vAlign w:val="center"/>
          </w:tcPr>
          <w:p>
            <w:pPr>
              <w:overflowPunct/>
              <w:spacing w:line="240" w:lineRule="auto"/>
              <w:ind w:firstLineChars="0" w:firstLine="0"/>
              <w:jc w:val="right"/>
              <w:rPr>
                <w:rFonts w:cs="Calibri"/>
                <w:sz w:val="16"/>
                <w:szCs w:val="16"/>
              </w:rPr>
            </w:pPr>
            <w:r>
              <w:rPr>
                <w:rFonts w:cs="Calibri" w:hint="eastAsia"/>
                <w:sz w:val="16"/>
                <w:szCs w:val="16"/>
              </w:rPr>
              <w:t>2,948.23</w:t>
            </w:r>
          </w:p>
        </w:tc>
        <w:tc>
          <w:tcPr>
            <w:tcW w:w="698" w:type="pct"/>
            <w:tcBorders>
              <w:top w:val="nil"/>
              <w:left w:val="nil"/>
              <w:bottom w:val="single" w:sz="4" w:space="0" w:color="auto"/>
              <w:right w:val="single" w:sz="4" w:space="0" w:color="auto"/>
            </w:tcBorders>
            <w:shd w:val="clear" w:color="auto" w:fill="auto"/>
            <w:noWrap/>
            <w:vAlign w:val="center"/>
          </w:tcPr>
          <w:p>
            <w:pPr>
              <w:overflowPunct/>
              <w:spacing w:line="240" w:lineRule="auto"/>
              <w:ind w:firstLineChars="0" w:firstLine="0"/>
              <w:jc w:val="right"/>
              <w:rPr>
                <w:rFonts w:cs="Calibri"/>
                <w:sz w:val="16"/>
                <w:szCs w:val="16"/>
              </w:rPr>
            </w:pPr>
            <w:r>
              <w:rPr>
                <w:rFonts w:cs="Calibri" w:hint="eastAsia"/>
                <w:sz w:val="16"/>
                <w:szCs w:val="16"/>
              </w:rPr>
              <w:t>　</w:t>
            </w:r>
          </w:p>
        </w:tc>
        <w:tc>
          <w:tcPr>
            <w:tcW w:w="684" w:type="pct"/>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right"/>
              <w:rPr>
                <w:rFonts w:eastAsia="宋体" w:cs="Times New Roman"/>
                <w:color w:val="000000"/>
                <w:kern w:val="0"/>
                <w:sz w:val="20"/>
                <w:szCs w:val="20"/>
              </w:rPr>
            </w:pPr>
            <w:r>
              <w:rPr>
                <w:rFonts w:cs="Calibri" w:hint="eastAsia"/>
                <w:sz w:val="16"/>
                <w:szCs w:val="16"/>
              </w:rPr>
              <w:t>2,948.23</w:t>
            </w:r>
          </w:p>
        </w:tc>
        <w:tc>
          <w:tcPr>
            <w:tcW w:w="209" w:type="pct"/>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Times New Roman"/>
                <w:color w:val="000000"/>
                <w:kern w:val="0"/>
                <w:sz w:val="20"/>
                <w:szCs w:val="20"/>
              </w:rPr>
            </w:pPr>
          </w:p>
        </w:tc>
        <w:tc>
          <w:tcPr>
            <w:tcW w:w="231" w:type="pct"/>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Times New Roman"/>
                <w:color w:val="000000"/>
                <w:kern w:val="0"/>
                <w:sz w:val="20"/>
                <w:szCs w:val="20"/>
              </w:rPr>
            </w:pPr>
          </w:p>
        </w:tc>
        <w:tc>
          <w:tcPr>
            <w:tcW w:w="293" w:type="pct"/>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Times New Roman"/>
                <w:color w:val="000000"/>
                <w:kern w:val="0"/>
                <w:sz w:val="20"/>
                <w:szCs w:val="20"/>
              </w:rPr>
            </w:pPr>
          </w:p>
        </w:tc>
      </w:tr>
      <w:tr>
        <w:trPr>
          <w:cantSplit/>
          <w:trHeight w:val="360"/>
        </w:trPr>
        <w:tc>
          <w:tcPr>
            <w:tcW w:w="2337" w:type="pct"/>
            <w:gridSpan w:val="2"/>
            <w:tcBorders>
              <w:top w:val="nil"/>
              <w:left w:val="single" w:sz="4" w:space="0" w:color="auto"/>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宋体"/>
                <w:b/>
                <w:color w:val="000000"/>
                <w:kern w:val="0"/>
                <w:sz w:val="20"/>
                <w:szCs w:val="20"/>
              </w:rPr>
            </w:pPr>
            <w:r>
              <w:rPr>
                <w:rFonts w:eastAsia="宋体" w:cs="宋体" w:hint="eastAsia"/>
                <w:b/>
                <w:color w:val="000000"/>
                <w:kern w:val="0"/>
                <w:sz w:val="20"/>
                <w:szCs w:val="20"/>
              </w:rPr>
              <w:t>合      计</w:t>
            </w:r>
          </w:p>
        </w:tc>
        <w:tc>
          <w:tcPr>
            <w:tcW w:w="548" w:type="pct"/>
            <w:tcBorders>
              <w:top w:val="nil"/>
              <w:left w:val="nil"/>
              <w:bottom w:val="single" w:sz="4" w:space="0" w:color="auto"/>
              <w:right w:val="single" w:sz="4" w:space="0" w:color="auto"/>
            </w:tcBorders>
            <w:shd w:val="clear" w:color="auto" w:fill="auto"/>
            <w:noWrap/>
            <w:vAlign w:val="center"/>
          </w:tcPr>
          <w:p>
            <w:pPr>
              <w:overflowPunct/>
              <w:spacing w:line="240" w:lineRule="auto"/>
              <w:ind w:firstLineChars="0" w:firstLine="0"/>
              <w:jc w:val="right"/>
              <w:rPr>
                <w:rFonts w:cs="Calibri"/>
                <w:b/>
                <w:sz w:val="16"/>
                <w:szCs w:val="16"/>
              </w:rPr>
            </w:pPr>
            <w:r>
              <w:rPr>
                <w:rFonts w:cs="Calibri" w:hint="eastAsia"/>
                <w:b/>
                <w:bCs/>
                <w:sz w:val="16"/>
                <w:szCs w:val="16"/>
              </w:rPr>
              <w:t>153,800.92</w:t>
            </w:r>
          </w:p>
        </w:tc>
        <w:tc>
          <w:tcPr>
            <w:tcW w:w="698" w:type="pct"/>
            <w:tcBorders>
              <w:top w:val="nil"/>
              <w:left w:val="nil"/>
              <w:bottom w:val="single" w:sz="4" w:space="0" w:color="auto"/>
              <w:right w:val="single" w:sz="4" w:space="0" w:color="auto"/>
            </w:tcBorders>
            <w:shd w:val="clear" w:color="auto" w:fill="auto"/>
            <w:noWrap/>
            <w:vAlign w:val="center"/>
          </w:tcPr>
          <w:p>
            <w:pPr>
              <w:overflowPunct/>
              <w:spacing w:line="240" w:lineRule="auto"/>
              <w:ind w:firstLineChars="0" w:firstLine="0"/>
              <w:jc w:val="right"/>
              <w:rPr>
                <w:rFonts w:cs="Calibri"/>
                <w:b/>
                <w:sz w:val="16"/>
                <w:szCs w:val="16"/>
              </w:rPr>
            </w:pPr>
            <w:r>
              <w:rPr>
                <w:rFonts w:cs="Calibri"/>
                <w:b/>
                <w:bCs/>
                <w:sz w:val="16"/>
                <w:szCs w:val="16"/>
              </w:rPr>
              <w:t>135,577.94</w:t>
            </w:r>
          </w:p>
        </w:tc>
        <w:tc>
          <w:tcPr>
            <w:tcW w:w="684" w:type="pct"/>
            <w:tcBorders>
              <w:top w:val="nil"/>
              <w:left w:val="nil"/>
              <w:bottom w:val="single" w:sz="4" w:space="0" w:color="auto"/>
              <w:right w:val="single" w:sz="4" w:space="0" w:color="auto"/>
            </w:tcBorders>
            <w:shd w:val="clear" w:color="auto" w:fill="auto"/>
            <w:noWrap/>
            <w:vAlign w:val="center"/>
          </w:tcPr>
          <w:p>
            <w:pPr>
              <w:overflowPunct/>
              <w:spacing w:line="240" w:lineRule="auto"/>
              <w:ind w:firstLineChars="0" w:firstLine="0"/>
              <w:jc w:val="right"/>
              <w:rPr>
                <w:rFonts w:cs="Calibri"/>
                <w:b/>
                <w:sz w:val="16"/>
                <w:szCs w:val="16"/>
              </w:rPr>
            </w:pPr>
            <w:r>
              <w:rPr>
                <w:rFonts w:cs="Calibri"/>
                <w:b/>
                <w:bCs/>
                <w:sz w:val="16"/>
                <w:szCs w:val="16"/>
              </w:rPr>
              <w:t>18,222.98</w:t>
            </w:r>
          </w:p>
        </w:tc>
        <w:tc>
          <w:tcPr>
            <w:tcW w:w="209" w:type="pct"/>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Times New Roman"/>
                <w:b/>
                <w:color w:val="000000"/>
                <w:kern w:val="0"/>
                <w:sz w:val="20"/>
                <w:szCs w:val="20"/>
              </w:rPr>
            </w:pPr>
          </w:p>
        </w:tc>
        <w:tc>
          <w:tcPr>
            <w:tcW w:w="231" w:type="pct"/>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Times New Roman"/>
                <w:b/>
                <w:color w:val="000000"/>
                <w:kern w:val="0"/>
                <w:sz w:val="20"/>
                <w:szCs w:val="20"/>
              </w:rPr>
            </w:pPr>
          </w:p>
        </w:tc>
        <w:tc>
          <w:tcPr>
            <w:tcW w:w="293" w:type="pct"/>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Times New Roman"/>
                <w:b/>
                <w:color w:val="000000"/>
                <w:kern w:val="0"/>
                <w:sz w:val="20"/>
                <w:szCs w:val="20"/>
              </w:rPr>
            </w:pPr>
          </w:p>
        </w:tc>
      </w:tr>
    </w:tbl>
    <w:p>
      <w:pPr>
        <w:widowControl/>
        <w:overflowPunct/>
        <w:spacing w:line="240" w:lineRule="auto"/>
        <w:ind w:firstLineChars="0" w:firstLine="0"/>
        <w:jc w:val="left"/>
        <w:sectPr>
          <w:pgSz w:w="11906" w:h="16838"/>
          <w:pgMar w:top="1440" w:right="1797" w:bottom="1440" w:left="1797" w:header="851" w:footer="992" w:gutter="0"/>
          <w:docGrid w:type="lines" w:linePitch="312" w:charSpace="0"/>
        </w:sectPr>
      </w:pPr>
    </w:p>
    <w:p>
      <w:pPr>
        <w:pStyle w:val="22"/>
        <w:outlineLvl w:val="1"/>
      </w:pPr>
      <w:r>
        <w:rPr>
          <w:rFonts w:hint="eastAsia"/>
        </w:rPr>
        <w:t>四、财政拨款收支总表</w:t>
      </w:r>
    </w:p>
    <w:tbl>
      <w:tblPr>
        <w:jc w:val="center"/>
        <w:tblW w:w="13892"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4253"/>
        <w:gridCol w:w="2693"/>
        <w:gridCol w:w="4253"/>
        <w:gridCol w:w="2693"/>
      </w:tblGrid>
      <w:tr>
        <w:trPr>
          <w:trHeight w:val="319"/>
        </w:trPr>
        <w:tc>
          <w:tcPr>
            <w:tcW w:w="11199" w:type="dxa"/>
            <w:gridSpan w:val="3"/>
            <w:tcBorders>
              <w:top w:val="nil"/>
              <w:left w:val="nil"/>
              <w:bottom w:val="nil"/>
              <w:right w:val="nil"/>
            </w:tcBorders>
            <w:shd w:val="clear" w:color="auto" w:fill="auto"/>
            <w:noWrap/>
            <w:vAlign w:val="center"/>
          </w:tcPr>
          <w:p>
            <w:pPr>
              <w:widowControl/>
              <w:overflowPunct/>
              <w:spacing w:line="240" w:lineRule="auto"/>
              <w:ind w:firstLineChars="0" w:firstLine="0"/>
              <w:jc w:val="left"/>
              <w:rPr>
                <w:rFonts w:eastAsia="宋体" w:cs="宋体"/>
                <w:kern w:val="0"/>
                <w:sz w:val="24"/>
                <w:szCs w:val="24"/>
              </w:rPr>
            </w:pPr>
          </w:p>
        </w:tc>
        <w:tc>
          <w:tcPr>
            <w:tcW w:w="2693" w:type="dxa"/>
            <w:tcBorders>
              <w:top w:val="nil"/>
              <w:left w:val="nil"/>
              <w:bottom w:val="nil"/>
              <w:right w:val="nil"/>
            </w:tcBorders>
            <w:shd w:val="clear" w:color="auto" w:fill="auto"/>
            <w:noWrap/>
            <w:vAlign w:val="center"/>
          </w:tcPr>
          <w:p>
            <w:pPr>
              <w:widowControl/>
              <w:overflowPunct/>
              <w:spacing w:line="240" w:lineRule="auto"/>
              <w:ind w:firstLineChars="0" w:firstLine="0"/>
              <w:jc w:val="right"/>
              <w:rPr>
                <w:rFonts w:eastAsia="黑体" w:cs="宋体"/>
                <w:color w:val="000000"/>
                <w:kern w:val="0"/>
                <w:sz w:val="20"/>
                <w:szCs w:val="20"/>
              </w:rPr>
            </w:pPr>
            <w:r>
              <w:rPr>
                <w:rFonts w:eastAsia="黑体" w:cs="宋体" w:hint="eastAsia"/>
                <w:color w:val="000000"/>
                <w:kern w:val="0"/>
                <w:sz w:val="20"/>
                <w:szCs w:val="20"/>
              </w:rPr>
              <w:t>部门公开表4</w:t>
            </w:r>
          </w:p>
        </w:tc>
      </w:tr>
      <w:tr>
        <w:trPr>
          <w:trHeight w:val="540"/>
        </w:trPr>
        <w:tc>
          <w:tcPr>
            <w:tcW w:w="13892" w:type="dxa"/>
            <w:gridSpan w:val="4"/>
            <w:tcBorders>
              <w:top w:val="nil"/>
              <w:left w:val="nil"/>
              <w:bottom w:val="nil"/>
              <w:right w:val="nil"/>
            </w:tcBorders>
            <w:shd w:val="clear" w:color="auto" w:fill="auto"/>
            <w:noWrap/>
            <w:vAlign w:val="center"/>
          </w:tcPr>
          <w:p>
            <w:pPr>
              <w:widowControl/>
              <w:overflowPunct/>
              <w:spacing w:line="240" w:lineRule="auto"/>
              <w:ind w:firstLineChars="0" w:firstLine="0"/>
              <w:jc w:val="center"/>
              <w:rPr>
                <w:rFonts w:eastAsia="宋体" w:cs="宋体"/>
                <w:color w:val="000000"/>
                <w:kern w:val="0"/>
                <w:sz w:val="36"/>
                <w:szCs w:val="36"/>
              </w:rPr>
            </w:pPr>
            <w:r>
              <w:rPr>
                <w:rFonts w:eastAsia="宋体" w:cs="宋体" w:hint="eastAsia"/>
                <w:color w:val="000000"/>
                <w:kern w:val="0"/>
                <w:sz w:val="36"/>
                <w:szCs w:val="36"/>
              </w:rPr>
              <w:t>财政拨款收支总表</w:t>
            </w:r>
          </w:p>
        </w:tc>
      </w:tr>
      <w:tr>
        <w:trPr>
          <w:trHeight w:val="360"/>
        </w:trPr>
        <w:tc>
          <w:tcPr>
            <w:tcW w:w="4253" w:type="dxa"/>
            <w:tcBorders>
              <w:top w:val="nil"/>
              <w:left w:val="nil"/>
              <w:bottom w:val="single" w:sz="4" w:space="0" w:color="auto"/>
              <w:right w:val="nil"/>
            </w:tcBorders>
            <w:shd w:val="clear" w:color="auto" w:fill="auto"/>
            <w:noWrap/>
            <w:vAlign w:val="center"/>
          </w:tcPr>
          <w:p>
            <w:pPr>
              <w:widowControl/>
              <w:overflowPunct/>
              <w:spacing w:line="240" w:lineRule="auto"/>
              <w:ind w:firstLineChars="0" w:firstLine="0"/>
              <w:jc w:val="left"/>
              <w:rPr>
                <w:rFonts w:eastAsia="宋体" w:cs="宋体"/>
                <w:color w:val="000000"/>
                <w:kern w:val="0"/>
                <w:sz w:val="18"/>
                <w:szCs w:val="18"/>
              </w:rPr>
            </w:pPr>
            <w:r>
              <w:rPr>
                <w:rFonts w:eastAsia="宋体" w:cs="宋体" w:hint="eastAsia"/>
                <w:color w:val="000000"/>
                <w:kern w:val="0"/>
                <w:sz w:val="18"/>
                <w:szCs w:val="18"/>
              </w:rPr>
              <w:t>　</w:t>
            </w:r>
          </w:p>
        </w:tc>
        <w:tc>
          <w:tcPr>
            <w:tcW w:w="2693" w:type="dxa"/>
            <w:tcBorders>
              <w:top w:val="nil"/>
              <w:left w:val="nil"/>
              <w:bottom w:val="single" w:sz="4" w:space="0" w:color="auto"/>
              <w:right w:val="nil"/>
            </w:tcBorders>
            <w:shd w:val="clear" w:color="auto" w:fill="auto"/>
            <w:noWrap/>
            <w:vAlign w:val="center"/>
          </w:tcPr>
          <w:p>
            <w:pPr>
              <w:widowControl/>
              <w:overflowPunct/>
              <w:spacing w:line="240" w:lineRule="auto"/>
              <w:ind w:firstLineChars="0" w:firstLine="0"/>
              <w:jc w:val="left"/>
              <w:rPr>
                <w:rFonts w:eastAsia="宋体" w:cs="宋体"/>
                <w:color w:val="000000"/>
                <w:kern w:val="0"/>
                <w:sz w:val="22"/>
              </w:rPr>
            </w:pPr>
            <w:r>
              <w:rPr>
                <w:rFonts w:eastAsia="宋体" w:cs="宋体" w:hint="eastAsia"/>
                <w:color w:val="000000"/>
                <w:kern w:val="0"/>
                <w:sz w:val="22"/>
              </w:rPr>
              <w:t>　</w:t>
            </w:r>
          </w:p>
        </w:tc>
        <w:tc>
          <w:tcPr>
            <w:tcW w:w="4253" w:type="dxa"/>
            <w:tcBorders>
              <w:top w:val="nil"/>
              <w:left w:val="nil"/>
              <w:bottom w:val="single" w:sz="4" w:space="0" w:color="auto"/>
              <w:right w:val="nil"/>
            </w:tcBorders>
            <w:shd w:val="clear" w:color="auto" w:fill="auto"/>
            <w:noWrap/>
            <w:vAlign w:val="center"/>
          </w:tcPr>
          <w:p>
            <w:pPr>
              <w:widowControl/>
              <w:overflowPunct/>
              <w:spacing w:line="240" w:lineRule="auto"/>
              <w:ind w:firstLineChars="0" w:firstLine="0"/>
              <w:jc w:val="left"/>
              <w:rPr>
                <w:rFonts w:eastAsia="宋体" w:cs="宋体"/>
                <w:color w:val="000000"/>
                <w:kern w:val="0"/>
                <w:sz w:val="22"/>
              </w:rPr>
            </w:pPr>
            <w:r>
              <w:rPr>
                <w:rFonts w:eastAsia="宋体" w:cs="宋体" w:hint="eastAsia"/>
                <w:color w:val="000000"/>
                <w:kern w:val="0"/>
                <w:sz w:val="22"/>
              </w:rPr>
              <w:t>　</w:t>
            </w:r>
          </w:p>
        </w:tc>
        <w:tc>
          <w:tcPr>
            <w:tcW w:w="2693" w:type="dxa"/>
            <w:tcBorders>
              <w:top w:val="nil"/>
              <w:left w:val="nil"/>
              <w:bottom w:val="nil"/>
              <w:right w:val="nil"/>
            </w:tcBorders>
            <w:shd w:val="clear" w:color="auto" w:fill="auto"/>
            <w:noWrap/>
            <w:vAlign w:val="center"/>
          </w:tcPr>
          <w:p>
            <w:pPr>
              <w:widowControl/>
              <w:overflowPunct/>
              <w:spacing w:line="240" w:lineRule="auto"/>
              <w:ind w:firstLineChars="0" w:firstLine="0"/>
              <w:jc w:val="right"/>
              <w:rPr>
                <w:rFonts w:eastAsia="宋体" w:cs="宋体"/>
                <w:color w:val="000000"/>
                <w:kern w:val="0"/>
                <w:sz w:val="18"/>
                <w:szCs w:val="18"/>
              </w:rPr>
            </w:pPr>
            <w:r>
              <w:rPr>
                <w:rFonts w:eastAsia="宋体" w:cs="宋体" w:hint="eastAsia"/>
                <w:color w:val="000000"/>
                <w:kern w:val="0"/>
                <w:sz w:val="18"/>
                <w:szCs w:val="18"/>
              </w:rPr>
              <w:t>单位：万元</w:t>
            </w:r>
          </w:p>
        </w:tc>
      </w:tr>
      <w:tr>
        <w:trPr>
          <w:trHeight w:val="360"/>
        </w:trPr>
        <w:tc>
          <w:tcPr>
            <w:tcW w:w="69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overflowPunct/>
              <w:spacing w:line="240" w:lineRule="auto"/>
              <w:ind w:firstLineChars="0" w:firstLine="0"/>
              <w:jc w:val="center"/>
              <w:rPr>
                <w:rFonts w:eastAsia="宋体" w:cs="宋体"/>
                <w:color w:val="000000"/>
                <w:kern w:val="0"/>
                <w:sz w:val="24"/>
                <w:szCs w:val="24"/>
              </w:rPr>
            </w:pPr>
            <w:r>
              <w:rPr>
                <w:rFonts w:eastAsia="宋体" w:cs="宋体" w:hint="eastAsia"/>
                <w:color w:val="000000"/>
                <w:kern w:val="0"/>
                <w:sz w:val="24"/>
                <w:szCs w:val="24"/>
              </w:rPr>
              <w:t>收      入</w:t>
            </w:r>
          </w:p>
        </w:tc>
        <w:tc>
          <w:tcPr>
            <w:tcW w:w="6946" w:type="dxa"/>
            <w:gridSpan w:val="2"/>
            <w:tcBorders>
              <w:top w:val="single" w:sz="4" w:space="0" w:color="auto"/>
              <w:left w:val="nil"/>
              <w:bottom w:val="single" w:sz="4" w:space="0" w:color="auto"/>
              <w:right w:val="single" w:sz="4" w:space="0" w:color="auto"/>
            </w:tcBorders>
            <w:shd w:val="clear" w:color="auto" w:fill="auto"/>
            <w:vAlign w:val="center"/>
          </w:tcPr>
          <w:p>
            <w:pPr>
              <w:widowControl/>
              <w:overflowPunct/>
              <w:spacing w:line="240" w:lineRule="auto"/>
              <w:ind w:firstLineChars="0" w:firstLine="0"/>
              <w:jc w:val="center"/>
              <w:rPr>
                <w:rFonts w:eastAsia="宋体" w:cs="宋体"/>
                <w:color w:val="000000"/>
                <w:kern w:val="0"/>
                <w:sz w:val="24"/>
                <w:szCs w:val="24"/>
              </w:rPr>
            </w:pPr>
            <w:r>
              <w:rPr>
                <w:rFonts w:eastAsia="宋体" w:cs="宋体" w:hint="eastAsia"/>
                <w:color w:val="000000"/>
                <w:kern w:val="0"/>
                <w:sz w:val="24"/>
                <w:szCs w:val="24"/>
              </w:rPr>
              <w:t>支      出</w:t>
            </w:r>
          </w:p>
        </w:tc>
      </w:tr>
      <w:tr>
        <w:trPr>
          <w:trHeight w:val="360"/>
        </w:trPr>
        <w:tc>
          <w:tcPr>
            <w:tcW w:w="4253" w:type="dxa"/>
            <w:tcBorders>
              <w:top w:val="nil"/>
              <w:left w:val="single" w:sz="4" w:space="0" w:color="auto"/>
              <w:bottom w:val="single" w:sz="4" w:space="0" w:color="auto"/>
              <w:right w:val="single" w:sz="4" w:space="0" w:color="auto"/>
            </w:tcBorders>
            <w:shd w:val="clear" w:color="auto" w:fill="auto"/>
            <w:vAlign w:val="center"/>
          </w:tcPr>
          <w:p>
            <w:pPr>
              <w:widowControl/>
              <w:overflowPunct/>
              <w:spacing w:line="240" w:lineRule="auto"/>
              <w:ind w:firstLineChars="0" w:firstLine="0"/>
              <w:jc w:val="center"/>
              <w:rPr>
                <w:rFonts w:eastAsia="宋体" w:cs="宋体"/>
                <w:color w:val="000000"/>
                <w:kern w:val="0"/>
                <w:sz w:val="24"/>
                <w:szCs w:val="24"/>
              </w:rPr>
            </w:pPr>
            <w:r>
              <w:rPr>
                <w:rFonts w:eastAsia="宋体" w:cs="宋体" w:hint="eastAsia"/>
                <w:color w:val="000000"/>
                <w:kern w:val="0"/>
                <w:sz w:val="24"/>
                <w:szCs w:val="24"/>
              </w:rPr>
              <w:t>项目</w:t>
            </w:r>
          </w:p>
        </w:tc>
        <w:tc>
          <w:tcPr>
            <w:tcW w:w="2693" w:type="dxa"/>
            <w:tcBorders>
              <w:top w:val="nil"/>
              <w:left w:val="nil"/>
              <w:bottom w:val="single" w:sz="4" w:space="0" w:color="auto"/>
              <w:right w:val="single" w:sz="4" w:space="0" w:color="auto"/>
            </w:tcBorders>
            <w:shd w:val="clear" w:color="auto" w:fill="auto"/>
            <w:vAlign w:val="center"/>
          </w:tcPr>
          <w:p>
            <w:pPr>
              <w:widowControl/>
              <w:overflowPunct/>
              <w:spacing w:line="240" w:lineRule="auto"/>
              <w:ind w:firstLineChars="0" w:firstLine="0"/>
              <w:jc w:val="center"/>
              <w:rPr>
                <w:rFonts w:eastAsia="宋体" w:cs="宋体"/>
                <w:color w:val="000000"/>
                <w:kern w:val="0"/>
                <w:sz w:val="24"/>
                <w:szCs w:val="24"/>
              </w:rPr>
            </w:pPr>
            <w:r>
              <w:rPr>
                <w:rFonts w:eastAsia="宋体" w:cs="宋体" w:hint="eastAsia"/>
                <w:color w:val="000000"/>
                <w:kern w:val="0"/>
                <w:sz w:val="24"/>
                <w:szCs w:val="24"/>
              </w:rPr>
              <w:t>预算数</w:t>
            </w:r>
          </w:p>
        </w:tc>
        <w:tc>
          <w:tcPr>
            <w:tcW w:w="4253" w:type="dxa"/>
            <w:tcBorders>
              <w:top w:val="nil"/>
              <w:left w:val="nil"/>
              <w:bottom w:val="single" w:sz="4" w:space="0" w:color="auto"/>
              <w:right w:val="single" w:sz="4" w:space="0" w:color="auto"/>
            </w:tcBorders>
            <w:shd w:val="clear" w:color="auto" w:fill="auto"/>
            <w:vAlign w:val="center"/>
          </w:tcPr>
          <w:p>
            <w:pPr>
              <w:widowControl/>
              <w:overflowPunct/>
              <w:spacing w:line="240" w:lineRule="auto"/>
              <w:ind w:firstLineChars="0" w:firstLine="0"/>
              <w:jc w:val="center"/>
              <w:rPr>
                <w:rFonts w:eastAsia="宋体" w:cs="宋体"/>
                <w:color w:val="000000"/>
                <w:kern w:val="0"/>
                <w:sz w:val="24"/>
                <w:szCs w:val="24"/>
              </w:rPr>
            </w:pPr>
            <w:r>
              <w:rPr>
                <w:rFonts w:eastAsia="宋体" w:cs="宋体" w:hint="eastAsia"/>
                <w:color w:val="000000"/>
                <w:kern w:val="0"/>
                <w:sz w:val="24"/>
                <w:szCs w:val="24"/>
              </w:rPr>
              <w:t>项目</w:t>
            </w:r>
          </w:p>
        </w:tc>
        <w:tc>
          <w:tcPr>
            <w:tcW w:w="2693" w:type="dxa"/>
            <w:tcBorders>
              <w:top w:val="nil"/>
              <w:left w:val="nil"/>
              <w:bottom w:val="single" w:sz="4" w:space="0" w:color="auto"/>
              <w:right w:val="single" w:sz="4" w:space="0" w:color="auto"/>
            </w:tcBorders>
            <w:shd w:val="clear" w:color="auto" w:fill="auto"/>
            <w:vAlign w:val="center"/>
          </w:tcPr>
          <w:p>
            <w:pPr>
              <w:widowControl/>
              <w:overflowPunct/>
              <w:spacing w:line="240" w:lineRule="auto"/>
              <w:ind w:firstLineChars="0" w:firstLine="0"/>
              <w:jc w:val="center"/>
              <w:rPr>
                <w:rFonts w:eastAsia="宋体" w:cs="宋体"/>
                <w:color w:val="000000"/>
                <w:kern w:val="0"/>
                <w:sz w:val="24"/>
                <w:szCs w:val="24"/>
              </w:rPr>
            </w:pPr>
            <w:r>
              <w:rPr>
                <w:rFonts w:eastAsia="宋体" w:cs="宋体" w:hint="eastAsia"/>
                <w:color w:val="000000"/>
                <w:kern w:val="0"/>
                <w:sz w:val="24"/>
                <w:szCs w:val="24"/>
              </w:rPr>
              <w:t>预算数</w:t>
            </w:r>
          </w:p>
        </w:tc>
      </w:tr>
      <w:tr>
        <w:trPr>
          <w:trHeight w:val="360"/>
        </w:trPr>
        <w:tc>
          <w:tcPr>
            <w:tcW w:w="4253" w:type="dxa"/>
            <w:tcBorders>
              <w:top w:val="nil"/>
              <w:left w:val="single" w:sz="4" w:space="0" w:color="auto"/>
              <w:bottom w:val="single" w:sz="4" w:space="0" w:color="auto"/>
              <w:right w:val="single" w:sz="4" w:space="0" w:color="auto"/>
            </w:tcBorders>
            <w:shd w:val="clear" w:color="auto" w:fill="auto"/>
            <w:noWrap/>
            <w:vAlign w:val="center"/>
          </w:tcPr>
          <w:p>
            <w:pPr>
              <w:widowControl/>
              <w:overflowPunct/>
              <w:spacing w:line="240" w:lineRule="auto"/>
              <w:ind w:firstLineChars="0" w:firstLine="0"/>
              <w:jc w:val="left"/>
              <w:rPr>
                <w:rFonts w:eastAsia="宋体" w:cs="宋体"/>
                <w:color w:val="000000"/>
                <w:kern w:val="0"/>
                <w:sz w:val="24"/>
                <w:szCs w:val="24"/>
              </w:rPr>
            </w:pPr>
            <w:r>
              <w:rPr>
                <w:rFonts w:eastAsia="宋体" w:cs="宋体" w:hint="eastAsia"/>
                <w:color w:val="000000"/>
                <w:kern w:val="0"/>
                <w:sz w:val="24"/>
                <w:szCs w:val="24"/>
              </w:rPr>
              <w:t>一、本年收入</w:t>
            </w:r>
          </w:p>
        </w:tc>
        <w:tc>
          <w:tcPr>
            <w:tcW w:w="2693"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right"/>
              <w:rPr>
                <w:rFonts w:cs="Calibri"/>
                <w:sz w:val="20"/>
                <w:szCs w:val="20"/>
              </w:rPr>
            </w:pPr>
            <w:r>
              <w:rPr>
                <w:rFonts w:cs="Calibri" w:hint="eastAsia"/>
                <w:color w:val="000000"/>
                <w:sz w:val="18"/>
                <w:szCs w:val="18"/>
              </w:rPr>
              <w:t>91,539.51</w:t>
            </w:r>
          </w:p>
        </w:tc>
        <w:tc>
          <w:tcPr>
            <w:tcW w:w="4253"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left"/>
              <w:rPr>
                <w:rFonts w:eastAsia="宋体" w:cs="宋体"/>
                <w:color w:val="000000"/>
                <w:kern w:val="0"/>
                <w:sz w:val="24"/>
                <w:szCs w:val="24"/>
              </w:rPr>
            </w:pPr>
            <w:r>
              <w:rPr>
                <w:rFonts w:eastAsia="宋体" w:cs="宋体" w:hint="eastAsia"/>
                <w:color w:val="000000"/>
                <w:kern w:val="0"/>
                <w:sz w:val="24"/>
                <w:szCs w:val="24"/>
              </w:rPr>
              <w:t>一、本年支出</w:t>
            </w:r>
          </w:p>
        </w:tc>
        <w:tc>
          <w:tcPr>
            <w:tcW w:w="2693"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right"/>
              <w:rPr>
                <w:rFonts w:cs="Calibri"/>
                <w:sz w:val="20"/>
                <w:szCs w:val="20"/>
              </w:rPr>
            </w:pPr>
            <w:r>
              <w:rPr>
                <w:rFonts w:cs="Calibri" w:hint="eastAsia"/>
                <w:color w:val="000000"/>
                <w:sz w:val="18"/>
                <w:szCs w:val="18"/>
              </w:rPr>
              <w:t>94,494.43</w:t>
            </w:r>
          </w:p>
        </w:tc>
      </w:tr>
      <w:tr>
        <w:trPr>
          <w:trHeight w:val="360"/>
        </w:trPr>
        <w:tc>
          <w:tcPr>
            <w:tcW w:w="4253" w:type="dxa"/>
            <w:tcBorders>
              <w:top w:val="nil"/>
              <w:left w:val="single" w:sz="4" w:space="0" w:color="auto"/>
              <w:bottom w:val="single" w:sz="4" w:space="0" w:color="auto"/>
              <w:right w:val="single" w:sz="4" w:space="0" w:color="auto"/>
            </w:tcBorders>
            <w:shd w:val="clear" w:color="auto" w:fill="auto"/>
            <w:noWrap/>
            <w:vAlign w:val="center"/>
          </w:tcPr>
          <w:p>
            <w:pPr>
              <w:widowControl/>
              <w:overflowPunct/>
              <w:spacing w:line="240" w:lineRule="auto"/>
              <w:ind w:firstLineChars="0" w:firstLine="0"/>
              <w:jc w:val="left"/>
              <w:rPr>
                <w:rFonts w:eastAsia="宋体" w:cs="宋体"/>
                <w:color w:val="000000"/>
                <w:kern w:val="0"/>
                <w:sz w:val="24"/>
                <w:szCs w:val="24"/>
              </w:rPr>
            </w:pPr>
            <w:r>
              <w:rPr>
                <w:rFonts w:eastAsia="宋体" w:cs="宋体" w:hint="eastAsia"/>
                <w:color w:val="000000"/>
                <w:kern w:val="0"/>
                <w:sz w:val="24"/>
                <w:szCs w:val="24"/>
              </w:rPr>
              <w:t>（一）一般公共预算拨款</w:t>
            </w:r>
          </w:p>
        </w:tc>
        <w:tc>
          <w:tcPr>
            <w:tcW w:w="2693"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right"/>
              <w:rPr>
                <w:rFonts w:cs="Calibri"/>
                <w:sz w:val="20"/>
                <w:szCs w:val="20"/>
              </w:rPr>
            </w:pPr>
            <w:r>
              <w:rPr>
                <w:rFonts w:cs="Calibri" w:hint="eastAsia"/>
                <w:color w:val="000000"/>
                <w:sz w:val="18"/>
                <w:szCs w:val="18"/>
              </w:rPr>
              <w:t>91,539.51</w:t>
            </w:r>
          </w:p>
        </w:tc>
        <w:tc>
          <w:tcPr>
            <w:tcW w:w="4253"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left"/>
              <w:rPr>
                <w:rFonts w:eastAsia="宋体" w:cs="宋体"/>
                <w:color w:val="000000"/>
                <w:kern w:val="0"/>
                <w:sz w:val="24"/>
                <w:szCs w:val="24"/>
              </w:rPr>
            </w:pPr>
            <w:r>
              <w:rPr>
                <w:rFonts w:eastAsia="宋体" w:cs="宋体" w:hint="eastAsia"/>
                <w:color w:val="000000"/>
                <w:kern w:val="0"/>
                <w:sz w:val="24"/>
                <w:szCs w:val="24"/>
              </w:rPr>
              <w:t>（一）一般公共服务支出</w:t>
            </w:r>
          </w:p>
        </w:tc>
        <w:tc>
          <w:tcPr>
            <w:tcW w:w="2693"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right"/>
              <w:rPr>
                <w:rFonts w:cs="Calibri"/>
                <w:sz w:val="20"/>
                <w:szCs w:val="20"/>
              </w:rPr>
            </w:pPr>
            <w:r>
              <w:rPr>
                <w:rFonts w:cs="Calibri" w:hint="eastAsia"/>
                <w:color w:val="000000"/>
                <w:sz w:val="18"/>
                <w:szCs w:val="18"/>
              </w:rPr>
              <w:t>60,498.83</w:t>
            </w:r>
          </w:p>
        </w:tc>
      </w:tr>
      <w:tr>
        <w:trPr>
          <w:trHeight w:val="360"/>
        </w:trPr>
        <w:tc>
          <w:tcPr>
            <w:tcW w:w="4253" w:type="dxa"/>
            <w:tcBorders>
              <w:top w:val="nil"/>
              <w:left w:val="single" w:sz="4" w:space="0" w:color="auto"/>
              <w:bottom w:val="single" w:sz="4" w:space="0" w:color="auto"/>
              <w:right w:val="single" w:sz="4" w:space="0" w:color="auto"/>
            </w:tcBorders>
            <w:shd w:val="clear" w:color="auto" w:fill="auto"/>
            <w:noWrap/>
            <w:vAlign w:val="center"/>
          </w:tcPr>
          <w:p>
            <w:pPr>
              <w:widowControl/>
              <w:overflowPunct/>
              <w:spacing w:line="240" w:lineRule="auto"/>
              <w:ind w:firstLineChars="0" w:firstLine="0"/>
              <w:jc w:val="left"/>
              <w:rPr>
                <w:rFonts w:eastAsia="宋体" w:cs="宋体"/>
                <w:color w:val="000000"/>
                <w:kern w:val="0"/>
                <w:sz w:val="24"/>
                <w:szCs w:val="24"/>
              </w:rPr>
            </w:pPr>
            <w:r>
              <w:rPr>
                <w:rFonts w:eastAsia="宋体" w:cs="宋体" w:hint="eastAsia"/>
                <w:color w:val="000000"/>
                <w:kern w:val="0"/>
                <w:sz w:val="24"/>
                <w:szCs w:val="24"/>
              </w:rPr>
              <w:t>（二）政府性基金预算拨款</w:t>
            </w:r>
          </w:p>
        </w:tc>
        <w:tc>
          <w:tcPr>
            <w:tcW w:w="2693"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right"/>
              <w:rPr>
                <w:rFonts w:eastAsia="宋体" w:cs="Times New Roman"/>
                <w:color w:val="000000"/>
                <w:kern w:val="0"/>
                <w:sz w:val="24"/>
                <w:szCs w:val="24"/>
              </w:rPr>
            </w:pPr>
            <w:r>
              <w:rPr>
                <w:rFonts w:cs="Calibri" w:hint="eastAsia"/>
                <w:color w:val="000000"/>
                <w:sz w:val="18"/>
                <w:szCs w:val="18"/>
              </w:rPr>
              <w:t>　</w:t>
            </w:r>
          </w:p>
        </w:tc>
        <w:tc>
          <w:tcPr>
            <w:tcW w:w="4253"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left"/>
              <w:rPr>
                <w:rFonts w:eastAsia="宋体" w:cs="宋体"/>
                <w:color w:val="000000"/>
                <w:kern w:val="0"/>
                <w:sz w:val="24"/>
                <w:szCs w:val="24"/>
              </w:rPr>
            </w:pPr>
            <w:r>
              <w:rPr>
                <w:rFonts w:eastAsia="宋体" w:cs="宋体" w:hint="eastAsia"/>
                <w:color w:val="000000"/>
                <w:kern w:val="0"/>
                <w:sz w:val="24"/>
                <w:szCs w:val="24"/>
              </w:rPr>
              <w:t>（二）公共安全支出</w:t>
            </w:r>
          </w:p>
        </w:tc>
        <w:tc>
          <w:tcPr>
            <w:tcW w:w="2693"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right"/>
              <w:rPr>
                <w:rFonts w:cs="Calibri"/>
                <w:sz w:val="20"/>
                <w:szCs w:val="20"/>
              </w:rPr>
            </w:pPr>
            <w:r>
              <w:rPr>
                <w:rFonts w:cs="Calibri" w:hint="eastAsia"/>
                <w:color w:val="000000"/>
                <w:sz w:val="18"/>
                <w:szCs w:val="18"/>
              </w:rPr>
              <w:t>6,230.59</w:t>
            </w:r>
          </w:p>
        </w:tc>
      </w:tr>
      <w:tr>
        <w:trPr>
          <w:trHeight w:val="360"/>
        </w:trPr>
        <w:tc>
          <w:tcPr>
            <w:tcW w:w="4253" w:type="dxa"/>
            <w:tcBorders>
              <w:top w:val="nil"/>
              <w:left w:val="single" w:sz="4" w:space="0" w:color="auto"/>
              <w:bottom w:val="single" w:sz="4" w:space="0" w:color="auto"/>
              <w:right w:val="single" w:sz="4" w:space="0" w:color="auto"/>
            </w:tcBorders>
            <w:shd w:val="clear" w:color="auto" w:fill="auto"/>
            <w:noWrap/>
            <w:vAlign w:val="center"/>
          </w:tcPr>
          <w:p>
            <w:pPr>
              <w:widowControl/>
              <w:overflowPunct/>
              <w:spacing w:line="240" w:lineRule="auto"/>
              <w:ind w:firstLineChars="0" w:firstLine="0"/>
              <w:jc w:val="left"/>
              <w:rPr>
                <w:rFonts w:eastAsia="宋体" w:cs="宋体"/>
                <w:color w:val="000000"/>
                <w:kern w:val="0"/>
                <w:sz w:val="24"/>
                <w:szCs w:val="24"/>
              </w:rPr>
            </w:pPr>
            <w:r>
              <w:rPr>
                <w:rFonts w:eastAsia="宋体" w:cs="宋体" w:hint="eastAsia"/>
                <w:color w:val="000000"/>
                <w:kern w:val="0"/>
                <w:sz w:val="24"/>
                <w:szCs w:val="24"/>
              </w:rPr>
              <w:t>（三）国有资本经营预算拨款</w:t>
            </w:r>
          </w:p>
        </w:tc>
        <w:tc>
          <w:tcPr>
            <w:tcW w:w="2693"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right"/>
              <w:rPr>
                <w:rFonts w:eastAsia="宋体" w:cs="Times New Roman"/>
                <w:color w:val="000000"/>
                <w:kern w:val="0"/>
                <w:sz w:val="24"/>
                <w:szCs w:val="24"/>
              </w:rPr>
            </w:pPr>
            <w:r>
              <w:rPr>
                <w:rFonts w:cs="Calibri" w:hint="eastAsia"/>
                <w:color w:val="000000"/>
                <w:sz w:val="18"/>
                <w:szCs w:val="18"/>
              </w:rPr>
              <w:t>　</w:t>
            </w:r>
          </w:p>
        </w:tc>
        <w:tc>
          <w:tcPr>
            <w:tcW w:w="4253"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left"/>
              <w:rPr>
                <w:rFonts w:eastAsia="宋体" w:cs="宋体"/>
                <w:color w:val="000000"/>
                <w:kern w:val="0"/>
                <w:sz w:val="24"/>
                <w:szCs w:val="24"/>
              </w:rPr>
            </w:pPr>
            <w:r>
              <w:rPr>
                <w:rFonts w:eastAsia="宋体" w:cs="宋体" w:hint="eastAsia"/>
                <w:color w:val="000000"/>
                <w:kern w:val="0"/>
                <w:sz w:val="24"/>
                <w:szCs w:val="24"/>
              </w:rPr>
              <w:t>（三）社会保障和就业支出</w:t>
            </w:r>
          </w:p>
        </w:tc>
        <w:tc>
          <w:tcPr>
            <w:tcW w:w="2693"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right"/>
              <w:rPr>
                <w:rFonts w:cs="Calibri"/>
                <w:sz w:val="20"/>
                <w:szCs w:val="20"/>
              </w:rPr>
            </w:pPr>
            <w:r>
              <w:rPr>
                <w:rFonts w:cs="Calibri" w:hint="eastAsia"/>
                <w:color w:val="000000"/>
                <w:sz w:val="18"/>
                <w:szCs w:val="18"/>
              </w:rPr>
              <w:t>7,817.71</w:t>
            </w:r>
          </w:p>
        </w:tc>
      </w:tr>
      <w:tr>
        <w:trPr>
          <w:trHeight w:val="360"/>
        </w:trPr>
        <w:tc>
          <w:tcPr>
            <w:tcW w:w="4253" w:type="dxa"/>
            <w:tcBorders>
              <w:top w:val="nil"/>
              <w:left w:val="single" w:sz="4" w:space="0" w:color="auto"/>
              <w:bottom w:val="single" w:sz="4" w:space="0" w:color="auto"/>
              <w:right w:val="single" w:sz="4" w:space="0" w:color="auto"/>
            </w:tcBorders>
            <w:shd w:val="clear" w:color="auto" w:fill="auto"/>
            <w:noWrap/>
            <w:vAlign w:val="center"/>
          </w:tcPr>
          <w:p>
            <w:pPr>
              <w:widowControl/>
              <w:overflowPunct/>
              <w:spacing w:line="240" w:lineRule="auto"/>
              <w:ind w:firstLineChars="0" w:firstLine="0"/>
              <w:jc w:val="left"/>
              <w:rPr>
                <w:rFonts w:eastAsia="宋体" w:cs="宋体"/>
                <w:color w:val="000000"/>
                <w:kern w:val="0"/>
                <w:sz w:val="24"/>
                <w:szCs w:val="24"/>
              </w:rPr>
            </w:pPr>
          </w:p>
        </w:tc>
        <w:tc>
          <w:tcPr>
            <w:tcW w:w="2693"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right"/>
              <w:rPr>
                <w:rFonts w:eastAsia="宋体" w:cs="Times New Roman"/>
                <w:color w:val="000000"/>
                <w:kern w:val="0"/>
                <w:sz w:val="24"/>
                <w:szCs w:val="24"/>
              </w:rPr>
            </w:pPr>
            <w:r>
              <w:rPr>
                <w:rFonts w:cs="Calibri" w:hint="eastAsia"/>
                <w:color w:val="000000"/>
                <w:sz w:val="18"/>
                <w:szCs w:val="18"/>
              </w:rPr>
              <w:t>　</w:t>
            </w:r>
          </w:p>
        </w:tc>
        <w:tc>
          <w:tcPr>
            <w:tcW w:w="4253"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left"/>
              <w:rPr>
                <w:rFonts w:eastAsia="宋体" w:cs="宋体"/>
                <w:color w:val="000000"/>
                <w:kern w:val="0"/>
                <w:sz w:val="24"/>
                <w:szCs w:val="24"/>
              </w:rPr>
            </w:pPr>
            <w:r>
              <w:rPr>
                <w:rFonts w:eastAsia="宋体" w:cs="宋体" w:hint="eastAsia"/>
                <w:color w:val="000000"/>
                <w:kern w:val="0"/>
                <w:sz w:val="24"/>
                <w:szCs w:val="24"/>
              </w:rPr>
              <w:t>（四）卫生健康支出</w:t>
            </w:r>
          </w:p>
        </w:tc>
        <w:tc>
          <w:tcPr>
            <w:tcW w:w="2693"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right"/>
              <w:rPr>
                <w:rFonts w:cs="Calibri"/>
                <w:sz w:val="20"/>
                <w:szCs w:val="20"/>
              </w:rPr>
            </w:pPr>
            <w:r>
              <w:rPr>
                <w:rFonts w:cs="Calibri" w:hint="eastAsia"/>
                <w:color w:val="000000"/>
                <w:sz w:val="18"/>
                <w:szCs w:val="18"/>
              </w:rPr>
              <w:t>4,258.84</w:t>
            </w:r>
          </w:p>
        </w:tc>
      </w:tr>
      <w:tr>
        <w:trPr>
          <w:trHeight w:val="360"/>
        </w:trPr>
        <w:tc>
          <w:tcPr>
            <w:tcW w:w="4253" w:type="dxa"/>
            <w:tcBorders>
              <w:top w:val="nil"/>
              <w:left w:val="single" w:sz="4" w:space="0" w:color="auto"/>
              <w:bottom w:val="single" w:sz="4" w:space="0" w:color="auto"/>
              <w:right w:val="single" w:sz="4" w:space="0" w:color="auto"/>
            </w:tcBorders>
            <w:shd w:val="clear" w:color="auto" w:fill="auto"/>
            <w:noWrap/>
            <w:vAlign w:val="center"/>
          </w:tcPr>
          <w:p>
            <w:pPr>
              <w:widowControl/>
              <w:overflowPunct/>
              <w:spacing w:line="240" w:lineRule="auto"/>
              <w:ind w:firstLineChars="0" w:firstLine="0"/>
              <w:jc w:val="left"/>
              <w:rPr>
                <w:rFonts w:eastAsia="宋体" w:cs="宋体"/>
                <w:color w:val="000000"/>
                <w:kern w:val="0"/>
                <w:sz w:val="24"/>
                <w:szCs w:val="24"/>
              </w:rPr>
            </w:pPr>
            <w:r>
              <w:rPr>
                <w:rFonts w:eastAsia="宋体" w:cs="宋体" w:hint="eastAsia"/>
                <w:color w:val="000000"/>
                <w:kern w:val="0"/>
                <w:sz w:val="24"/>
                <w:szCs w:val="24"/>
              </w:rPr>
              <w:t>二、上年结转</w:t>
            </w:r>
          </w:p>
        </w:tc>
        <w:tc>
          <w:tcPr>
            <w:tcW w:w="2693"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right"/>
              <w:rPr>
                <w:rFonts w:cs="Calibri"/>
                <w:sz w:val="20"/>
                <w:szCs w:val="20"/>
              </w:rPr>
            </w:pPr>
            <w:r>
              <w:rPr>
                <w:rFonts w:cs="Calibri" w:hint="eastAsia"/>
                <w:color w:val="000000"/>
                <w:sz w:val="18"/>
                <w:szCs w:val="18"/>
              </w:rPr>
              <w:t>2,954.92</w:t>
            </w:r>
          </w:p>
        </w:tc>
        <w:tc>
          <w:tcPr>
            <w:tcW w:w="4253"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left"/>
              <w:rPr>
                <w:rFonts w:eastAsia="宋体" w:cs="宋体"/>
                <w:color w:val="000000"/>
                <w:kern w:val="0"/>
                <w:sz w:val="24"/>
                <w:szCs w:val="24"/>
              </w:rPr>
            </w:pPr>
            <w:r>
              <w:rPr>
                <w:rFonts w:eastAsia="宋体" w:cs="宋体" w:hint="eastAsia"/>
                <w:color w:val="000000"/>
                <w:kern w:val="0"/>
                <w:sz w:val="24"/>
                <w:szCs w:val="24"/>
              </w:rPr>
              <w:t>（五）住房保障支出</w:t>
            </w:r>
          </w:p>
        </w:tc>
        <w:tc>
          <w:tcPr>
            <w:tcW w:w="2693"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right"/>
              <w:rPr>
                <w:rFonts w:cs="Calibri"/>
                <w:sz w:val="20"/>
                <w:szCs w:val="20"/>
              </w:rPr>
            </w:pPr>
            <w:r>
              <w:rPr>
                <w:rFonts w:cs="Calibri" w:hint="eastAsia"/>
                <w:color w:val="000000"/>
                <w:sz w:val="18"/>
                <w:szCs w:val="18"/>
              </w:rPr>
              <w:t>12,740.23</w:t>
            </w:r>
          </w:p>
        </w:tc>
      </w:tr>
      <w:tr>
        <w:trPr>
          <w:trHeight w:val="360"/>
        </w:trPr>
        <w:tc>
          <w:tcPr>
            <w:tcW w:w="4253" w:type="dxa"/>
            <w:tcBorders>
              <w:top w:val="nil"/>
              <w:left w:val="single" w:sz="4" w:space="0" w:color="auto"/>
              <w:bottom w:val="single" w:sz="4" w:space="0" w:color="auto"/>
              <w:right w:val="single" w:sz="4" w:space="0" w:color="auto"/>
            </w:tcBorders>
            <w:shd w:val="clear" w:color="auto" w:fill="auto"/>
            <w:noWrap/>
            <w:vAlign w:val="center"/>
          </w:tcPr>
          <w:p>
            <w:pPr>
              <w:widowControl/>
              <w:overflowPunct/>
              <w:spacing w:line="240" w:lineRule="auto"/>
              <w:ind w:firstLineChars="0" w:firstLine="0"/>
              <w:jc w:val="left"/>
              <w:rPr>
                <w:rFonts w:eastAsia="宋体" w:cs="宋体"/>
                <w:color w:val="000000"/>
                <w:kern w:val="0"/>
                <w:sz w:val="24"/>
                <w:szCs w:val="24"/>
              </w:rPr>
            </w:pPr>
            <w:r>
              <w:rPr>
                <w:rFonts w:eastAsia="宋体" w:cs="宋体" w:hint="eastAsia"/>
                <w:color w:val="000000"/>
                <w:kern w:val="0"/>
                <w:sz w:val="24"/>
                <w:szCs w:val="24"/>
              </w:rPr>
              <w:t>（一）一般公共预算拨款</w:t>
            </w:r>
          </w:p>
        </w:tc>
        <w:tc>
          <w:tcPr>
            <w:tcW w:w="2693"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right"/>
              <w:rPr>
                <w:rFonts w:cs="Calibri"/>
                <w:sz w:val="20"/>
                <w:szCs w:val="20"/>
              </w:rPr>
            </w:pPr>
            <w:r>
              <w:rPr>
                <w:rFonts w:cs="Calibri" w:hint="eastAsia"/>
                <w:color w:val="000000"/>
                <w:sz w:val="18"/>
                <w:szCs w:val="18"/>
              </w:rPr>
              <w:t>6.69</w:t>
            </w:r>
          </w:p>
        </w:tc>
        <w:tc>
          <w:tcPr>
            <w:tcW w:w="4253"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left"/>
              <w:rPr>
                <w:rFonts w:eastAsia="宋体" w:cs="宋体"/>
                <w:color w:val="000000"/>
                <w:kern w:val="0"/>
                <w:sz w:val="24"/>
                <w:szCs w:val="24"/>
              </w:rPr>
            </w:pPr>
            <w:r>
              <w:rPr>
                <w:rFonts w:eastAsia="宋体" w:cs="宋体" w:hint="eastAsia"/>
                <w:color w:val="000000"/>
                <w:kern w:val="0"/>
                <w:sz w:val="24"/>
                <w:szCs w:val="24"/>
              </w:rPr>
              <w:t>（六）其他支出</w:t>
            </w:r>
          </w:p>
        </w:tc>
        <w:tc>
          <w:tcPr>
            <w:tcW w:w="2693"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right"/>
              <w:rPr>
                <w:rFonts w:eastAsia="宋体" w:cs="Times New Roman"/>
                <w:color w:val="000000"/>
                <w:kern w:val="0"/>
                <w:sz w:val="24"/>
                <w:szCs w:val="24"/>
              </w:rPr>
            </w:pPr>
            <w:r>
              <w:rPr>
                <w:rFonts w:cs="Calibri" w:hint="eastAsia"/>
                <w:color w:val="000000"/>
                <w:sz w:val="18"/>
                <w:szCs w:val="18"/>
              </w:rPr>
              <w:t>2,948.23</w:t>
            </w:r>
          </w:p>
        </w:tc>
      </w:tr>
      <w:tr>
        <w:trPr>
          <w:trHeight w:val="360"/>
        </w:trPr>
        <w:tc>
          <w:tcPr>
            <w:tcW w:w="4253" w:type="dxa"/>
            <w:tcBorders>
              <w:top w:val="nil"/>
              <w:left w:val="single" w:sz="4" w:space="0" w:color="auto"/>
              <w:bottom w:val="single" w:sz="4" w:space="0" w:color="auto"/>
              <w:right w:val="single" w:sz="4" w:space="0" w:color="auto"/>
            </w:tcBorders>
            <w:shd w:val="clear" w:color="auto" w:fill="auto"/>
            <w:noWrap/>
            <w:vAlign w:val="center"/>
          </w:tcPr>
          <w:p>
            <w:pPr>
              <w:widowControl/>
              <w:overflowPunct/>
              <w:spacing w:line="240" w:lineRule="auto"/>
              <w:ind w:firstLineChars="0" w:firstLine="0"/>
              <w:jc w:val="left"/>
              <w:rPr>
                <w:rFonts w:eastAsia="宋体" w:cs="宋体"/>
                <w:color w:val="000000"/>
                <w:kern w:val="0"/>
                <w:sz w:val="24"/>
                <w:szCs w:val="24"/>
              </w:rPr>
            </w:pPr>
            <w:r>
              <w:rPr>
                <w:rFonts w:eastAsia="宋体" w:cs="宋体" w:hint="eastAsia"/>
                <w:color w:val="000000"/>
                <w:kern w:val="0"/>
                <w:sz w:val="24"/>
                <w:szCs w:val="24"/>
              </w:rPr>
              <w:t>（二）政府性基金预算拨款</w:t>
            </w:r>
          </w:p>
        </w:tc>
        <w:tc>
          <w:tcPr>
            <w:tcW w:w="2693"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right"/>
              <w:rPr>
                <w:rFonts w:eastAsia="宋体" w:cs="Times New Roman"/>
                <w:color w:val="000000"/>
                <w:kern w:val="0"/>
                <w:sz w:val="24"/>
                <w:szCs w:val="24"/>
              </w:rPr>
            </w:pPr>
            <w:r>
              <w:rPr>
                <w:rFonts w:cs="Calibri" w:hint="eastAsia"/>
                <w:color w:val="000000"/>
                <w:sz w:val="18"/>
                <w:szCs w:val="18"/>
              </w:rPr>
              <w:t>2,948.23</w:t>
            </w:r>
          </w:p>
        </w:tc>
        <w:tc>
          <w:tcPr>
            <w:tcW w:w="4253"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left"/>
              <w:rPr>
                <w:rFonts w:eastAsia="宋体" w:cs="宋体"/>
                <w:color w:val="000000"/>
                <w:kern w:val="0"/>
                <w:sz w:val="24"/>
                <w:szCs w:val="24"/>
              </w:rPr>
            </w:pPr>
          </w:p>
        </w:tc>
        <w:tc>
          <w:tcPr>
            <w:tcW w:w="2693"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right"/>
              <w:rPr>
                <w:rFonts w:eastAsia="宋体" w:cs="Times New Roman"/>
                <w:color w:val="000000"/>
                <w:kern w:val="0"/>
                <w:sz w:val="24"/>
                <w:szCs w:val="24"/>
              </w:rPr>
            </w:pPr>
          </w:p>
        </w:tc>
      </w:tr>
      <w:tr>
        <w:trPr>
          <w:trHeight w:val="360"/>
        </w:trPr>
        <w:tc>
          <w:tcPr>
            <w:tcW w:w="4253" w:type="dxa"/>
            <w:tcBorders>
              <w:top w:val="nil"/>
              <w:left w:val="single" w:sz="4" w:space="0" w:color="auto"/>
              <w:bottom w:val="single" w:sz="4" w:space="0" w:color="auto"/>
              <w:right w:val="single" w:sz="4" w:space="0" w:color="auto"/>
            </w:tcBorders>
            <w:shd w:val="clear" w:color="auto" w:fill="auto"/>
            <w:noWrap/>
            <w:vAlign w:val="center"/>
          </w:tcPr>
          <w:p>
            <w:pPr>
              <w:widowControl/>
              <w:overflowPunct/>
              <w:spacing w:line="240" w:lineRule="auto"/>
              <w:ind w:firstLineChars="0" w:firstLine="0"/>
              <w:jc w:val="left"/>
              <w:rPr>
                <w:rFonts w:eastAsia="宋体" w:cs="宋体"/>
                <w:color w:val="000000"/>
                <w:kern w:val="0"/>
                <w:sz w:val="24"/>
                <w:szCs w:val="24"/>
              </w:rPr>
            </w:pPr>
            <w:r>
              <w:rPr>
                <w:rFonts w:eastAsia="宋体" w:cs="宋体" w:hint="eastAsia"/>
                <w:color w:val="000000"/>
                <w:kern w:val="0"/>
                <w:sz w:val="24"/>
                <w:szCs w:val="24"/>
              </w:rPr>
              <w:t>（三）国有资本经营预算拨款</w:t>
            </w:r>
          </w:p>
        </w:tc>
        <w:tc>
          <w:tcPr>
            <w:tcW w:w="2693"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right"/>
              <w:rPr>
                <w:rFonts w:eastAsia="宋体" w:cs="Times New Roman"/>
                <w:color w:val="000000"/>
                <w:kern w:val="0"/>
                <w:sz w:val="24"/>
                <w:szCs w:val="24"/>
              </w:rPr>
            </w:pPr>
          </w:p>
        </w:tc>
        <w:tc>
          <w:tcPr>
            <w:tcW w:w="4253"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宋体"/>
                <w:color w:val="000000"/>
                <w:kern w:val="0"/>
                <w:sz w:val="24"/>
                <w:szCs w:val="24"/>
              </w:rPr>
            </w:pPr>
          </w:p>
        </w:tc>
        <w:tc>
          <w:tcPr>
            <w:tcW w:w="2693" w:type="dxa"/>
            <w:tcBorders>
              <w:top w:val="single" w:sz="4" w:space="0" w:color="auto"/>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right"/>
              <w:rPr>
                <w:rFonts w:eastAsia="宋体" w:cs="宋体"/>
                <w:color w:val="000000"/>
                <w:kern w:val="0"/>
                <w:sz w:val="24"/>
                <w:szCs w:val="24"/>
              </w:rPr>
            </w:pPr>
          </w:p>
        </w:tc>
      </w:tr>
      <w:tr>
        <w:trPr>
          <w:trHeight w:val="360"/>
        </w:trPr>
        <w:tc>
          <w:tcPr>
            <w:tcW w:w="4253" w:type="dxa"/>
            <w:tcBorders>
              <w:top w:val="nil"/>
              <w:left w:val="single" w:sz="4" w:space="0" w:color="auto"/>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宋体"/>
                <w:color w:val="000000"/>
                <w:kern w:val="0"/>
                <w:sz w:val="24"/>
                <w:szCs w:val="24"/>
              </w:rPr>
            </w:pPr>
          </w:p>
        </w:tc>
        <w:tc>
          <w:tcPr>
            <w:tcW w:w="2693"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right"/>
              <w:rPr>
                <w:rFonts w:eastAsia="宋体" w:cs="Times New Roman"/>
                <w:color w:val="000000"/>
                <w:kern w:val="0"/>
                <w:sz w:val="24"/>
                <w:szCs w:val="24"/>
              </w:rPr>
            </w:pPr>
          </w:p>
        </w:tc>
        <w:tc>
          <w:tcPr>
            <w:tcW w:w="4253" w:type="dxa"/>
            <w:tcBorders>
              <w:top w:val="nil"/>
              <w:left w:val="single" w:sz="4" w:space="0" w:color="auto"/>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宋体"/>
                <w:color w:val="000000"/>
                <w:kern w:val="0"/>
                <w:sz w:val="24"/>
                <w:szCs w:val="24"/>
              </w:rPr>
            </w:pPr>
          </w:p>
        </w:tc>
        <w:tc>
          <w:tcPr>
            <w:tcW w:w="2693"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right"/>
              <w:rPr>
                <w:rFonts w:eastAsia="宋体" w:cs="宋体"/>
                <w:color w:val="000000"/>
                <w:kern w:val="0"/>
                <w:sz w:val="24"/>
                <w:szCs w:val="24"/>
              </w:rPr>
            </w:pPr>
          </w:p>
        </w:tc>
      </w:tr>
      <w:tr>
        <w:trPr>
          <w:trHeight w:val="360"/>
        </w:trPr>
        <w:tc>
          <w:tcPr>
            <w:tcW w:w="4253" w:type="dxa"/>
            <w:tcBorders>
              <w:top w:val="nil"/>
              <w:left w:val="single" w:sz="4" w:space="0" w:color="auto"/>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宋体"/>
                <w:color w:val="000000"/>
                <w:kern w:val="0"/>
                <w:sz w:val="24"/>
                <w:szCs w:val="24"/>
              </w:rPr>
            </w:pPr>
            <w:r>
              <w:rPr>
                <w:rFonts w:eastAsia="宋体" w:cs="宋体" w:hint="eastAsia"/>
                <w:color w:val="000000"/>
                <w:kern w:val="0"/>
                <w:sz w:val="24"/>
                <w:szCs w:val="24"/>
              </w:rPr>
              <w:t>收    入    总    计</w:t>
            </w:r>
          </w:p>
        </w:tc>
        <w:tc>
          <w:tcPr>
            <w:tcW w:w="2693" w:type="dxa"/>
            <w:tcBorders>
              <w:top w:val="nil"/>
              <w:left w:val="nil"/>
              <w:bottom w:val="single" w:sz="4" w:space="0" w:color="auto"/>
              <w:right w:val="single" w:sz="4" w:space="0" w:color="auto"/>
            </w:tcBorders>
            <w:shd w:val="clear" w:color="auto" w:fill="auto"/>
            <w:noWrap/>
            <w:vAlign w:val="center"/>
          </w:tcPr>
          <w:p>
            <w:pPr>
              <w:jc w:val="right"/>
              <w:rPr>
                <w:rFonts w:ascii="宋体" w:eastAsia="宋体" w:cs="Calibri"/>
                <w:b/>
                <w:sz w:val="20"/>
                <w:szCs w:val="20"/>
              </w:rPr>
            </w:pPr>
            <w:r>
              <w:rPr>
                <w:rFonts w:cs="Calibri"/>
                <w:b/>
                <w:sz w:val="20"/>
                <w:szCs w:val="20"/>
              </w:rPr>
              <w:t>94,494.43</w:t>
            </w:r>
          </w:p>
          <w:p>
            <w:pPr>
              <w:widowControl/>
              <w:overflowPunct/>
              <w:spacing w:line="240" w:lineRule="auto"/>
              <w:ind w:firstLineChars="0" w:firstLine="0"/>
              <w:jc w:val="right"/>
              <w:rPr>
                <w:rFonts w:eastAsia="宋体" w:cs="Times New Roman"/>
                <w:color w:val="000000"/>
                <w:kern w:val="0"/>
                <w:sz w:val="24"/>
                <w:szCs w:val="24"/>
              </w:rPr>
            </w:pPr>
          </w:p>
        </w:tc>
        <w:tc>
          <w:tcPr>
            <w:tcW w:w="4253" w:type="dxa"/>
            <w:tcBorders>
              <w:top w:val="single" w:sz="4" w:space="0" w:color="auto"/>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宋体"/>
                <w:color w:val="000000"/>
                <w:kern w:val="0"/>
                <w:sz w:val="24"/>
                <w:szCs w:val="24"/>
              </w:rPr>
            </w:pPr>
            <w:r>
              <w:rPr>
                <w:rFonts w:eastAsia="宋体" w:cs="宋体" w:hint="eastAsia"/>
                <w:color w:val="000000"/>
                <w:kern w:val="0"/>
                <w:sz w:val="24"/>
                <w:szCs w:val="24"/>
              </w:rPr>
              <w:t>支    出    总    计</w:t>
            </w:r>
          </w:p>
        </w:tc>
        <w:tc>
          <w:tcPr>
            <w:tcW w:w="2693" w:type="dxa"/>
            <w:tcBorders>
              <w:top w:val="single" w:sz="4" w:space="0" w:color="auto"/>
              <w:left w:val="nil"/>
              <w:bottom w:val="single" w:sz="4" w:space="0" w:color="auto"/>
              <w:right w:val="single" w:sz="4" w:space="0" w:color="auto"/>
            </w:tcBorders>
            <w:shd w:val="clear" w:color="auto" w:fill="auto"/>
            <w:noWrap/>
            <w:vAlign w:val="center"/>
          </w:tcPr>
          <w:p>
            <w:pPr>
              <w:jc w:val="right"/>
              <w:rPr>
                <w:rFonts w:ascii="宋体" w:eastAsia="宋体" w:cs="Calibri"/>
                <w:b/>
                <w:sz w:val="20"/>
                <w:szCs w:val="20"/>
              </w:rPr>
            </w:pPr>
            <w:r>
              <w:rPr>
                <w:rFonts w:cs="Calibri"/>
                <w:b/>
                <w:sz w:val="20"/>
                <w:szCs w:val="20"/>
              </w:rPr>
              <w:t>94,494.43</w:t>
            </w:r>
          </w:p>
          <w:p>
            <w:pPr>
              <w:widowControl/>
              <w:overflowPunct/>
              <w:spacing w:line="240" w:lineRule="auto"/>
              <w:ind w:firstLineChars="0" w:firstLine="0"/>
              <w:jc w:val="right"/>
              <w:rPr>
                <w:rFonts w:eastAsia="宋体" w:cs="Times New Roman"/>
                <w:color w:val="000000"/>
                <w:kern w:val="0"/>
                <w:sz w:val="24"/>
                <w:szCs w:val="24"/>
              </w:rPr>
            </w:pPr>
          </w:p>
        </w:tc>
      </w:tr>
    </w:tbl>
    <w:p>
      <w:pPr>
        <w:widowControl/>
        <w:overflowPunct/>
        <w:spacing w:line="240" w:lineRule="auto"/>
        <w:ind w:firstLineChars="0" w:firstLine="0"/>
        <w:jc w:val="left"/>
      </w:pPr>
      <w:r>
        <w:br w:type="page"/>
      </w:r>
    </w:p>
    <w:p>
      <w:pPr>
        <w:pStyle w:val="22"/>
        <w:outlineLvl w:val="1"/>
      </w:pPr>
      <w:r>
        <w:rPr>
          <w:rFonts w:hint="eastAsia"/>
        </w:rPr>
        <w:t>五、一般公共预算支出表</w:t>
      </w:r>
    </w:p>
    <w:tbl>
      <w:tblPr>
        <w:jc w:val="center"/>
        <w:tblW w:w="5393"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776"/>
        <w:gridCol w:w="2776"/>
        <w:gridCol w:w="1215"/>
        <w:gridCol w:w="1426"/>
        <w:gridCol w:w="1008"/>
        <w:gridCol w:w="1215"/>
        <w:gridCol w:w="1212"/>
        <w:gridCol w:w="1215"/>
        <w:gridCol w:w="1134"/>
        <w:gridCol w:w="1090"/>
        <w:gridCol w:w="1134"/>
        <w:gridCol w:w="1087"/>
      </w:tblGrid>
      <w:tr>
        <w:trPr>
          <w:cantSplit/>
          <w:trHeight w:val="285"/>
          <w:tblHeader/>
        </w:trPr>
        <w:tc>
          <w:tcPr>
            <w:tcW w:w="5000" w:type="pct"/>
            <w:gridSpan w:val="12"/>
            <w:tcBorders>
              <w:top w:val="nil"/>
              <w:left w:val="nil"/>
              <w:bottom w:val="nil"/>
              <w:right w:val="nil"/>
            </w:tcBorders>
            <w:shd w:val="clear" w:color="auto" w:fill="auto"/>
            <w:vAlign w:val="center"/>
          </w:tcPr>
          <w:p>
            <w:pPr>
              <w:keepLines/>
              <w:widowControl w:val="0"/>
              <w:overflowPunct/>
              <w:spacing w:line="240" w:lineRule="auto"/>
              <w:ind w:firstLineChars="0" w:firstLine="0"/>
              <w:jc w:val="right"/>
              <w:rPr>
                <w:rFonts w:eastAsia="宋体" w:cs="宋体"/>
                <w:kern w:val="0"/>
                <w:sz w:val="36"/>
                <w:szCs w:val="36"/>
              </w:rPr>
            </w:pPr>
            <w:r>
              <w:rPr>
                <w:rFonts w:ascii="黑体" w:eastAsia="黑体" w:cs="黑体" w:hint="eastAsia"/>
                <w:kern w:val="0"/>
                <w:sz w:val="20"/>
                <w:szCs w:val="20"/>
              </w:rPr>
              <w:t>部门公开表5</w:t>
            </w:r>
          </w:p>
        </w:tc>
      </w:tr>
      <w:tr>
        <w:trPr>
          <w:cantSplit/>
          <w:trHeight w:val="285"/>
          <w:tblHeader/>
        </w:trPr>
        <w:tc>
          <w:tcPr>
            <w:tcW w:w="5000" w:type="pct"/>
            <w:gridSpan w:val="12"/>
            <w:tcBorders>
              <w:top w:val="nil"/>
              <w:left w:val="nil"/>
              <w:bottom w:val="nil"/>
              <w:right w:val="nil"/>
            </w:tcBorders>
            <w:shd w:val="clear" w:color="auto" w:fill="auto"/>
            <w:vAlign w:val="center"/>
          </w:tcPr>
          <w:p>
            <w:pPr>
              <w:keepLines/>
              <w:widowControl w:val="0"/>
              <w:overflowPunct/>
              <w:spacing w:line="240" w:lineRule="auto"/>
              <w:ind w:firstLineChars="0" w:firstLine="0"/>
              <w:jc w:val="center"/>
              <w:rPr>
                <w:rFonts w:eastAsia="宋体" w:cs="宋体"/>
                <w:kern w:val="0"/>
                <w:sz w:val="36"/>
                <w:szCs w:val="36"/>
              </w:rPr>
            </w:pPr>
            <w:r>
              <w:rPr>
                <w:rFonts w:eastAsia="宋体" w:cs="宋体" w:hint="eastAsia"/>
                <w:kern w:val="0"/>
                <w:sz w:val="36"/>
                <w:szCs w:val="36"/>
              </w:rPr>
              <w:t>一般公共预算支出表</w:t>
            </w:r>
          </w:p>
        </w:tc>
      </w:tr>
      <w:tr>
        <w:trPr>
          <w:cantSplit/>
          <w:trHeight w:val="255"/>
          <w:tblHeader/>
        </w:trPr>
        <w:tc>
          <w:tcPr>
            <w:tcW w:w="221" w:type="pct"/>
            <w:tcBorders>
              <w:top w:val="nil"/>
              <w:left w:val="nil"/>
              <w:bottom w:val="single" w:sz="4" w:space="0" w:color="auto"/>
              <w:right w:val="nil"/>
            </w:tcBorders>
            <w:shd w:val="clear" w:color="auto" w:fill="auto"/>
            <w:vAlign w:val="center"/>
          </w:tcPr>
          <w:p>
            <w:pPr>
              <w:keepLines/>
              <w:widowControl w:val="0"/>
              <w:overflowPunct/>
              <w:spacing w:line="240" w:lineRule="auto"/>
              <w:ind w:firstLineChars="0" w:firstLine="0"/>
              <w:jc w:val="left"/>
              <w:rPr>
                <w:rFonts w:eastAsia="宋体" w:cs="宋体"/>
                <w:kern w:val="0"/>
                <w:sz w:val="16"/>
                <w:szCs w:val="16"/>
              </w:rPr>
            </w:pPr>
            <w:r>
              <w:rPr>
                <w:rFonts w:eastAsia="宋体" w:cs="宋体" w:hint="eastAsia"/>
                <w:kern w:val="0"/>
                <w:sz w:val="16"/>
                <w:szCs w:val="16"/>
              </w:rPr>
              <w:t>　</w:t>
            </w:r>
          </w:p>
        </w:tc>
        <w:tc>
          <w:tcPr>
            <w:tcW w:w="761" w:type="pct"/>
            <w:tcBorders>
              <w:top w:val="nil"/>
              <w:left w:val="nil"/>
              <w:bottom w:val="single" w:sz="4" w:space="0" w:color="auto"/>
              <w:right w:val="nil"/>
            </w:tcBorders>
            <w:shd w:val="clear" w:color="auto" w:fill="auto"/>
            <w:vAlign w:val="center"/>
          </w:tcPr>
          <w:p>
            <w:pPr>
              <w:keepLines/>
              <w:widowControl w:val="0"/>
              <w:overflowPunct/>
              <w:spacing w:line="240" w:lineRule="auto"/>
              <w:ind w:firstLineChars="0" w:firstLine="0"/>
              <w:jc w:val="left"/>
              <w:rPr>
                <w:rFonts w:eastAsia="宋体" w:cs="宋体"/>
                <w:kern w:val="0"/>
                <w:sz w:val="16"/>
                <w:szCs w:val="16"/>
              </w:rPr>
            </w:pPr>
            <w:r>
              <w:rPr>
                <w:rFonts w:eastAsia="宋体" w:cs="宋体" w:hint="eastAsia"/>
                <w:kern w:val="0"/>
                <w:sz w:val="16"/>
                <w:szCs w:val="16"/>
              </w:rPr>
              <w:t>　</w:t>
            </w:r>
          </w:p>
        </w:tc>
        <w:tc>
          <w:tcPr>
            <w:tcW w:w="416" w:type="pct"/>
            <w:tcBorders>
              <w:top w:val="nil"/>
              <w:left w:val="nil"/>
              <w:bottom w:val="single" w:sz="4" w:space="0" w:color="auto"/>
              <w:right w:val="nil"/>
            </w:tcBorders>
            <w:shd w:val="clear" w:color="auto" w:fill="auto"/>
            <w:vAlign w:val="center"/>
          </w:tcPr>
          <w:p>
            <w:pPr>
              <w:keepLines/>
              <w:widowControl w:val="0"/>
              <w:overflowPunct/>
              <w:spacing w:line="240" w:lineRule="auto"/>
              <w:ind w:firstLineChars="0" w:firstLine="0"/>
              <w:jc w:val="left"/>
              <w:rPr>
                <w:rFonts w:eastAsia="宋体" w:cs="宋体"/>
                <w:kern w:val="0"/>
                <w:sz w:val="16"/>
                <w:szCs w:val="16"/>
              </w:rPr>
            </w:pPr>
            <w:r>
              <w:rPr>
                <w:rFonts w:eastAsia="宋体" w:cs="宋体" w:hint="eastAsia"/>
                <w:kern w:val="0"/>
                <w:sz w:val="16"/>
                <w:szCs w:val="16"/>
              </w:rPr>
              <w:t>　</w:t>
            </w:r>
          </w:p>
        </w:tc>
        <w:tc>
          <w:tcPr>
            <w:tcW w:w="487" w:type="pct"/>
            <w:tcBorders>
              <w:top w:val="nil"/>
              <w:left w:val="nil"/>
              <w:bottom w:val="single" w:sz="4" w:space="0" w:color="auto"/>
              <w:right w:val="nil"/>
            </w:tcBorders>
            <w:shd w:val="clear" w:color="auto" w:fill="auto"/>
            <w:vAlign w:val="center"/>
          </w:tcPr>
          <w:p>
            <w:pPr>
              <w:keepLines/>
              <w:widowControl w:val="0"/>
              <w:overflowPunct/>
              <w:spacing w:line="240" w:lineRule="auto"/>
              <w:ind w:firstLineChars="0" w:firstLine="0"/>
              <w:jc w:val="left"/>
              <w:rPr>
                <w:rFonts w:eastAsia="宋体" w:cs="宋体"/>
                <w:kern w:val="0"/>
                <w:sz w:val="16"/>
                <w:szCs w:val="16"/>
              </w:rPr>
            </w:pPr>
            <w:r>
              <w:rPr>
                <w:rFonts w:eastAsia="宋体" w:cs="宋体" w:hint="eastAsia"/>
                <w:kern w:val="0"/>
                <w:sz w:val="16"/>
                <w:szCs w:val="16"/>
              </w:rPr>
              <w:t>　</w:t>
            </w:r>
          </w:p>
        </w:tc>
        <w:tc>
          <w:tcPr>
            <w:tcW w:w="345" w:type="pct"/>
            <w:tcBorders>
              <w:top w:val="nil"/>
              <w:left w:val="nil"/>
              <w:bottom w:val="single" w:sz="4" w:space="0" w:color="auto"/>
              <w:right w:val="nil"/>
            </w:tcBorders>
            <w:shd w:val="clear" w:color="auto" w:fill="auto"/>
            <w:vAlign w:val="center"/>
          </w:tcPr>
          <w:p>
            <w:pPr>
              <w:keepLines/>
              <w:widowControl w:val="0"/>
              <w:overflowPunct/>
              <w:spacing w:line="240" w:lineRule="auto"/>
              <w:ind w:firstLineChars="0" w:firstLine="0"/>
              <w:jc w:val="left"/>
              <w:rPr>
                <w:rFonts w:eastAsia="宋体" w:cs="宋体"/>
                <w:kern w:val="0"/>
                <w:sz w:val="16"/>
                <w:szCs w:val="16"/>
              </w:rPr>
            </w:pPr>
            <w:r>
              <w:rPr>
                <w:rFonts w:eastAsia="宋体" w:cs="宋体" w:hint="eastAsia"/>
                <w:kern w:val="0"/>
                <w:sz w:val="16"/>
                <w:szCs w:val="16"/>
              </w:rPr>
              <w:t>　</w:t>
            </w:r>
          </w:p>
        </w:tc>
        <w:tc>
          <w:tcPr>
            <w:tcW w:w="416" w:type="pct"/>
            <w:tcBorders>
              <w:top w:val="nil"/>
              <w:left w:val="nil"/>
              <w:bottom w:val="single" w:sz="4" w:space="0" w:color="auto"/>
              <w:right w:val="nil"/>
            </w:tcBorders>
            <w:shd w:val="clear" w:color="auto" w:fill="auto"/>
            <w:vAlign w:val="center"/>
          </w:tcPr>
          <w:p>
            <w:pPr>
              <w:keepLines/>
              <w:widowControl w:val="0"/>
              <w:overflowPunct/>
              <w:spacing w:line="240" w:lineRule="auto"/>
              <w:ind w:firstLineChars="0" w:firstLine="0"/>
              <w:jc w:val="left"/>
              <w:rPr>
                <w:rFonts w:eastAsia="宋体" w:cs="宋体"/>
                <w:kern w:val="0"/>
                <w:sz w:val="16"/>
                <w:szCs w:val="16"/>
              </w:rPr>
            </w:pPr>
            <w:r>
              <w:rPr>
                <w:rFonts w:eastAsia="宋体" w:cs="宋体" w:hint="eastAsia"/>
                <w:kern w:val="0"/>
                <w:sz w:val="16"/>
                <w:szCs w:val="16"/>
              </w:rPr>
              <w:t>　</w:t>
            </w:r>
          </w:p>
        </w:tc>
        <w:tc>
          <w:tcPr>
            <w:tcW w:w="414" w:type="pct"/>
            <w:tcBorders>
              <w:top w:val="nil"/>
              <w:left w:val="nil"/>
              <w:bottom w:val="single" w:sz="4" w:space="0" w:color="auto"/>
              <w:right w:val="nil"/>
            </w:tcBorders>
            <w:shd w:val="clear" w:color="auto" w:fill="auto"/>
            <w:vAlign w:val="center"/>
          </w:tcPr>
          <w:p>
            <w:pPr>
              <w:keepLines/>
              <w:widowControl w:val="0"/>
              <w:overflowPunct/>
              <w:spacing w:line="240" w:lineRule="auto"/>
              <w:ind w:firstLineChars="0" w:firstLine="0"/>
              <w:jc w:val="left"/>
              <w:rPr>
                <w:rFonts w:eastAsia="宋体" w:cs="宋体"/>
                <w:kern w:val="0"/>
                <w:sz w:val="16"/>
                <w:szCs w:val="16"/>
              </w:rPr>
            </w:pPr>
            <w:r>
              <w:rPr>
                <w:rFonts w:eastAsia="宋体" w:cs="宋体" w:hint="eastAsia"/>
                <w:kern w:val="0"/>
                <w:sz w:val="16"/>
                <w:szCs w:val="16"/>
              </w:rPr>
              <w:t>　</w:t>
            </w:r>
          </w:p>
        </w:tc>
        <w:tc>
          <w:tcPr>
            <w:tcW w:w="416" w:type="pct"/>
            <w:tcBorders>
              <w:top w:val="nil"/>
              <w:left w:val="nil"/>
              <w:bottom w:val="single" w:sz="4" w:space="0" w:color="auto"/>
              <w:right w:val="nil"/>
            </w:tcBorders>
            <w:shd w:val="clear" w:color="auto" w:fill="auto"/>
            <w:vAlign w:val="center"/>
          </w:tcPr>
          <w:p>
            <w:pPr>
              <w:keepLines/>
              <w:widowControl w:val="0"/>
              <w:overflowPunct/>
              <w:spacing w:line="240" w:lineRule="auto"/>
              <w:ind w:firstLineChars="0" w:firstLine="0"/>
              <w:jc w:val="left"/>
              <w:rPr>
                <w:rFonts w:eastAsia="宋体" w:cs="宋体"/>
                <w:kern w:val="0"/>
                <w:sz w:val="16"/>
                <w:szCs w:val="16"/>
              </w:rPr>
            </w:pPr>
            <w:r>
              <w:rPr>
                <w:rFonts w:eastAsia="宋体" w:cs="宋体" w:hint="eastAsia"/>
                <w:kern w:val="0"/>
                <w:sz w:val="16"/>
                <w:szCs w:val="16"/>
              </w:rPr>
              <w:t>　</w:t>
            </w:r>
          </w:p>
        </w:tc>
        <w:tc>
          <w:tcPr>
            <w:tcW w:w="388" w:type="pct"/>
            <w:tcBorders>
              <w:top w:val="nil"/>
              <w:left w:val="nil"/>
              <w:bottom w:val="single" w:sz="4" w:space="0" w:color="auto"/>
              <w:right w:val="nil"/>
            </w:tcBorders>
            <w:shd w:val="clear" w:color="auto" w:fill="auto"/>
            <w:vAlign w:val="center"/>
          </w:tcPr>
          <w:p>
            <w:pPr>
              <w:keepLines/>
              <w:widowControl w:val="0"/>
              <w:overflowPunct/>
              <w:spacing w:line="240" w:lineRule="auto"/>
              <w:ind w:firstLineChars="0" w:firstLine="0"/>
              <w:jc w:val="left"/>
              <w:rPr>
                <w:rFonts w:eastAsia="宋体" w:cs="宋体"/>
                <w:kern w:val="0"/>
                <w:sz w:val="16"/>
                <w:szCs w:val="16"/>
              </w:rPr>
            </w:pPr>
            <w:r>
              <w:rPr>
                <w:rFonts w:eastAsia="宋体" w:cs="宋体" w:hint="eastAsia"/>
                <w:kern w:val="0"/>
                <w:sz w:val="16"/>
                <w:szCs w:val="16"/>
              </w:rPr>
              <w:t>　</w:t>
            </w:r>
          </w:p>
        </w:tc>
        <w:tc>
          <w:tcPr>
            <w:tcW w:w="373" w:type="pct"/>
            <w:tcBorders>
              <w:top w:val="nil"/>
              <w:left w:val="nil"/>
              <w:bottom w:val="nil"/>
              <w:right w:val="nil"/>
            </w:tcBorders>
            <w:shd w:val="clear" w:color="auto" w:fill="auto"/>
            <w:noWrap/>
            <w:vAlign w:val="center"/>
          </w:tcPr>
          <w:p>
            <w:pPr>
              <w:keepLines/>
              <w:widowControl w:val="0"/>
              <w:overflowPunct/>
              <w:spacing w:line="240" w:lineRule="auto"/>
              <w:ind w:firstLineChars="0" w:firstLine="0"/>
              <w:jc w:val="left"/>
              <w:rPr>
                <w:rFonts w:eastAsia="宋体" w:cs="宋体"/>
                <w:kern w:val="0"/>
                <w:sz w:val="16"/>
                <w:szCs w:val="16"/>
              </w:rPr>
            </w:pPr>
          </w:p>
        </w:tc>
        <w:tc>
          <w:tcPr>
            <w:tcW w:w="388" w:type="pct"/>
            <w:tcBorders>
              <w:top w:val="nil"/>
              <w:left w:val="nil"/>
              <w:bottom w:val="single" w:sz="4" w:space="0" w:color="auto"/>
              <w:right w:val="nil"/>
            </w:tcBorders>
            <w:shd w:val="clear" w:color="auto" w:fill="auto"/>
            <w:vAlign w:val="center"/>
          </w:tcPr>
          <w:p>
            <w:pPr>
              <w:keepLines/>
              <w:widowControl w:val="0"/>
              <w:overflowPunct/>
              <w:spacing w:line="240" w:lineRule="auto"/>
              <w:ind w:firstLineChars="0" w:firstLine="0"/>
              <w:jc w:val="left"/>
              <w:rPr>
                <w:rFonts w:eastAsia="宋体" w:cs="宋体"/>
                <w:kern w:val="0"/>
                <w:sz w:val="16"/>
                <w:szCs w:val="16"/>
              </w:rPr>
            </w:pPr>
            <w:r>
              <w:rPr>
                <w:rFonts w:eastAsia="宋体" w:cs="宋体" w:hint="eastAsia"/>
                <w:kern w:val="0"/>
                <w:sz w:val="16"/>
                <w:szCs w:val="16"/>
              </w:rPr>
              <w:t>　</w:t>
            </w:r>
          </w:p>
        </w:tc>
        <w:tc>
          <w:tcPr>
            <w:tcW w:w="373" w:type="pct"/>
            <w:tcBorders>
              <w:top w:val="nil"/>
              <w:left w:val="nil"/>
              <w:bottom w:val="nil"/>
              <w:right w:val="nil"/>
            </w:tcBorders>
            <w:shd w:val="clear" w:color="auto" w:fill="auto"/>
            <w:noWrap/>
            <w:vAlign w:val="center"/>
          </w:tcPr>
          <w:p>
            <w:pPr>
              <w:keepLines/>
              <w:widowControl w:val="0"/>
              <w:overflowPunct/>
              <w:spacing w:line="240" w:lineRule="auto"/>
              <w:ind w:firstLineChars="0" w:firstLine="0"/>
              <w:jc w:val="right"/>
              <w:rPr>
                <w:rFonts w:eastAsia="宋体" w:cs="宋体"/>
                <w:kern w:val="0"/>
                <w:sz w:val="16"/>
                <w:szCs w:val="16"/>
              </w:rPr>
            </w:pPr>
            <w:r>
              <w:rPr>
                <w:rFonts w:eastAsia="宋体" w:cs="宋体" w:hint="eastAsia"/>
                <w:kern w:val="0"/>
                <w:sz w:val="16"/>
                <w:szCs w:val="16"/>
              </w:rPr>
              <w:t>单位：万元</w:t>
            </w:r>
          </w:p>
        </w:tc>
      </w:tr>
      <w:tr>
        <w:trPr>
          <w:cantSplit/>
          <w:trHeight w:val="255"/>
          <w:tblHeader/>
        </w:trPr>
        <w:tc>
          <w:tcPr>
            <w:tcW w:w="98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pPr>
              <w:keepLines/>
              <w:widowControl w:val="0"/>
              <w:overflowPunct/>
              <w:spacing w:line="240" w:lineRule="auto"/>
              <w:ind w:firstLineChars="0" w:firstLine="0"/>
              <w:jc w:val="center"/>
              <w:rPr>
                <w:rFonts w:eastAsia="宋体" w:cs="宋体"/>
                <w:kern w:val="0"/>
                <w:sz w:val="16"/>
                <w:szCs w:val="16"/>
              </w:rPr>
            </w:pPr>
            <w:r>
              <w:rPr>
                <w:rFonts w:eastAsia="宋体" w:cs="宋体" w:hint="eastAsia"/>
                <w:kern w:val="0"/>
                <w:sz w:val="16"/>
                <w:szCs w:val="16"/>
              </w:rPr>
              <w:t>功能分类科目</w:t>
            </w:r>
          </w:p>
        </w:tc>
        <w:tc>
          <w:tcPr>
            <w:tcW w:w="904" w:type="pct"/>
            <w:gridSpan w:val="2"/>
            <w:tcBorders>
              <w:top w:val="single" w:sz="4" w:space="0" w:color="auto"/>
              <w:left w:val="nil"/>
              <w:bottom w:val="single" w:sz="4" w:space="0" w:color="auto"/>
              <w:right w:val="single" w:sz="4" w:space="0" w:color="000000"/>
            </w:tcBorders>
            <w:shd w:val="clear" w:color="auto" w:fill="auto"/>
            <w:vAlign w:val="center"/>
          </w:tcPr>
          <w:p>
            <w:pPr>
              <w:keepLines/>
              <w:widowControl w:val="0"/>
              <w:overflowPunct/>
              <w:spacing w:line="240" w:lineRule="auto"/>
              <w:ind w:firstLineChars="0" w:firstLine="0"/>
              <w:jc w:val="center"/>
              <w:rPr>
                <w:rFonts w:eastAsia="宋体" w:cs="宋体"/>
                <w:kern w:val="0"/>
                <w:sz w:val="16"/>
                <w:szCs w:val="16"/>
              </w:rPr>
            </w:pPr>
            <w:r>
              <w:rPr>
                <w:rFonts w:eastAsia="宋体" w:cs="宋体" w:hint="eastAsia"/>
                <w:kern w:val="0"/>
                <w:sz w:val="16"/>
                <w:szCs w:val="16"/>
              </w:rPr>
              <w:t>2024年执行数</w:t>
            </w:r>
          </w:p>
        </w:tc>
        <w:tc>
          <w:tcPr>
            <w:tcW w:w="1592" w:type="pct"/>
            <w:gridSpan w:val="4"/>
            <w:tcBorders>
              <w:top w:val="single" w:sz="4" w:space="0" w:color="auto"/>
              <w:left w:val="nil"/>
              <w:bottom w:val="single" w:sz="4" w:space="0" w:color="auto"/>
              <w:right w:val="single" w:sz="4" w:space="0" w:color="000000"/>
            </w:tcBorders>
            <w:shd w:val="clear" w:color="auto" w:fill="auto"/>
            <w:vAlign w:val="center"/>
          </w:tcPr>
          <w:p>
            <w:pPr>
              <w:keepLines/>
              <w:widowControl w:val="0"/>
              <w:overflowPunct/>
              <w:spacing w:line="240" w:lineRule="auto"/>
              <w:ind w:firstLineChars="0" w:firstLine="0"/>
              <w:jc w:val="center"/>
              <w:rPr>
                <w:rFonts w:eastAsia="宋体" w:cs="宋体"/>
                <w:kern w:val="0"/>
                <w:sz w:val="16"/>
                <w:szCs w:val="16"/>
              </w:rPr>
            </w:pPr>
            <w:r>
              <w:rPr>
                <w:rFonts w:eastAsia="宋体" w:cs="宋体" w:hint="eastAsia"/>
                <w:kern w:val="0"/>
                <w:sz w:val="16"/>
                <w:szCs w:val="16"/>
              </w:rPr>
              <w:t>2025年预算数</w:t>
            </w:r>
          </w:p>
        </w:tc>
        <w:tc>
          <w:tcPr>
            <w:tcW w:w="761" w:type="pct"/>
            <w:gridSpan w:val="2"/>
            <w:tcBorders>
              <w:top w:val="single" w:sz="4" w:space="0" w:color="auto"/>
              <w:left w:val="nil"/>
              <w:bottom w:val="single" w:sz="4" w:space="0" w:color="auto"/>
              <w:right w:val="single" w:sz="4" w:space="0" w:color="auto"/>
            </w:tcBorders>
            <w:shd w:val="clear" w:color="auto" w:fill="auto"/>
            <w:vAlign w:val="center"/>
          </w:tcPr>
          <w:p>
            <w:pPr>
              <w:keepLines/>
              <w:widowControl w:val="0"/>
              <w:overflowPunct/>
              <w:spacing w:line="240" w:lineRule="auto"/>
              <w:ind w:firstLineChars="0" w:firstLine="0"/>
              <w:jc w:val="center"/>
              <w:rPr>
                <w:rFonts w:eastAsia="宋体" w:cs="宋体"/>
                <w:kern w:val="0"/>
                <w:sz w:val="16"/>
                <w:szCs w:val="16"/>
              </w:rPr>
            </w:pPr>
            <w:r>
              <w:rPr>
                <w:rFonts w:eastAsia="宋体" w:cs="宋体" w:hint="eastAsia"/>
                <w:kern w:val="0"/>
                <w:sz w:val="16"/>
                <w:szCs w:val="16"/>
              </w:rPr>
              <w:t>2025年预算数比</w:t>
            </w:r>
          </w:p>
          <w:p>
            <w:pPr>
              <w:keepLines/>
              <w:widowControl w:val="0"/>
              <w:overflowPunct/>
              <w:spacing w:line="240" w:lineRule="auto"/>
              <w:ind w:firstLineChars="0" w:firstLine="0"/>
              <w:jc w:val="center"/>
              <w:rPr>
                <w:rFonts w:eastAsia="宋体" w:cs="宋体"/>
                <w:kern w:val="0"/>
                <w:sz w:val="16"/>
                <w:szCs w:val="16"/>
              </w:rPr>
            </w:pPr>
            <w:r>
              <w:rPr>
                <w:rFonts w:eastAsia="宋体" w:cs="宋体" w:hint="eastAsia"/>
                <w:kern w:val="0"/>
                <w:sz w:val="16"/>
                <w:szCs w:val="16"/>
              </w:rPr>
              <w:t>2024年执行数</w:t>
            </w:r>
          </w:p>
        </w:tc>
        <w:tc>
          <w:tcPr>
            <w:tcW w:w="761" w:type="pct"/>
            <w:gridSpan w:val="2"/>
            <w:tcBorders>
              <w:top w:val="single" w:sz="4" w:space="0" w:color="auto"/>
              <w:left w:val="nil"/>
              <w:bottom w:val="single" w:sz="4" w:space="0" w:color="auto"/>
              <w:right w:val="single" w:sz="4" w:space="0" w:color="auto"/>
            </w:tcBorders>
            <w:shd w:val="clear" w:color="auto" w:fill="auto"/>
            <w:vAlign w:val="center"/>
          </w:tcPr>
          <w:p>
            <w:pPr>
              <w:keepLines/>
              <w:widowControl w:val="0"/>
              <w:overflowPunct/>
              <w:spacing w:line="240" w:lineRule="auto"/>
              <w:ind w:firstLineChars="0" w:firstLine="0"/>
              <w:jc w:val="center"/>
              <w:rPr>
                <w:rFonts w:eastAsia="宋体" w:cs="宋体"/>
                <w:kern w:val="0"/>
                <w:sz w:val="16"/>
                <w:szCs w:val="16"/>
              </w:rPr>
            </w:pPr>
            <w:r>
              <w:rPr>
                <w:rFonts w:eastAsia="宋体" w:cs="宋体" w:hint="eastAsia"/>
                <w:kern w:val="0"/>
                <w:sz w:val="16"/>
                <w:szCs w:val="16"/>
              </w:rPr>
              <w:t>2025年预算数比</w:t>
            </w:r>
          </w:p>
          <w:p>
            <w:pPr>
              <w:keepLines/>
              <w:widowControl w:val="0"/>
              <w:overflowPunct/>
              <w:spacing w:line="240" w:lineRule="auto"/>
              <w:ind w:firstLineChars="0" w:firstLine="0"/>
              <w:jc w:val="center"/>
              <w:rPr>
                <w:rFonts w:eastAsia="宋体" w:cs="宋体"/>
                <w:kern w:val="0"/>
                <w:sz w:val="16"/>
                <w:szCs w:val="16"/>
              </w:rPr>
            </w:pPr>
            <w:r>
              <w:rPr>
                <w:rFonts w:eastAsia="宋体" w:cs="宋体" w:hint="eastAsia"/>
                <w:kern w:val="0"/>
                <w:sz w:val="16"/>
                <w:szCs w:val="16"/>
              </w:rPr>
              <w:t>2024年执行数</w:t>
            </w:r>
          </w:p>
          <w:p>
            <w:pPr>
              <w:keepLines/>
              <w:widowControl w:val="0"/>
              <w:overflowPunct/>
              <w:spacing w:line="240" w:lineRule="auto"/>
              <w:ind w:firstLineChars="0" w:firstLine="0"/>
              <w:jc w:val="center"/>
              <w:rPr>
                <w:rFonts w:eastAsia="宋体" w:cs="宋体"/>
                <w:kern w:val="0"/>
                <w:sz w:val="16"/>
                <w:szCs w:val="16"/>
              </w:rPr>
            </w:pPr>
            <w:r>
              <w:rPr>
                <w:rFonts w:eastAsia="宋体" w:cs="宋体" w:hint="eastAsia"/>
                <w:kern w:val="0"/>
                <w:sz w:val="16"/>
                <w:szCs w:val="16"/>
              </w:rPr>
              <w:t>（扣除中央基建投资）</w:t>
            </w:r>
          </w:p>
        </w:tc>
      </w:tr>
      <w:tr>
        <w:trPr>
          <w:cantSplit/>
          <w:trHeight w:val="255"/>
          <w:tblHeader/>
        </w:trPr>
        <w:tc>
          <w:tcPr>
            <w:tcW w:w="221" w:type="pct"/>
            <w:vMerge w:val="restart"/>
            <w:tcBorders>
              <w:top w:val="nil"/>
              <w:left w:val="single" w:sz="4" w:space="0" w:color="auto"/>
              <w:bottom w:val="single" w:sz="4" w:space="0" w:color="000000"/>
              <w:right w:val="single" w:sz="4" w:space="0" w:color="auto"/>
            </w:tcBorders>
            <w:shd w:val="clear" w:color="auto" w:fill="auto"/>
            <w:vAlign w:val="center"/>
          </w:tcPr>
          <w:p>
            <w:pPr>
              <w:keepLines/>
              <w:widowControl w:val="0"/>
              <w:overflowPunct/>
              <w:spacing w:line="240" w:lineRule="auto"/>
              <w:ind w:firstLineChars="0" w:firstLine="0"/>
              <w:jc w:val="center"/>
              <w:rPr>
                <w:rFonts w:eastAsia="宋体" w:cs="宋体"/>
                <w:kern w:val="0"/>
                <w:sz w:val="16"/>
                <w:szCs w:val="16"/>
              </w:rPr>
            </w:pPr>
            <w:r>
              <w:rPr>
                <w:rFonts w:eastAsia="宋体" w:cs="宋体" w:hint="eastAsia"/>
                <w:kern w:val="0"/>
                <w:sz w:val="16"/>
                <w:szCs w:val="16"/>
              </w:rPr>
              <w:t>科目编码</w:t>
            </w:r>
          </w:p>
        </w:tc>
        <w:tc>
          <w:tcPr>
            <w:tcW w:w="761" w:type="pct"/>
            <w:vMerge w:val="restart"/>
            <w:tcBorders>
              <w:top w:val="nil"/>
              <w:left w:val="single" w:sz="4" w:space="0" w:color="auto"/>
              <w:bottom w:val="single" w:sz="4" w:space="0" w:color="000000"/>
              <w:right w:val="single" w:sz="4" w:space="0" w:color="auto"/>
            </w:tcBorders>
            <w:shd w:val="clear" w:color="auto" w:fill="auto"/>
            <w:vAlign w:val="center"/>
          </w:tcPr>
          <w:p>
            <w:pPr>
              <w:keepLines/>
              <w:widowControl w:val="0"/>
              <w:overflowPunct/>
              <w:spacing w:line="240" w:lineRule="auto"/>
              <w:ind w:firstLineChars="0" w:firstLine="0"/>
              <w:jc w:val="center"/>
              <w:rPr>
                <w:rFonts w:eastAsia="宋体" w:cs="宋体"/>
                <w:kern w:val="0"/>
                <w:sz w:val="16"/>
                <w:szCs w:val="16"/>
              </w:rPr>
            </w:pPr>
            <w:r>
              <w:rPr>
                <w:rFonts w:eastAsia="宋体" w:cs="宋体" w:hint="eastAsia"/>
                <w:kern w:val="0"/>
                <w:sz w:val="16"/>
                <w:szCs w:val="16"/>
              </w:rPr>
              <w:t>科目名称</w:t>
            </w:r>
          </w:p>
        </w:tc>
        <w:tc>
          <w:tcPr>
            <w:tcW w:w="416" w:type="pct"/>
            <w:vMerge w:val="restart"/>
            <w:tcBorders>
              <w:top w:val="nil"/>
              <w:left w:val="single" w:sz="4" w:space="0" w:color="auto"/>
              <w:bottom w:val="single" w:sz="4" w:space="0" w:color="000000"/>
              <w:right w:val="single" w:sz="4" w:space="0" w:color="auto"/>
            </w:tcBorders>
            <w:shd w:val="clear" w:color="auto" w:fill="auto"/>
            <w:vAlign w:val="center"/>
          </w:tcPr>
          <w:p>
            <w:pPr>
              <w:keepLines/>
              <w:widowControl w:val="0"/>
              <w:overflowPunct/>
              <w:spacing w:line="240" w:lineRule="auto"/>
              <w:ind w:firstLineChars="0" w:firstLine="0"/>
              <w:jc w:val="center"/>
              <w:rPr>
                <w:rFonts w:eastAsia="宋体" w:cs="宋体"/>
                <w:kern w:val="0"/>
                <w:sz w:val="16"/>
                <w:szCs w:val="16"/>
              </w:rPr>
            </w:pPr>
            <w:r>
              <w:rPr>
                <w:rFonts w:eastAsia="宋体" w:cs="宋体" w:hint="eastAsia"/>
                <w:kern w:val="0"/>
                <w:sz w:val="16"/>
                <w:szCs w:val="16"/>
              </w:rPr>
              <w:t>执行数</w:t>
            </w:r>
          </w:p>
        </w:tc>
        <w:tc>
          <w:tcPr>
            <w:tcW w:w="487" w:type="pct"/>
            <w:vMerge w:val="restart"/>
            <w:tcBorders>
              <w:top w:val="nil"/>
              <w:left w:val="single" w:sz="4" w:space="0" w:color="auto"/>
              <w:bottom w:val="single" w:sz="4" w:space="0" w:color="000000"/>
              <w:right w:val="single" w:sz="4" w:space="0" w:color="auto"/>
            </w:tcBorders>
            <w:shd w:val="clear" w:color="auto" w:fill="auto"/>
            <w:vAlign w:val="center"/>
          </w:tcPr>
          <w:p>
            <w:pPr>
              <w:keepLines/>
              <w:widowControl w:val="0"/>
              <w:overflowPunct/>
              <w:spacing w:line="240" w:lineRule="auto"/>
              <w:ind w:firstLineChars="0" w:firstLine="0"/>
              <w:jc w:val="center"/>
              <w:rPr>
                <w:rFonts w:eastAsia="宋体" w:cs="宋体"/>
                <w:kern w:val="0"/>
                <w:sz w:val="16"/>
                <w:szCs w:val="16"/>
              </w:rPr>
            </w:pPr>
            <w:r>
              <w:rPr>
                <w:rFonts w:eastAsia="宋体" w:cs="宋体" w:hint="eastAsia"/>
                <w:kern w:val="0"/>
                <w:sz w:val="16"/>
                <w:szCs w:val="16"/>
              </w:rPr>
              <w:t>扣除中央基建投资后执行数</w:t>
            </w:r>
          </w:p>
        </w:tc>
        <w:tc>
          <w:tcPr>
            <w:tcW w:w="1176" w:type="pct"/>
            <w:gridSpan w:val="3"/>
            <w:tcBorders>
              <w:top w:val="single" w:sz="4" w:space="0" w:color="auto"/>
              <w:left w:val="nil"/>
              <w:bottom w:val="single" w:sz="4" w:space="0" w:color="auto"/>
              <w:right w:val="single" w:sz="4" w:space="0" w:color="auto"/>
            </w:tcBorders>
            <w:shd w:val="clear" w:color="auto" w:fill="auto"/>
            <w:vAlign w:val="center"/>
          </w:tcPr>
          <w:p>
            <w:pPr>
              <w:keepLines/>
              <w:widowControl w:val="0"/>
              <w:overflowPunct/>
              <w:spacing w:line="240" w:lineRule="auto"/>
              <w:ind w:firstLineChars="0" w:firstLine="0"/>
              <w:jc w:val="center"/>
              <w:rPr>
                <w:rFonts w:eastAsia="宋体" w:cs="宋体"/>
                <w:kern w:val="0"/>
                <w:sz w:val="16"/>
                <w:szCs w:val="16"/>
              </w:rPr>
            </w:pPr>
            <w:r>
              <w:rPr>
                <w:rFonts w:eastAsia="宋体" w:cs="宋体" w:hint="eastAsia"/>
                <w:kern w:val="0"/>
                <w:sz w:val="16"/>
                <w:szCs w:val="16"/>
              </w:rPr>
              <w:t>年初预算数</w:t>
            </w:r>
          </w:p>
        </w:tc>
        <w:tc>
          <w:tcPr>
            <w:tcW w:w="416" w:type="pct"/>
            <w:vMerge w:val="restart"/>
            <w:tcBorders>
              <w:top w:val="nil"/>
              <w:left w:val="single" w:sz="4" w:space="0" w:color="auto"/>
              <w:bottom w:val="single" w:sz="4" w:space="0" w:color="000000"/>
              <w:right w:val="single" w:sz="4" w:space="0" w:color="auto"/>
            </w:tcBorders>
            <w:shd w:val="clear" w:color="auto" w:fill="auto"/>
            <w:vAlign w:val="center"/>
          </w:tcPr>
          <w:p>
            <w:pPr>
              <w:keepLines/>
              <w:widowControl w:val="0"/>
              <w:overflowPunct/>
              <w:spacing w:line="240" w:lineRule="auto"/>
              <w:ind w:firstLineChars="0" w:firstLine="0"/>
              <w:jc w:val="center"/>
              <w:rPr>
                <w:rFonts w:eastAsia="宋体" w:cs="宋体"/>
                <w:kern w:val="0"/>
                <w:sz w:val="16"/>
                <w:szCs w:val="16"/>
              </w:rPr>
            </w:pPr>
            <w:r>
              <w:rPr>
                <w:rFonts w:eastAsia="宋体" w:cs="宋体" w:hint="eastAsia"/>
                <w:kern w:val="0"/>
                <w:sz w:val="16"/>
                <w:szCs w:val="16"/>
              </w:rPr>
              <w:t>扣除中央基建投资后预算数</w:t>
            </w:r>
          </w:p>
        </w:tc>
        <w:tc>
          <w:tcPr>
            <w:tcW w:w="388" w:type="pct"/>
            <w:vMerge w:val="restart"/>
            <w:tcBorders>
              <w:top w:val="nil"/>
              <w:left w:val="single" w:sz="4" w:space="0" w:color="auto"/>
              <w:bottom w:val="single" w:sz="4" w:space="0" w:color="000000"/>
              <w:right w:val="single" w:sz="4" w:space="0" w:color="auto"/>
            </w:tcBorders>
            <w:shd w:val="clear" w:color="auto" w:fill="auto"/>
            <w:vAlign w:val="center"/>
          </w:tcPr>
          <w:p>
            <w:pPr>
              <w:keepLines/>
              <w:widowControl w:val="0"/>
              <w:overflowPunct/>
              <w:spacing w:line="240" w:lineRule="auto"/>
              <w:ind w:firstLineChars="0" w:firstLine="0"/>
              <w:jc w:val="center"/>
              <w:rPr>
                <w:rFonts w:eastAsia="宋体" w:cs="宋体"/>
                <w:kern w:val="0"/>
                <w:sz w:val="16"/>
                <w:szCs w:val="16"/>
              </w:rPr>
            </w:pPr>
            <w:r>
              <w:rPr>
                <w:rFonts w:eastAsia="宋体" w:cs="宋体" w:hint="eastAsia"/>
                <w:kern w:val="0"/>
                <w:sz w:val="16"/>
                <w:szCs w:val="16"/>
              </w:rPr>
              <w:t>增减额</w:t>
            </w:r>
          </w:p>
        </w:tc>
        <w:tc>
          <w:tcPr>
            <w:tcW w:w="373" w:type="pct"/>
            <w:vMerge w:val="restart"/>
            <w:tcBorders>
              <w:top w:val="nil"/>
              <w:left w:val="single" w:sz="4" w:space="0" w:color="auto"/>
              <w:bottom w:val="single" w:sz="4" w:space="0" w:color="000000"/>
              <w:right w:val="single" w:sz="4" w:space="0" w:color="auto"/>
            </w:tcBorders>
            <w:shd w:val="clear" w:color="auto" w:fill="auto"/>
            <w:vAlign w:val="center"/>
          </w:tcPr>
          <w:p>
            <w:pPr>
              <w:keepLines/>
              <w:widowControl w:val="0"/>
              <w:overflowPunct/>
              <w:spacing w:line="240" w:lineRule="auto"/>
              <w:ind w:firstLineChars="0" w:firstLine="0"/>
              <w:jc w:val="center"/>
              <w:rPr>
                <w:rFonts w:eastAsia="宋体" w:cs="宋体"/>
                <w:kern w:val="0"/>
                <w:sz w:val="16"/>
                <w:szCs w:val="16"/>
              </w:rPr>
            </w:pPr>
            <w:r>
              <w:rPr>
                <w:rFonts w:eastAsia="宋体" w:cs="宋体" w:hint="eastAsia"/>
                <w:kern w:val="0"/>
                <w:sz w:val="16"/>
                <w:szCs w:val="16"/>
              </w:rPr>
              <w:t>增减(%)</w:t>
            </w:r>
          </w:p>
        </w:tc>
        <w:tc>
          <w:tcPr>
            <w:tcW w:w="388" w:type="pct"/>
            <w:vMerge w:val="restart"/>
            <w:tcBorders>
              <w:top w:val="nil"/>
              <w:left w:val="single" w:sz="4" w:space="0" w:color="auto"/>
              <w:bottom w:val="single" w:sz="4" w:space="0" w:color="000000"/>
              <w:right w:val="single" w:sz="4" w:space="0" w:color="auto"/>
            </w:tcBorders>
            <w:shd w:val="clear" w:color="auto" w:fill="auto"/>
            <w:vAlign w:val="center"/>
          </w:tcPr>
          <w:p>
            <w:pPr>
              <w:keepLines/>
              <w:widowControl w:val="0"/>
              <w:overflowPunct/>
              <w:spacing w:line="240" w:lineRule="auto"/>
              <w:ind w:firstLineChars="0" w:firstLine="0"/>
              <w:jc w:val="center"/>
              <w:rPr>
                <w:rFonts w:eastAsia="宋体" w:cs="宋体"/>
                <w:kern w:val="0"/>
                <w:sz w:val="16"/>
                <w:szCs w:val="16"/>
              </w:rPr>
            </w:pPr>
            <w:r>
              <w:rPr>
                <w:rFonts w:eastAsia="宋体" w:cs="宋体" w:hint="eastAsia"/>
                <w:kern w:val="0"/>
                <w:sz w:val="16"/>
                <w:szCs w:val="16"/>
              </w:rPr>
              <w:t>增减额</w:t>
            </w:r>
          </w:p>
        </w:tc>
        <w:tc>
          <w:tcPr>
            <w:tcW w:w="373" w:type="pct"/>
            <w:vMerge w:val="restart"/>
            <w:tcBorders>
              <w:top w:val="nil"/>
              <w:left w:val="single" w:sz="4" w:space="0" w:color="auto"/>
              <w:bottom w:val="single" w:sz="4" w:space="0" w:color="000000"/>
              <w:right w:val="single" w:sz="4" w:space="0" w:color="auto"/>
            </w:tcBorders>
            <w:shd w:val="clear" w:color="auto" w:fill="auto"/>
            <w:vAlign w:val="center"/>
          </w:tcPr>
          <w:p>
            <w:pPr>
              <w:keepLines/>
              <w:widowControl w:val="0"/>
              <w:overflowPunct/>
              <w:spacing w:line="240" w:lineRule="auto"/>
              <w:ind w:firstLineChars="0" w:firstLine="0"/>
              <w:jc w:val="center"/>
              <w:rPr>
                <w:rFonts w:eastAsia="宋体" w:cs="宋体"/>
                <w:kern w:val="0"/>
                <w:sz w:val="16"/>
                <w:szCs w:val="16"/>
              </w:rPr>
            </w:pPr>
            <w:r>
              <w:rPr>
                <w:rFonts w:eastAsia="宋体" w:cs="宋体" w:hint="eastAsia"/>
                <w:kern w:val="0"/>
                <w:sz w:val="16"/>
                <w:szCs w:val="16"/>
              </w:rPr>
              <w:t>增减（%)</w:t>
            </w:r>
          </w:p>
        </w:tc>
      </w:tr>
      <w:tr>
        <w:trPr>
          <w:cantSplit/>
          <w:trHeight w:val="255"/>
          <w:tblHeader/>
        </w:trPr>
        <w:tc>
          <w:tcPr>
            <w:tcW w:w="221" w:type="pct"/>
            <w:vMerge/>
            <w:tcBorders>
              <w:top w:val="nil"/>
              <w:left w:val="single" w:sz="4" w:space="0" w:color="auto"/>
              <w:bottom w:val="single" w:sz="4" w:space="0" w:color="000000"/>
              <w:right w:val="single" w:sz="4" w:space="0" w:color="auto"/>
            </w:tcBorders>
            <w:vAlign w:val="center"/>
          </w:tcPr>
          <w:p/>
        </w:tc>
        <w:tc>
          <w:tcPr>
            <w:tcW w:w="761" w:type="pct"/>
            <w:vMerge/>
            <w:tcBorders>
              <w:top w:val="nil"/>
              <w:left w:val="single" w:sz="4" w:space="0" w:color="auto"/>
              <w:bottom w:val="single" w:sz="4" w:space="0" w:color="000000"/>
              <w:right w:val="single" w:sz="4" w:space="0" w:color="auto"/>
            </w:tcBorders>
            <w:vAlign w:val="center"/>
          </w:tcPr>
          <w:p/>
        </w:tc>
        <w:tc>
          <w:tcPr>
            <w:tcW w:w="416" w:type="pct"/>
            <w:vMerge/>
            <w:tcBorders>
              <w:top w:val="nil"/>
              <w:left w:val="single" w:sz="4" w:space="0" w:color="auto"/>
              <w:bottom w:val="single" w:sz="4" w:space="0" w:color="000000"/>
              <w:right w:val="single" w:sz="4" w:space="0" w:color="auto"/>
            </w:tcBorders>
            <w:vAlign w:val="center"/>
          </w:tcPr>
          <w:p/>
        </w:tc>
        <w:tc>
          <w:tcPr>
            <w:tcW w:w="487" w:type="pct"/>
            <w:vMerge/>
            <w:tcBorders>
              <w:top w:val="nil"/>
              <w:left w:val="single" w:sz="4" w:space="0" w:color="auto"/>
              <w:bottom w:val="single" w:sz="4" w:space="0" w:color="000000"/>
              <w:right w:val="single" w:sz="4" w:space="0" w:color="auto"/>
            </w:tcBorders>
            <w:vAlign w:val="center"/>
          </w:tcPr>
          <w:p/>
        </w:tc>
        <w:tc>
          <w:tcPr>
            <w:tcW w:w="345" w:type="pct"/>
            <w:tcBorders>
              <w:top w:val="nil"/>
              <w:left w:val="nil"/>
              <w:bottom w:val="single" w:sz="4" w:space="0" w:color="auto"/>
              <w:right w:val="single" w:sz="4" w:space="0" w:color="auto"/>
            </w:tcBorders>
            <w:shd w:val="clear" w:color="auto" w:fill="auto"/>
            <w:vAlign w:val="center"/>
          </w:tcPr>
          <w:p>
            <w:pPr>
              <w:keepLines/>
              <w:widowControl w:val="0"/>
              <w:overflowPunct/>
              <w:spacing w:line="240" w:lineRule="auto"/>
              <w:ind w:firstLineChars="0" w:firstLine="0"/>
              <w:jc w:val="center"/>
              <w:rPr>
                <w:rFonts w:eastAsia="宋体" w:cs="宋体"/>
                <w:kern w:val="0"/>
                <w:sz w:val="16"/>
                <w:szCs w:val="16"/>
              </w:rPr>
            </w:pPr>
            <w:r>
              <w:rPr>
                <w:rFonts w:eastAsia="宋体" w:cs="宋体" w:hint="eastAsia"/>
                <w:kern w:val="0"/>
                <w:sz w:val="16"/>
                <w:szCs w:val="16"/>
              </w:rPr>
              <w:t>小计</w:t>
            </w:r>
          </w:p>
        </w:tc>
        <w:tc>
          <w:tcPr>
            <w:tcW w:w="416" w:type="pct"/>
            <w:tcBorders>
              <w:top w:val="nil"/>
              <w:left w:val="nil"/>
              <w:bottom w:val="single" w:sz="4" w:space="0" w:color="auto"/>
              <w:right w:val="single" w:sz="4" w:space="0" w:color="auto"/>
            </w:tcBorders>
            <w:shd w:val="clear" w:color="auto" w:fill="auto"/>
            <w:vAlign w:val="center"/>
          </w:tcPr>
          <w:p>
            <w:pPr>
              <w:keepLines/>
              <w:widowControl w:val="0"/>
              <w:overflowPunct/>
              <w:spacing w:line="240" w:lineRule="auto"/>
              <w:ind w:firstLineChars="0" w:firstLine="0"/>
              <w:jc w:val="center"/>
              <w:rPr>
                <w:rFonts w:eastAsia="宋体" w:cs="宋体"/>
                <w:kern w:val="0"/>
                <w:sz w:val="16"/>
                <w:szCs w:val="16"/>
              </w:rPr>
            </w:pPr>
            <w:r>
              <w:rPr>
                <w:rFonts w:eastAsia="宋体" w:cs="宋体" w:hint="eastAsia"/>
                <w:kern w:val="0"/>
                <w:sz w:val="16"/>
                <w:szCs w:val="16"/>
              </w:rPr>
              <w:t>基本支出</w:t>
            </w:r>
          </w:p>
        </w:tc>
        <w:tc>
          <w:tcPr>
            <w:tcW w:w="414" w:type="pct"/>
            <w:tcBorders>
              <w:top w:val="nil"/>
              <w:left w:val="nil"/>
              <w:bottom w:val="single" w:sz="4" w:space="0" w:color="auto"/>
              <w:right w:val="single" w:sz="4" w:space="0" w:color="auto"/>
            </w:tcBorders>
            <w:shd w:val="clear" w:color="auto" w:fill="auto"/>
            <w:vAlign w:val="center"/>
          </w:tcPr>
          <w:p>
            <w:pPr>
              <w:keepLines/>
              <w:widowControl w:val="0"/>
              <w:overflowPunct/>
              <w:spacing w:line="240" w:lineRule="auto"/>
              <w:ind w:firstLineChars="0" w:firstLine="0"/>
              <w:jc w:val="center"/>
              <w:rPr>
                <w:rFonts w:eastAsia="宋体" w:cs="宋体"/>
                <w:kern w:val="0"/>
                <w:sz w:val="16"/>
                <w:szCs w:val="16"/>
              </w:rPr>
            </w:pPr>
            <w:r>
              <w:rPr>
                <w:rFonts w:eastAsia="宋体" w:cs="宋体" w:hint="eastAsia"/>
                <w:kern w:val="0"/>
                <w:sz w:val="16"/>
                <w:szCs w:val="16"/>
              </w:rPr>
              <w:t>项目支出</w:t>
            </w:r>
          </w:p>
        </w:tc>
        <w:tc>
          <w:tcPr>
            <w:tcW w:w="416" w:type="pct"/>
            <w:vMerge/>
            <w:tcBorders>
              <w:top w:val="nil"/>
              <w:left w:val="single" w:sz="4" w:space="0" w:color="auto"/>
              <w:bottom w:val="single" w:sz="4" w:space="0" w:color="000000"/>
              <w:right w:val="single" w:sz="4" w:space="0" w:color="auto"/>
            </w:tcBorders>
            <w:vAlign w:val="center"/>
          </w:tcPr>
          <w:p/>
        </w:tc>
        <w:tc>
          <w:tcPr>
            <w:tcW w:w="388" w:type="pct"/>
            <w:vMerge/>
            <w:tcBorders>
              <w:top w:val="nil"/>
              <w:left w:val="single" w:sz="4" w:space="0" w:color="auto"/>
              <w:bottom w:val="single" w:sz="4" w:space="0" w:color="000000"/>
              <w:right w:val="single" w:sz="4" w:space="0" w:color="auto"/>
            </w:tcBorders>
            <w:vAlign w:val="center"/>
          </w:tcPr>
          <w:p/>
        </w:tc>
        <w:tc>
          <w:tcPr>
            <w:tcW w:w="373" w:type="pct"/>
            <w:vMerge/>
            <w:tcBorders>
              <w:top w:val="nil"/>
              <w:left w:val="single" w:sz="4" w:space="0" w:color="auto"/>
              <w:bottom w:val="single" w:sz="4" w:space="0" w:color="000000"/>
              <w:right w:val="single" w:sz="4" w:space="0" w:color="auto"/>
            </w:tcBorders>
            <w:vAlign w:val="center"/>
          </w:tcPr>
          <w:p/>
        </w:tc>
        <w:tc>
          <w:tcPr>
            <w:tcW w:w="388" w:type="pct"/>
            <w:vMerge/>
            <w:tcBorders>
              <w:top w:val="nil"/>
              <w:left w:val="single" w:sz="4" w:space="0" w:color="auto"/>
              <w:bottom w:val="single" w:sz="4" w:space="0" w:color="000000"/>
              <w:right w:val="single" w:sz="4" w:space="0" w:color="auto"/>
            </w:tcBorders>
            <w:vAlign w:val="center"/>
          </w:tcPr>
          <w:p/>
        </w:tc>
        <w:tc>
          <w:tcPr>
            <w:tcW w:w="373" w:type="pct"/>
            <w:vMerge/>
            <w:tcBorders>
              <w:top w:val="nil"/>
              <w:left w:val="single" w:sz="4" w:space="0" w:color="auto"/>
              <w:bottom w:val="single" w:sz="4" w:space="0" w:color="000000"/>
              <w:right w:val="single" w:sz="4" w:space="0" w:color="auto"/>
            </w:tcBorders>
            <w:vAlign w:val="center"/>
          </w:tcPr>
          <w:p/>
        </w:tc>
      </w:tr>
      <w:tr>
        <w:trPr>
          <w:cantSplit/>
          <w:trHeight w:val="255"/>
        </w:trPr>
        <w:tc>
          <w:tcPr>
            <w:tcW w:w="221" w:type="pct"/>
            <w:tcBorders>
              <w:top w:val="nil"/>
              <w:left w:val="single" w:sz="4" w:space="0" w:color="auto"/>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left"/>
              <w:rPr>
                <w:rFonts w:eastAsia="宋体" w:cs="宋体"/>
                <w:b/>
                <w:bCs/>
                <w:color w:val="000000"/>
                <w:kern w:val="0"/>
                <w:sz w:val="16"/>
                <w:szCs w:val="16"/>
              </w:rPr>
            </w:pPr>
            <w:r>
              <w:rPr>
                <w:rFonts w:eastAsia="宋体" w:cs="宋体" w:hint="eastAsia"/>
                <w:b/>
                <w:bCs/>
                <w:color w:val="000000"/>
                <w:kern w:val="0"/>
                <w:sz w:val="16"/>
                <w:szCs w:val="16"/>
              </w:rPr>
              <w:t>201</w:t>
            </w:r>
          </w:p>
        </w:tc>
        <w:tc>
          <w:tcPr>
            <w:tcW w:w="761"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left"/>
              <w:rPr>
                <w:rFonts w:eastAsia="宋体" w:cs="宋体"/>
                <w:b/>
                <w:bCs/>
                <w:color w:val="000000"/>
                <w:kern w:val="0"/>
                <w:sz w:val="16"/>
                <w:szCs w:val="16"/>
              </w:rPr>
            </w:pPr>
            <w:r>
              <w:rPr>
                <w:rFonts w:eastAsia="宋体" w:cs="宋体" w:hint="eastAsia"/>
                <w:b/>
                <w:bCs/>
                <w:color w:val="000000"/>
                <w:kern w:val="0"/>
                <w:sz w:val="16"/>
                <w:szCs w:val="16"/>
              </w:rPr>
              <w:t xml:space="preserve">  一般公共服务支出</w:t>
            </w:r>
          </w:p>
        </w:tc>
        <w:tc>
          <w:tcPr>
            <w:tcW w:w="416"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58,089.23</w:t>
            </w:r>
          </w:p>
        </w:tc>
        <w:tc>
          <w:tcPr>
            <w:tcW w:w="487"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58,029.23</w:t>
            </w:r>
          </w:p>
        </w:tc>
        <w:tc>
          <w:tcPr>
            <w:tcW w:w="345"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60,498.79</w:t>
            </w:r>
          </w:p>
        </w:tc>
        <w:tc>
          <w:tcPr>
            <w:tcW w:w="416"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48,018.49</w:t>
            </w:r>
          </w:p>
        </w:tc>
        <w:tc>
          <w:tcPr>
            <w:tcW w:w="414"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12,480.30</w:t>
            </w:r>
          </w:p>
        </w:tc>
        <w:tc>
          <w:tcPr>
            <w:tcW w:w="416"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hint="eastAsia"/>
                <w:sz w:val="16"/>
                <w:szCs w:val="16"/>
              </w:rPr>
              <w:t>60,498.79</w:t>
            </w:r>
          </w:p>
        </w:tc>
        <w:tc>
          <w:tcPr>
            <w:tcW w:w="388"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eastAsia="等线" w:cs="Times New Roman"/>
                <w:color w:val="000000"/>
                <w:sz w:val="16"/>
                <w:szCs w:val="16"/>
              </w:rPr>
            </w:pPr>
            <w:r>
              <w:rPr>
                <w:rFonts w:cs="Calibri" w:hint="eastAsia"/>
                <w:sz w:val="16"/>
                <w:szCs w:val="16"/>
              </w:rPr>
              <w:t>2,409.56</w:t>
            </w:r>
          </w:p>
        </w:tc>
        <w:tc>
          <w:tcPr>
            <w:tcW w:w="373"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eastAsia="等线" w:cs="Times New Roman"/>
                <w:color w:val="000000"/>
                <w:sz w:val="16"/>
                <w:szCs w:val="16"/>
              </w:rPr>
            </w:pPr>
            <w:r>
              <w:rPr>
                <w:rFonts w:cs="Calibri" w:hint="eastAsia"/>
                <w:sz w:val="16"/>
                <w:szCs w:val="16"/>
              </w:rPr>
              <w:t>4.15%</w:t>
            </w:r>
          </w:p>
        </w:tc>
        <w:tc>
          <w:tcPr>
            <w:tcW w:w="388"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eastAsia="等线" w:cs="Times New Roman"/>
                <w:color w:val="000000"/>
                <w:sz w:val="16"/>
                <w:szCs w:val="16"/>
              </w:rPr>
            </w:pPr>
            <w:r>
              <w:rPr>
                <w:rFonts w:cs="Calibri" w:hint="eastAsia"/>
                <w:sz w:val="16"/>
                <w:szCs w:val="16"/>
              </w:rPr>
              <w:t>2,409.56</w:t>
            </w:r>
          </w:p>
        </w:tc>
        <w:tc>
          <w:tcPr>
            <w:tcW w:w="373"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eastAsia="等线" w:cs="Times New Roman"/>
                <w:color w:val="000000"/>
                <w:sz w:val="16"/>
                <w:szCs w:val="16"/>
              </w:rPr>
            </w:pPr>
            <w:r>
              <w:rPr>
                <w:rFonts w:cs="Calibri" w:hint="eastAsia"/>
                <w:sz w:val="16"/>
                <w:szCs w:val="16"/>
              </w:rPr>
              <w:t>4.15%</w:t>
            </w:r>
          </w:p>
        </w:tc>
      </w:tr>
      <w:tr>
        <w:trPr>
          <w:cantSplit/>
          <w:trHeight w:val="255"/>
        </w:trPr>
        <w:tc>
          <w:tcPr>
            <w:tcW w:w="221" w:type="pct"/>
            <w:tcBorders>
              <w:top w:val="nil"/>
              <w:left w:val="single" w:sz="4" w:space="0" w:color="auto"/>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left"/>
              <w:rPr>
                <w:rFonts w:eastAsia="宋体" w:cs="宋体"/>
                <w:b/>
                <w:bCs/>
                <w:color w:val="000000"/>
                <w:kern w:val="0"/>
                <w:sz w:val="16"/>
                <w:szCs w:val="16"/>
              </w:rPr>
            </w:pPr>
            <w:r>
              <w:rPr>
                <w:rFonts w:eastAsia="宋体" w:cs="宋体" w:hint="eastAsia"/>
                <w:b/>
                <w:bCs/>
                <w:color w:val="000000"/>
                <w:kern w:val="0"/>
                <w:sz w:val="16"/>
                <w:szCs w:val="16"/>
              </w:rPr>
              <w:t>20109</w:t>
            </w:r>
          </w:p>
        </w:tc>
        <w:tc>
          <w:tcPr>
            <w:tcW w:w="761"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left"/>
              <w:rPr>
                <w:rFonts w:eastAsia="宋体" w:cs="宋体"/>
                <w:b/>
                <w:bCs/>
                <w:color w:val="000000"/>
                <w:kern w:val="0"/>
                <w:sz w:val="16"/>
                <w:szCs w:val="16"/>
              </w:rPr>
            </w:pPr>
            <w:r>
              <w:rPr>
                <w:rFonts w:eastAsia="宋体" w:cs="宋体" w:hint="eastAsia"/>
                <w:b/>
                <w:bCs/>
                <w:color w:val="000000"/>
                <w:kern w:val="0"/>
                <w:sz w:val="16"/>
                <w:szCs w:val="16"/>
              </w:rPr>
              <w:t xml:space="preserve">    海关事务</w:t>
            </w:r>
          </w:p>
        </w:tc>
        <w:tc>
          <w:tcPr>
            <w:tcW w:w="416"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58,089.23</w:t>
            </w:r>
          </w:p>
        </w:tc>
        <w:tc>
          <w:tcPr>
            <w:tcW w:w="487"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58,029.23</w:t>
            </w:r>
          </w:p>
        </w:tc>
        <w:tc>
          <w:tcPr>
            <w:tcW w:w="345"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60,498.79</w:t>
            </w:r>
          </w:p>
        </w:tc>
        <w:tc>
          <w:tcPr>
            <w:tcW w:w="416"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48,018.49</w:t>
            </w:r>
          </w:p>
        </w:tc>
        <w:tc>
          <w:tcPr>
            <w:tcW w:w="414"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12,480.30</w:t>
            </w:r>
          </w:p>
        </w:tc>
        <w:tc>
          <w:tcPr>
            <w:tcW w:w="416"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hint="eastAsia"/>
                <w:sz w:val="16"/>
                <w:szCs w:val="16"/>
              </w:rPr>
              <w:t>60,498.79</w:t>
            </w:r>
          </w:p>
        </w:tc>
        <w:tc>
          <w:tcPr>
            <w:tcW w:w="388"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eastAsia="等线" w:cs="Times New Roman"/>
                <w:color w:val="000000"/>
                <w:sz w:val="16"/>
                <w:szCs w:val="16"/>
              </w:rPr>
            </w:pPr>
            <w:r>
              <w:rPr>
                <w:rFonts w:cs="Calibri" w:hint="eastAsia"/>
                <w:sz w:val="16"/>
                <w:szCs w:val="16"/>
              </w:rPr>
              <w:t>2,409.56</w:t>
            </w:r>
          </w:p>
        </w:tc>
        <w:tc>
          <w:tcPr>
            <w:tcW w:w="373"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eastAsia="等线" w:cs="Times New Roman"/>
                <w:color w:val="000000"/>
                <w:sz w:val="16"/>
                <w:szCs w:val="16"/>
              </w:rPr>
            </w:pPr>
            <w:r>
              <w:rPr>
                <w:rFonts w:cs="Calibri" w:hint="eastAsia"/>
                <w:sz w:val="16"/>
                <w:szCs w:val="16"/>
              </w:rPr>
              <w:t>4.15%</w:t>
            </w:r>
          </w:p>
        </w:tc>
        <w:tc>
          <w:tcPr>
            <w:tcW w:w="388"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eastAsia="等线" w:cs="Times New Roman"/>
                <w:color w:val="000000"/>
                <w:sz w:val="16"/>
                <w:szCs w:val="16"/>
              </w:rPr>
            </w:pPr>
            <w:r>
              <w:rPr>
                <w:rFonts w:cs="Calibri" w:hint="eastAsia"/>
                <w:sz w:val="16"/>
                <w:szCs w:val="16"/>
              </w:rPr>
              <w:t>2,409.56</w:t>
            </w:r>
          </w:p>
        </w:tc>
        <w:tc>
          <w:tcPr>
            <w:tcW w:w="373"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eastAsia="等线" w:cs="Times New Roman"/>
                <w:color w:val="000000"/>
                <w:sz w:val="16"/>
                <w:szCs w:val="16"/>
              </w:rPr>
            </w:pPr>
            <w:r>
              <w:rPr>
                <w:rFonts w:cs="Calibri" w:hint="eastAsia"/>
                <w:sz w:val="16"/>
                <w:szCs w:val="16"/>
              </w:rPr>
              <w:t>4.15%</w:t>
            </w:r>
          </w:p>
        </w:tc>
      </w:tr>
      <w:tr>
        <w:trPr>
          <w:cantSplit/>
          <w:trHeight w:val="255"/>
        </w:trPr>
        <w:tc>
          <w:tcPr>
            <w:tcW w:w="221" w:type="pct"/>
            <w:tcBorders>
              <w:top w:val="nil"/>
              <w:left w:val="single" w:sz="4" w:space="0" w:color="auto"/>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left"/>
              <w:rPr>
                <w:rFonts w:eastAsia="宋体" w:cs="宋体"/>
                <w:color w:val="000000"/>
                <w:kern w:val="0"/>
                <w:sz w:val="16"/>
                <w:szCs w:val="16"/>
              </w:rPr>
            </w:pPr>
            <w:r>
              <w:rPr>
                <w:rFonts w:eastAsia="宋体" w:cs="宋体" w:hint="eastAsia"/>
                <w:color w:val="000000"/>
                <w:kern w:val="0"/>
                <w:sz w:val="16"/>
                <w:szCs w:val="16"/>
              </w:rPr>
              <w:t>2010901</w:t>
            </w:r>
          </w:p>
        </w:tc>
        <w:tc>
          <w:tcPr>
            <w:tcW w:w="761"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left"/>
              <w:rPr>
                <w:rFonts w:eastAsia="宋体" w:cs="宋体"/>
                <w:color w:val="000000"/>
                <w:kern w:val="0"/>
                <w:sz w:val="16"/>
                <w:szCs w:val="16"/>
              </w:rPr>
            </w:pPr>
            <w:r>
              <w:rPr>
                <w:rFonts w:eastAsia="宋体" w:cs="宋体" w:hint="eastAsia"/>
                <w:color w:val="000000"/>
                <w:kern w:val="0"/>
                <w:sz w:val="16"/>
                <w:szCs w:val="16"/>
              </w:rPr>
              <w:t>行政运行</w:t>
            </w:r>
          </w:p>
        </w:tc>
        <w:tc>
          <w:tcPr>
            <w:tcW w:w="416"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43,593.34</w:t>
            </w:r>
          </w:p>
        </w:tc>
        <w:tc>
          <w:tcPr>
            <w:tcW w:w="487"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43,593.34</w:t>
            </w:r>
          </w:p>
        </w:tc>
        <w:tc>
          <w:tcPr>
            <w:tcW w:w="345"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43,963.62</w:t>
            </w:r>
          </w:p>
        </w:tc>
        <w:tc>
          <w:tcPr>
            <w:tcW w:w="416"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43,963.62</w:t>
            </w:r>
          </w:p>
        </w:tc>
        <w:tc>
          <w:tcPr>
            <w:tcW w:w="414"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hint="eastAsia"/>
                <w:sz w:val="16"/>
                <w:szCs w:val="16"/>
              </w:rPr>
              <w:t>　</w:t>
            </w:r>
          </w:p>
        </w:tc>
        <w:tc>
          <w:tcPr>
            <w:tcW w:w="416"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hint="eastAsia"/>
                <w:sz w:val="16"/>
                <w:szCs w:val="16"/>
              </w:rPr>
              <w:t>43,963.62</w:t>
            </w:r>
          </w:p>
        </w:tc>
        <w:tc>
          <w:tcPr>
            <w:tcW w:w="388"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eastAsia="等线" w:cs="Times New Roman"/>
                <w:color w:val="000000"/>
                <w:sz w:val="16"/>
                <w:szCs w:val="16"/>
              </w:rPr>
            </w:pPr>
            <w:r>
              <w:rPr>
                <w:rFonts w:cs="Calibri" w:hint="eastAsia"/>
                <w:sz w:val="16"/>
                <w:szCs w:val="16"/>
              </w:rPr>
              <w:t>370.28</w:t>
            </w:r>
          </w:p>
        </w:tc>
        <w:tc>
          <w:tcPr>
            <w:tcW w:w="373"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eastAsia="等线" w:cs="Times New Roman"/>
                <w:color w:val="000000"/>
                <w:sz w:val="16"/>
                <w:szCs w:val="16"/>
              </w:rPr>
            </w:pPr>
            <w:r>
              <w:rPr>
                <w:rFonts w:cs="Calibri" w:hint="eastAsia"/>
                <w:sz w:val="16"/>
                <w:szCs w:val="16"/>
              </w:rPr>
              <w:t>0.85%</w:t>
            </w:r>
          </w:p>
        </w:tc>
        <w:tc>
          <w:tcPr>
            <w:tcW w:w="388"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eastAsia="等线" w:cs="Times New Roman"/>
                <w:color w:val="000000"/>
                <w:sz w:val="16"/>
                <w:szCs w:val="16"/>
              </w:rPr>
            </w:pPr>
            <w:r>
              <w:rPr>
                <w:rFonts w:cs="Calibri" w:hint="eastAsia"/>
                <w:sz w:val="16"/>
                <w:szCs w:val="16"/>
              </w:rPr>
              <w:t>370.28</w:t>
            </w:r>
          </w:p>
        </w:tc>
        <w:tc>
          <w:tcPr>
            <w:tcW w:w="373"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eastAsia="等线" w:cs="Times New Roman"/>
                <w:color w:val="000000"/>
                <w:sz w:val="16"/>
                <w:szCs w:val="16"/>
              </w:rPr>
            </w:pPr>
            <w:r>
              <w:rPr>
                <w:rFonts w:cs="Calibri" w:hint="eastAsia"/>
                <w:sz w:val="16"/>
                <w:szCs w:val="16"/>
              </w:rPr>
              <w:t>0.85%</w:t>
            </w:r>
          </w:p>
        </w:tc>
      </w:tr>
      <w:tr>
        <w:trPr>
          <w:cantSplit/>
          <w:trHeight w:val="255"/>
        </w:trPr>
        <w:tc>
          <w:tcPr>
            <w:tcW w:w="221" w:type="pct"/>
            <w:tcBorders>
              <w:top w:val="nil"/>
              <w:left w:val="single" w:sz="4" w:space="0" w:color="auto"/>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left"/>
              <w:rPr>
                <w:rFonts w:eastAsia="宋体" w:cs="宋体"/>
                <w:color w:val="000000"/>
                <w:kern w:val="0"/>
                <w:sz w:val="16"/>
                <w:szCs w:val="16"/>
              </w:rPr>
            </w:pPr>
            <w:r>
              <w:rPr>
                <w:rFonts w:eastAsia="宋体" w:cs="宋体" w:hint="eastAsia"/>
                <w:color w:val="000000"/>
                <w:kern w:val="0"/>
                <w:sz w:val="16"/>
                <w:szCs w:val="16"/>
              </w:rPr>
              <w:t>2010902</w:t>
            </w:r>
          </w:p>
        </w:tc>
        <w:tc>
          <w:tcPr>
            <w:tcW w:w="761"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left"/>
              <w:rPr>
                <w:rFonts w:eastAsia="宋体" w:cs="宋体"/>
                <w:color w:val="000000"/>
                <w:kern w:val="0"/>
                <w:sz w:val="16"/>
                <w:szCs w:val="16"/>
              </w:rPr>
            </w:pPr>
            <w:r>
              <w:rPr>
                <w:rFonts w:eastAsia="宋体" w:cs="宋体" w:hint="eastAsia"/>
                <w:color w:val="000000"/>
                <w:kern w:val="0"/>
                <w:sz w:val="16"/>
                <w:szCs w:val="16"/>
              </w:rPr>
              <w:t>一般行政管理事务</w:t>
            </w:r>
          </w:p>
        </w:tc>
        <w:tc>
          <w:tcPr>
            <w:tcW w:w="416"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68.00</w:t>
            </w:r>
          </w:p>
        </w:tc>
        <w:tc>
          <w:tcPr>
            <w:tcW w:w="487"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8.00</w:t>
            </w:r>
          </w:p>
        </w:tc>
        <w:tc>
          <w:tcPr>
            <w:tcW w:w="345"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28.00</w:t>
            </w:r>
          </w:p>
        </w:tc>
        <w:tc>
          <w:tcPr>
            <w:tcW w:w="416"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hint="eastAsia"/>
                <w:sz w:val="16"/>
                <w:szCs w:val="16"/>
              </w:rPr>
              <w:t>　</w:t>
            </w:r>
          </w:p>
        </w:tc>
        <w:tc>
          <w:tcPr>
            <w:tcW w:w="414"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28.00</w:t>
            </w:r>
          </w:p>
        </w:tc>
        <w:tc>
          <w:tcPr>
            <w:tcW w:w="416"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hint="eastAsia"/>
                <w:sz w:val="16"/>
                <w:szCs w:val="16"/>
              </w:rPr>
              <w:t>28.00</w:t>
            </w:r>
          </w:p>
        </w:tc>
        <w:tc>
          <w:tcPr>
            <w:tcW w:w="388"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eastAsia="等线" w:cs="Times New Roman"/>
                <w:color w:val="000000"/>
                <w:sz w:val="16"/>
                <w:szCs w:val="16"/>
              </w:rPr>
            </w:pPr>
            <w:r>
              <w:rPr>
                <w:rFonts w:cs="Calibri" w:hint="eastAsia"/>
                <w:sz w:val="16"/>
                <w:szCs w:val="16"/>
              </w:rPr>
              <w:t>-40.00</w:t>
            </w:r>
          </w:p>
        </w:tc>
        <w:tc>
          <w:tcPr>
            <w:tcW w:w="373"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eastAsia="等线" w:cs="Times New Roman"/>
                <w:color w:val="000000"/>
                <w:sz w:val="16"/>
                <w:szCs w:val="16"/>
              </w:rPr>
            </w:pPr>
            <w:r>
              <w:rPr>
                <w:rFonts w:cs="Calibri" w:hint="eastAsia"/>
                <w:sz w:val="16"/>
                <w:szCs w:val="16"/>
              </w:rPr>
              <w:t>-58.82%</w:t>
            </w:r>
          </w:p>
        </w:tc>
        <w:tc>
          <w:tcPr>
            <w:tcW w:w="388"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eastAsia="等线" w:cs="Times New Roman"/>
                <w:color w:val="000000"/>
                <w:sz w:val="16"/>
                <w:szCs w:val="16"/>
              </w:rPr>
            </w:pPr>
            <w:r>
              <w:rPr>
                <w:rFonts w:cs="Calibri" w:hint="eastAsia"/>
                <w:sz w:val="16"/>
                <w:szCs w:val="16"/>
              </w:rPr>
              <w:t>-40.00</w:t>
            </w:r>
          </w:p>
        </w:tc>
        <w:tc>
          <w:tcPr>
            <w:tcW w:w="373"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eastAsia="等线" w:cs="Times New Roman"/>
                <w:color w:val="000000"/>
                <w:sz w:val="16"/>
                <w:szCs w:val="16"/>
              </w:rPr>
            </w:pPr>
            <w:r>
              <w:rPr>
                <w:rFonts w:cs="Calibri" w:hint="eastAsia"/>
                <w:sz w:val="16"/>
                <w:szCs w:val="16"/>
              </w:rPr>
              <w:t>-58.82%</w:t>
            </w:r>
          </w:p>
        </w:tc>
      </w:tr>
      <w:tr>
        <w:trPr>
          <w:cantSplit/>
          <w:trHeight w:val="255"/>
        </w:trPr>
        <w:tc>
          <w:tcPr>
            <w:tcW w:w="221" w:type="pct"/>
            <w:tcBorders>
              <w:top w:val="nil"/>
              <w:left w:val="single" w:sz="4" w:space="0" w:color="auto"/>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left"/>
              <w:rPr>
                <w:rFonts w:eastAsia="宋体" w:cs="宋体"/>
                <w:color w:val="000000"/>
                <w:kern w:val="0"/>
                <w:sz w:val="16"/>
                <w:szCs w:val="16"/>
              </w:rPr>
            </w:pPr>
            <w:r>
              <w:rPr>
                <w:rFonts w:eastAsia="宋体" w:cs="宋体" w:hint="eastAsia"/>
                <w:color w:val="000000"/>
                <w:kern w:val="0"/>
                <w:sz w:val="16"/>
                <w:szCs w:val="16"/>
              </w:rPr>
              <w:t>2010903</w:t>
            </w:r>
          </w:p>
        </w:tc>
        <w:tc>
          <w:tcPr>
            <w:tcW w:w="761"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left"/>
              <w:rPr>
                <w:rFonts w:eastAsia="宋体" w:cs="宋体"/>
                <w:color w:val="000000"/>
                <w:kern w:val="0"/>
                <w:sz w:val="16"/>
                <w:szCs w:val="16"/>
              </w:rPr>
            </w:pPr>
            <w:r>
              <w:rPr>
                <w:rFonts w:eastAsia="宋体" w:cs="宋体" w:hint="eastAsia"/>
                <w:color w:val="000000"/>
                <w:kern w:val="0"/>
                <w:sz w:val="16"/>
                <w:szCs w:val="16"/>
              </w:rPr>
              <w:t>机关服务</w:t>
            </w:r>
          </w:p>
        </w:tc>
        <w:tc>
          <w:tcPr>
            <w:tcW w:w="416"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670.59</w:t>
            </w:r>
          </w:p>
        </w:tc>
        <w:tc>
          <w:tcPr>
            <w:tcW w:w="487"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670.59</w:t>
            </w:r>
          </w:p>
        </w:tc>
        <w:tc>
          <w:tcPr>
            <w:tcW w:w="345"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703.44</w:t>
            </w:r>
          </w:p>
        </w:tc>
        <w:tc>
          <w:tcPr>
            <w:tcW w:w="416"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703.44</w:t>
            </w:r>
          </w:p>
        </w:tc>
        <w:tc>
          <w:tcPr>
            <w:tcW w:w="414"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hint="eastAsia"/>
                <w:sz w:val="16"/>
                <w:szCs w:val="16"/>
              </w:rPr>
              <w:t>　</w:t>
            </w:r>
          </w:p>
        </w:tc>
        <w:tc>
          <w:tcPr>
            <w:tcW w:w="416"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hint="eastAsia"/>
                <w:sz w:val="16"/>
                <w:szCs w:val="16"/>
              </w:rPr>
              <w:t>703.44</w:t>
            </w:r>
          </w:p>
        </w:tc>
        <w:tc>
          <w:tcPr>
            <w:tcW w:w="388"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eastAsia="等线" w:cs="Times New Roman"/>
                <w:color w:val="000000"/>
                <w:sz w:val="16"/>
                <w:szCs w:val="16"/>
              </w:rPr>
            </w:pPr>
            <w:r>
              <w:rPr>
                <w:rFonts w:cs="Calibri" w:hint="eastAsia"/>
                <w:sz w:val="16"/>
                <w:szCs w:val="16"/>
              </w:rPr>
              <w:t>32.85</w:t>
            </w:r>
          </w:p>
        </w:tc>
        <w:tc>
          <w:tcPr>
            <w:tcW w:w="373"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eastAsia="等线" w:cs="Times New Roman"/>
                <w:color w:val="000000"/>
                <w:sz w:val="16"/>
                <w:szCs w:val="16"/>
              </w:rPr>
            </w:pPr>
            <w:r>
              <w:rPr>
                <w:rFonts w:cs="Calibri" w:hint="eastAsia"/>
                <w:sz w:val="16"/>
                <w:szCs w:val="16"/>
              </w:rPr>
              <w:t>4.90%</w:t>
            </w:r>
          </w:p>
        </w:tc>
        <w:tc>
          <w:tcPr>
            <w:tcW w:w="388"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eastAsia="等线" w:cs="Times New Roman"/>
                <w:color w:val="000000"/>
                <w:sz w:val="16"/>
                <w:szCs w:val="16"/>
              </w:rPr>
            </w:pPr>
            <w:r>
              <w:rPr>
                <w:rFonts w:cs="Calibri" w:hint="eastAsia"/>
                <w:sz w:val="16"/>
                <w:szCs w:val="16"/>
              </w:rPr>
              <w:t>32.85</w:t>
            </w:r>
          </w:p>
        </w:tc>
        <w:tc>
          <w:tcPr>
            <w:tcW w:w="373"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eastAsia="等线" w:cs="Times New Roman"/>
                <w:color w:val="000000"/>
                <w:sz w:val="16"/>
                <w:szCs w:val="16"/>
              </w:rPr>
            </w:pPr>
            <w:r>
              <w:rPr>
                <w:rFonts w:cs="Calibri" w:hint="eastAsia"/>
                <w:sz w:val="16"/>
                <w:szCs w:val="16"/>
              </w:rPr>
              <w:t>4.90%</w:t>
            </w:r>
          </w:p>
        </w:tc>
      </w:tr>
      <w:tr>
        <w:trPr>
          <w:cantSplit/>
          <w:trHeight w:val="255"/>
        </w:trPr>
        <w:tc>
          <w:tcPr>
            <w:tcW w:w="221" w:type="pct"/>
            <w:tcBorders>
              <w:top w:val="nil"/>
              <w:left w:val="single" w:sz="4" w:space="0" w:color="auto"/>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left"/>
              <w:rPr>
                <w:rFonts w:eastAsia="宋体" w:cs="宋体"/>
                <w:color w:val="000000"/>
                <w:kern w:val="0"/>
                <w:sz w:val="16"/>
                <w:szCs w:val="16"/>
              </w:rPr>
            </w:pPr>
            <w:r>
              <w:rPr>
                <w:rFonts w:eastAsia="宋体" w:cs="宋体" w:hint="eastAsia"/>
                <w:color w:val="000000"/>
                <w:kern w:val="0"/>
                <w:sz w:val="16"/>
                <w:szCs w:val="16"/>
              </w:rPr>
              <w:t>2010905</w:t>
            </w:r>
          </w:p>
        </w:tc>
        <w:tc>
          <w:tcPr>
            <w:tcW w:w="761"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left"/>
              <w:rPr>
                <w:rFonts w:eastAsia="宋体" w:cs="宋体"/>
                <w:color w:val="000000"/>
                <w:kern w:val="0"/>
                <w:sz w:val="16"/>
                <w:szCs w:val="16"/>
              </w:rPr>
            </w:pPr>
            <w:r>
              <w:rPr>
                <w:rFonts w:eastAsia="宋体" w:cs="宋体" w:hint="eastAsia"/>
                <w:color w:val="000000"/>
                <w:kern w:val="0"/>
                <w:sz w:val="16"/>
                <w:szCs w:val="16"/>
              </w:rPr>
              <w:t>缉私办案</w:t>
            </w:r>
          </w:p>
        </w:tc>
        <w:tc>
          <w:tcPr>
            <w:tcW w:w="416"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682.00</w:t>
            </w:r>
          </w:p>
        </w:tc>
        <w:tc>
          <w:tcPr>
            <w:tcW w:w="487"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682.00</w:t>
            </w:r>
          </w:p>
        </w:tc>
        <w:tc>
          <w:tcPr>
            <w:tcW w:w="345"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513.32</w:t>
            </w:r>
          </w:p>
        </w:tc>
        <w:tc>
          <w:tcPr>
            <w:tcW w:w="416"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hint="eastAsia"/>
                <w:sz w:val="16"/>
                <w:szCs w:val="16"/>
              </w:rPr>
              <w:t>　</w:t>
            </w:r>
          </w:p>
        </w:tc>
        <w:tc>
          <w:tcPr>
            <w:tcW w:w="414"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513.32</w:t>
            </w:r>
          </w:p>
        </w:tc>
        <w:tc>
          <w:tcPr>
            <w:tcW w:w="416"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hint="eastAsia"/>
                <w:sz w:val="16"/>
                <w:szCs w:val="16"/>
              </w:rPr>
              <w:t>513.32</w:t>
            </w:r>
          </w:p>
        </w:tc>
        <w:tc>
          <w:tcPr>
            <w:tcW w:w="388"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eastAsia="等线" w:cs="Times New Roman"/>
                <w:color w:val="000000"/>
                <w:sz w:val="16"/>
                <w:szCs w:val="16"/>
              </w:rPr>
            </w:pPr>
            <w:r>
              <w:rPr>
                <w:rFonts w:cs="Calibri" w:hint="eastAsia"/>
                <w:sz w:val="16"/>
                <w:szCs w:val="16"/>
              </w:rPr>
              <w:t>-168.68</w:t>
            </w:r>
          </w:p>
        </w:tc>
        <w:tc>
          <w:tcPr>
            <w:tcW w:w="373"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eastAsia="等线" w:cs="Times New Roman"/>
                <w:color w:val="000000"/>
                <w:sz w:val="16"/>
                <w:szCs w:val="16"/>
              </w:rPr>
            </w:pPr>
            <w:r>
              <w:rPr>
                <w:rFonts w:cs="Calibri" w:hint="eastAsia"/>
                <w:sz w:val="16"/>
                <w:szCs w:val="16"/>
              </w:rPr>
              <w:t>-24.73%</w:t>
            </w:r>
          </w:p>
        </w:tc>
        <w:tc>
          <w:tcPr>
            <w:tcW w:w="388"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eastAsia="等线" w:cs="Times New Roman"/>
                <w:color w:val="000000"/>
                <w:sz w:val="16"/>
                <w:szCs w:val="16"/>
              </w:rPr>
            </w:pPr>
            <w:r>
              <w:rPr>
                <w:rFonts w:cs="Calibri" w:hint="eastAsia"/>
                <w:sz w:val="16"/>
                <w:szCs w:val="16"/>
              </w:rPr>
              <w:t>-168.68</w:t>
            </w:r>
          </w:p>
        </w:tc>
        <w:tc>
          <w:tcPr>
            <w:tcW w:w="373"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eastAsia="等线" w:cs="Times New Roman"/>
                <w:color w:val="000000"/>
                <w:sz w:val="16"/>
                <w:szCs w:val="16"/>
              </w:rPr>
            </w:pPr>
            <w:r>
              <w:rPr>
                <w:rFonts w:cs="Calibri" w:hint="eastAsia"/>
                <w:sz w:val="16"/>
                <w:szCs w:val="16"/>
              </w:rPr>
              <w:t>-24.73%</w:t>
            </w:r>
          </w:p>
        </w:tc>
      </w:tr>
      <w:tr>
        <w:trPr>
          <w:cantSplit/>
          <w:trHeight w:val="255"/>
        </w:trPr>
        <w:tc>
          <w:tcPr>
            <w:tcW w:w="221" w:type="pct"/>
            <w:tcBorders>
              <w:top w:val="nil"/>
              <w:left w:val="single" w:sz="4" w:space="0" w:color="auto"/>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left"/>
              <w:rPr>
                <w:rFonts w:eastAsia="宋体" w:cs="宋体"/>
                <w:color w:val="000000"/>
                <w:kern w:val="0"/>
                <w:sz w:val="16"/>
                <w:szCs w:val="16"/>
              </w:rPr>
            </w:pPr>
            <w:r>
              <w:rPr>
                <w:rFonts w:eastAsia="宋体" w:cs="宋体" w:hint="eastAsia"/>
                <w:color w:val="000000"/>
                <w:kern w:val="0"/>
                <w:sz w:val="16"/>
                <w:szCs w:val="16"/>
              </w:rPr>
              <w:t>2010907</w:t>
            </w:r>
          </w:p>
        </w:tc>
        <w:tc>
          <w:tcPr>
            <w:tcW w:w="761"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left"/>
              <w:rPr>
                <w:rFonts w:eastAsia="宋体" w:cs="宋体"/>
                <w:color w:val="000000"/>
                <w:kern w:val="0"/>
                <w:sz w:val="16"/>
                <w:szCs w:val="16"/>
              </w:rPr>
            </w:pPr>
            <w:r>
              <w:rPr>
                <w:rFonts w:eastAsia="宋体" w:cs="宋体" w:hint="eastAsia"/>
                <w:color w:val="000000"/>
                <w:kern w:val="0"/>
                <w:sz w:val="16"/>
                <w:szCs w:val="16"/>
              </w:rPr>
              <w:t>口岸管理</w:t>
            </w:r>
          </w:p>
        </w:tc>
        <w:tc>
          <w:tcPr>
            <w:tcW w:w="416"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65.72</w:t>
            </w:r>
          </w:p>
        </w:tc>
        <w:tc>
          <w:tcPr>
            <w:tcW w:w="487"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65.72</w:t>
            </w:r>
          </w:p>
        </w:tc>
        <w:tc>
          <w:tcPr>
            <w:tcW w:w="345"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65.72</w:t>
            </w:r>
          </w:p>
        </w:tc>
        <w:tc>
          <w:tcPr>
            <w:tcW w:w="416"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hint="eastAsia"/>
                <w:sz w:val="16"/>
                <w:szCs w:val="16"/>
              </w:rPr>
              <w:t>　</w:t>
            </w:r>
          </w:p>
        </w:tc>
        <w:tc>
          <w:tcPr>
            <w:tcW w:w="414"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65.72</w:t>
            </w:r>
          </w:p>
        </w:tc>
        <w:tc>
          <w:tcPr>
            <w:tcW w:w="416"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hint="eastAsia"/>
                <w:sz w:val="16"/>
                <w:szCs w:val="16"/>
              </w:rPr>
              <w:t>65.72</w:t>
            </w:r>
          </w:p>
        </w:tc>
        <w:tc>
          <w:tcPr>
            <w:tcW w:w="388"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eastAsia="等线" w:cs="Times New Roman"/>
                <w:color w:val="000000"/>
                <w:sz w:val="16"/>
                <w:szCs w:val="16"/>
              </w:rPr>
            </w:pPr>
          </w:p>
        </w:tc>
        <w:tc>
          <w:tcPr>
            <w:tcW w:w="373"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eastAsia="等线" w:cs="Times New Roman"/>
                <w:color w:val="000000"/>
                <w:sz w:val="16"/>
                <w:szCs w:val="16"/>
              </w:rPr>
            </w:pPr>
            <w:r>
              <w:rPr>
                <w:rFonts w:cs="Calibri" w:hint="eastAsia"/>
                <w:sz w:val="16"/>
                <w:szCs w:val="16"/>
              </w:rPr>
              <w:t>0.00%</w:t>
            </w:r>
          </w:p>
        </w:tc>
        <w:tc>
          <w:tcPr>
            <w:tcW w:w="388"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eastAsia="等线" w:cs="Times New Roman"/>
                <w:color w:val="000000"/>
                <w:sz w:val="16"/>
                <w:szCs w:val="16"/>
              </w:rPr>
            </w:pPr>
          </w:p>
        </w:tc>
        <w:tc>
          <w:tcPr>
            <w:tcW w:w="373"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eastAsia="等线" w:cs="Times New Roman"/>
                <w:color w:val="000000"/>
                <w:sz w:val="16"/>
                <w:szCs w:val="16"/>
              </w:rPr>
            </w:pPr>
            <w:r>
              <w:rPr>
                <w:rFonts w:cs="Calibri" w:hint="eastAsia"/>
                <w:sz w:val="16"/>
                <w:szCs w:val="16"/>
              </w:rPr>
              <w:t>0.00%</w:t>
            </w:r>
          </w:p>
        </w:tc>
      </w:tr>
      <w:tr>
        <w:trPr>
          <w:cantSplit/>
          <w:trHeight w:val="255"/>
        </w:trPr>
        <w:tc>
          <w:tcPr>
            <w:tcW w:w="221" w:type="pct"/>
            <w:tcBorders>
              <w:top w:val="nil"/>
              <w:left w:val="single" w:sz="4" w:space="0" w:color="auto"/>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left"/>
              <w:rPr>
                <w:rFonts w:eastAsia="宋体" w:cs="宋体"/>
                <w:color w:val="000000"/>
                <w:kern w:val="0"/>
                <w:sz w:val="16"/>
                <w:szCs w:val="16"/>
              </w:rPr>
            </w:pPr>
            <w:r>
              <w:rPr>
                <w:rFonts w:eastAsia="宋体" w:cs="宋体" w:hint="eastAsia"/>
                <w:color w:val="000000"/>
                <w:kern w:val="0"/>
                <w:sz w:val="16"/>
                <w:szCs w:val="16"/>
              </w:rPr>
              <w:t>2010908</w:t>
            </w:r>
          </w:p>
        </w:tc>
        <w:tc>
          <w:tcPr>
            <w:tcW w:w="761"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left"/>
              <w:rPr>
                <w:rFonts w:eastAsia="宋体" w:cs="宋体"/>
                <w:color w:val="000000"/>
                <w:kern w:val="0"/>
                <w:sz w:val="16"/>
                <w:szCs w:val="16"/>
              </w:rPr>
            </w:pPr>
            <w:r>
              <w:rPr>
                <w:rFonts w:eastAsia="宋体" w:cs="宋体" w:hint="eastAsia"/>
                <w:color w:val="000000"/>
                <w:kern w:val="0"/>
                <w:sz w:val="16"/>
                <w:szCs w:val="16"/>
              </w:rPr>
              <w:t>信息化建设</w:t>
            </w:r>
          </w:p>
        </w:tc>
        <w:tc>
          <w:tcPr>
            <w:tcW w:w="416"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843.00</w:t>
            </w:r>
          </w:p>
        </w:tc>
        <w:tc>
          <w:tcPr>
            <w:tcW w:w="487"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843.00</w:t>
            </w:r>
          </w:p>
        </w:tc>
        <w:tc>
          <w:tcPr>
            <w:tcW w:w="345"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1,854.00</w:t>
            </w:r>
          </w:p>
        </w:tc>
        <w:tc>
          <w:tcPr>
            <w:tcW w:w="416"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hint="eastAsia"/>
                <w:sz w:val="16"/>
                <w:szCs w:val="16"/>
              </w:rPr>
              <w:t>　</w:t>
            </w:r>
          </w:p>
        </w:tc>
        <w:tc>
          <w:tcPr>
            <w:tcW w:w="414"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1,854.00</w:t>
            </w:r>
          </w:p>
        </w:tc>
        <w:tc>
          <w:tcPr>
            <w:tcW w:w="416"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hint="eastAsia"/>
                <w:sz w:val="16"/>
                <w:szCs w:val="16"/>
              </w:rPr>
              <w:t>1,854.00</w:t>
            </w:r>
          </w:p>
        </w:tc>
        <w:tc>
          <w:tcPr>
            <w:tcW w:w="388"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eastAsia="等线" w:cs="Times New Roman"/>
                <w:color w:val="000000"/>
                <w:sz w:val="16"/>
                <w:szCs w:val="16"/>
              </w:rPr>
            </w:pPr>
            <w:r>
              <w:rPr>
                <w:rFonts w:cs="Calibri" w:hint="eastAsia"/>
                <w:sz w:val="16"/>
                <w:szCs w:val="16"/>
              </w:rPr>
              <w:t>1,011.00</w:t>
            </w:r>
          </w:p>
        </w:tc>
        <w:tc>
          <w:tcPr>
            <w:tcW w:w="373"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eastAsia="等线" w:cs="Times New Roman"/>
                <w:color w:val="000000"/>
                <w:sz w:val="16"/>
                <w:szCs w:val="16"/>
              </w:rPr>
            </w:pPr>
            <w:r>
              <w:rPr>
                <w:rFonts w:cs="Calibri" w:hint="eastAsia"/>
                <w:sz w:val="16"/>
                <w:szCs w:val="16"/>
              </w:rPr>
              <w:t>119.93%</w:t>
            </w:r>
          </w:p>
        </w:tc>
        <w:tc>
          <w:tcPr>
            <w:tcW w:w="388"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eastAsia="等线" w:cs="Times New Roman"/>
                <w:color w:val="000000"/>
                <w:sz w:val="16"/>
                <w:szCs w:val="16"/>
              </w:rPr>
            </w:pPr>
            <w:r>
              <w:rPr>
                <w:rFonts w:cs="Calibri" w:hint="eastAsia"/>
                <w:sz w:val="16"/>
                <w:szCs w:val="16"/>
              </w:rPr>
              <w:t>1,011.00</w:t>
            </w:r>
          </w:p>
        </w:tc>
        <w:tc>
          <w:tcPr>
            <w:tcW w:w="373"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eastAsia="等线" w:cs="Times New Roman"/>
                <w:color w:val="000000"/>
                <w:sz w:val="16"/>
                <w:szCs w:val="16"/>
              </w:rPr>
            </w:pPr>
            <w:r>
              <w:rPr>
                <w:rFonts w:cs="Calibri" w:hint="eastAsia"/>
                <w:sz w:val="16"/>
                <w:szCs w:val="16"/>
              </w:rPr>
              <w:t>119.93%</w:t>
            </w:r>
          </w:p>
        </w:tc>
      </w:tr>
      <w:tr>
        <w:trPr>
          <w:cantSplit/>
          <w:trHeight w:val="255"/>
        </w:trPr>
        <w:tc>
          <w:tcPr>
            <w:tcW w:w="221" w:type="pct"/>
            <w:tcBorders>
              <w:top w:val="nil"/>
              <w:left w:val="single" w:sz="4" w:space="0" w:color="auto"/>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left"/>
              <w:rPr>
                <w:rFonts w:eastAsia="宋体" w:cs="宋体"/>
                <w:color w:val="000000"/>
                <w:kern w:val="0"/>
                <w:sz w:val="16"/>
                <w:szCs w:val="16"/>
              </w:rPr>
            </w:pPr>
            <w:r>
              <w:rPr>
                <w:rFonts w:eastAsia="宋体" w:cs="宋体" w:hint="eastAsia"/>
                <w:color w:val="000000"/>
                <w:kern w:val="0"/>
                <w:sz w:val="16"/>
                <w:szCs w:val="16"/>
              </w:rPr>
              <w:t>2010909</w:t>
            </w:r>
          </w:p>
        </w:tc>
        <w:tc>
          <w:tcPr>
            <w:tcW w:w="761"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left"/>
              <w:rPr>
                <w:rFonts w:eastAsia="宋体" w:cs="宋体"/>
                <w:color w:val="000000"/>
                <w:kern w:val="0"/>
                <w:sz w:val="16"/>
                <w:szCs w:val="16"/>
              </w:rPr>
            </w:pPr>
            <w:r>
              <w:rPr>
                <w:rFonts w:eastAsia="宋体" w:cs="宋体" w:hint="eastAsia"/>
                <w:color w:val="000000"/>
                <w:kern w:val="0"/>
                <w:sz w:val="16"/>
                <w:szCs w:val="16"/>
              </w:rPr>
              <w:t>海关关务</w:t>
            </w:r>
          </w:p>
        </w:tc>
        <w:tc>
          <w:tcPr>
            <w:tcW w:w="416"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6,390.94</w:t>
            </w:r>
          </w:p>
        </w:tc>
        <w:tc>
          <w:tcPr>
            <w:tcW w:w="487"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6,390.94</w:t>
            </w:r>
          </w:p>
        </w:tc>
        <w:tc>
          <w:tcPr>
            <w:tcW w:w="345"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5,910.52</w:t>
            </w:r>
          </w:p>
        </w:tc>
        <w:tc>
          <w:tcPr>
            <w:tcW w:w="416"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hint="eastAsia"/>
                <w:sz w:val="16"/>
                <w:szCs w:val="16"/>
              </w:rPr>
              <w:t>　</w:t>
            </w:r>
          </w:p>
        </w:tc>
        <w:tc>
          <w:tcPr>
            <w:tcW w:w="414"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5,910.52</w:t>
            </w:r>
          </w:p>
        </w:tc>
        <w:tc>
          <w:tcPr>
            <w:tcW w:w="416"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hint="eastAsia"/>
                <w:sz w:val="16"/>
                <w:szCs w:val="16"/>
              </w:rPr>
              <w:t>5,910.52</w:t>
            </w:r>
          </w:p>
        </w:tc>
        <w:tc>
          <w:tcPr>
            <w:tcW w:w="388"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eastAsia="等线" w:cs="Times New Roman"/>
                <w:color w:val="000000"/>
                <w:sz w:val="16"/>
                <w:szCs w:val="16"/>
              </w:rPr>
            </w:pPr>
            <w:r>
              <w:rPr>
                <w:rFonts w:cs="Calibri" w:hint="eastAsia"/>
                <w:sz w:val="16"/>
                <w:szCs w:val="16"/>
              </w:rPr>
              <w:t>-480.42</w:t>
            </w:r>
          </w:p>
        </w:tc>
        <w:tc>
          <w:tcPr>
            <w:tcW w:w="373"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eastAsia="等线" w:cs="Times New Roman"/>
                <w:color w:val="000000"/>
                <w:sz w:val="16"/>
                <w:szCs w:val="16"/>
              </w:rPr>
            </w:pPr>
            <w:r>
              <w:rPr>
                <w:rFonts w:cs="Calibri" w:hint="eastAsia"/>
                <w:sz w:val="16"/>
                <w:szCs w:val="16"/>
              </w:rPr>
              <w:t>-7.52%</w:t>
            </w:r>
          </w:p>
        </w:tc>
        <w:tc>
          <w:tcPr>
            <w:tcW w:w="388"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eastAsia="等线" w:cs="Times New Roman"/>
                <w:color w:val="000000"/>
                <w:sz w:val="16"/>
                <w:szCs w:val="16"/>
              </w:rPr>
            </w:pPr>
            <w:r>
              <w:rPr>
                <w:rFonts w:cs="Calibri" w:hint="eastAsia"/>
                <w:sz w:val="16"/>
                <w:szCs w:val="16"/>
              </w:rPr>
              <w:t>-480.42</w:t>
            </w:r>
          </w:p>
        </w:tc>
        <w:tc>
          <w:tcPr>
            <w:tcW w:w="373"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eastAsia="等线" w:cs="Times New Roman"/>
                <w:color w:val="000000"/>
                <w:sz w:val="16"/>
                <w:szCs w:val="16"/>
              </w:rPr>
            </w:pPr>
            <w:r>
              <w:rPr>
                <w:rFonts w:cs="Calibri" w:hint="eastAsia"/>
                <w:sz w:val="16"/>
                <w:szCs w:val="16"/>
              </w:rPr>
              <w:t>-7.52%</w:t>
            </w:r>
          </w:p>
        </w:tc>
      </w:tr>
      <w:tr>
        <w:trPr>
          <w:cantSplit/>
          <w:trHeight w:val="255"/>
        </w:trPr>
        <w:tc>
          <w:tcPr>
            <w:tcW w:w="221" w:type="pct"/>
            <w:tcBorders>
              <w:top w:val="nil"/>
              <w:left w:val="single" w:sz="4" w:space="0" w:color="auto"/>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left"/>
              <w:rPr>
                <w:rFonts w:eastAsia="宋体" w:cs="宋体"/>
                <w:color w:val="000000"/>
                <w:kern w:val="0"/>
                <w:sz w:val="16"/>
                <w:szCs w:val="16"/>
              </w:rPr>
            </w:pPr>
            <w:r>
              <w:rPr>
                <w:rFonts w:eastAsia="宋体" w:cs="宋体" w:hint="eastAsia"/>
                <w:color w:val="000000"/>
                <w:kern w:val="0"/>
                <w:sz w:val="16"/>
                <w:szCs w:val="16"/>
              </w:rPr>
              <w:t>2010910</w:t>
            </w:r>
          </w:p>
        </w:tc>
        <w:tc>
          <w:tcPr>
            <w:tcW w:w="761"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left"/>
              <w:rPr>
                <w:rFonts w:eastAsia="宋体" w:cs="宋体"/>
                <w:color w:val="000000"/>
                <w:kern w:val="0"/>
                <w:sz w:val="16"/>
                <w:szCs w:val="16"/>
              </w:rPr>
            </w:pPr>
            <w:r>
              <w:rPr>
                <w:rFonts w:eastAsia="宋体" w:cs="宋体" w:hint="eastAsia"/>
                <w:color w:val="000000"/>
                <w:kern w:val="0"/>
                <w:sz w:val="16"/>
                <w:szCs w:val="16"/>
              </w:rPr>
              <w:t>关税征管</w:t>
            </w:r>
          </w:p>
        </w:tc>
        <w:tc>
          <w:tcPr>
            <w:tcW w:w="416"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70.00</w:t>
            </w:r>
          </w:p>
        </w:tc>
        <w:tc>
          <w:tcPr>
            <w:tcW w:w="487"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70.00</w:t>
            </w:r>
          </w:p>
        </w:tc>
        <w:tc>
          <w:tcPr>
            <w:tcW w:w="345"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60.00</w:t>
            </w:r>
          </w:p>
        </w:tc>
        <w:tc>
          <w:tcPr>
            <w:tcW w:w="416"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hint="eastAsia"/>
                <w:sz w:val="16"/>
                <w:szCs w:val="16"/>
              </w:rPr>
              <w:t>　</w:t>
            </w:r>
          </w:p>
        </w:tc>
        <w:tc>
          <w:tcPr>
            <w:tcW w:w="414"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60.00</w:t>
            </w:r>
          </w:p>
        </w:tc>
        <w:tc>
          <w:tcPr>
            <w:tcW w:w="416"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hint="eastAsia"/>
                <w:sz w:val="16"/>
                <w:szCs w:val="16"/>
              </w:rPr>
              <w:t>60.00</w:t>
            </w:r>
          </w:p>
        </w:tc>
        <w:tc>
          <w:tcPr>
            <w:tcW w:w="388"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eastAsia="等线" w:cs="Times New Roman"/>
                <w:color w:val="000000"/>
                <w:sz w:val="16"/>
                <w:szCs w:val="16"/>
              </w:rPr>
            </w:pPr>
            <w:r>
              <w:rPr>
                <w:rFonts w:cs="Calibri" w:hint="eastAsia"/>
                <w:sz w:val="16"/>
                <w:szCs w:val="16"/>
              </w:rPr>
              <w:t>-10.00</w:t>
            </w:r>
          </w:p>
        </w:tc>
        <w:tc>
          <w:tcPr>
            <w:tcW w:w="373"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eastAsia="等线" w:cs="Times New Roman"/>
                <w:color w:val="000000"/>
                <w:sz w:val="16"/>
                <w:szCs w:val="16"/>
              </w:rPr>
            </w:pPr>
            <w:r>
              <w:rPr>
                <w:rFonts w:cs="Calibri" w:hint="eastAsia"/>
                <w:sz w:val="16"/>
                <w:szCs w:val="16"/>
              </w:rPr>
              <w:t>-14.29%</w:t>
            </w:r>
          </w:p>
        </w:tc>
        <w:tc>
          <w:tcPr>
            <w:tcW w:w="388"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eastAsia="等线" w:cs="Times New Roman"/>
                <w:color w:val="000000"/>
                <w:sz w:val="16"/>
                <w:szCs w:val="16"/>
              </w:rPr>
            </w:pPr>
            <w:r>
              <w:rPr>
                <w:rFonts w:cs="Calibri" w:hint="eastAsia"/>
                <w:sz w:val="16"/>
                <w:szCs w:val="16"/>
              </w:rPr>
              <w:t>-10.00</w:t>
            </w:r>
          </w:p>
        </w:tc>
        <w:tc>
          <w:tcPr>
            <w:tcW w:w="373"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eastAsia="等线" w:cs="Times New Roman"/>
                <w:color w:val="000000"/>
                <w:sz w:val="16"/>
                <w:szCs w:val="16"/>
              </w:rPr>
            </w:pPr>
            <w:r>
              <w:rPr>
                <w:rFonts w:cs="Calibri" w:hint="eastAsia"/>
                <w:sz w:val="16"/>
                <w:szCs w:val="16"/>
              </w:rPr>
              <w:t>-14.29%</w:t>
            </w:r>
          </w:p>
        </w:tc>
      </w:tr>
      <w:tr>
        <w:trPr>
          <w:cantSplit/>
          <w:trHeight w:val="255"/>
        </w:trPr>
        <w:tc>
          <w:tcPr>
            <w:tcW w:w="221" w:type="pct"/>
            <w:tcBorders>
              <w:top w:val="nil"/>
              <w:left w:val="single" w:sz="4" w:space="0" w:color="auto"/>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left"/>
              <w:rPr>
                <w:rFonts w:eastAsia="宋体" w:cs="宋体"/>
                <w:color w:val="000000"/>
                <w:kern w:val="0"/>
                <w:sz w:val="16"/>
                <w:szCs w:val="16"/>
              </w:rPr>
            </w:pPr>
            <w:r>
              <w:rPr>
                <w:rFonts w:eastAsia="宋体" w:cs="宋体" w:hint="eastAsia"/>
                <w:color w:val="000000"/>
                <w:kern w:val="0"/>
                <w:sz w:val="16"/>
                <w:szCs w:val="16"/>
              </w:rPr>
              <w:t>2010911</w:t>
            </w:r>
          </w:p>
        </w:tc>
        <w:tc>
          <w:tcPr>
            <w:tcW w:w="761"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left"/>
              <w:rPr>
                <w:rFonts w:eastAsia="宋体" w:cs="宋体"/>
                <w:color w:val="000000"/>
                <w:kern w:val="0"/>
                <w:sz w:val="16"/>
                <w:szCs w:val="16"/>
              </w:rPr>
            </w:pPr>
            <w:r>
              <w:rPr>
                <w:rFonts w:eastAsia="宋体" w:cs="宋体" w:hint="eastAsia"/>
                <w:color w:val="000000"/>
                <w:kern w:val="0"/>
                <w:sz w:val="16"/>
                <w:szCs w:val="16"/>
              </w:rPr>
              <w:t>海关监管</w:t>
            </w:r>
          </w:p>
        </w:tc>
        <w:tc>
          <w:tcPr>
            <w:tcW w:w="416"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391.00</w:t>
            </w:r>
          </w:p>
        </w:tc>
        <w:tc>
          <w:tcPr>
            <w:tcW w:w="487"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391.00</w:t>
            </w:r>
          </w:p>
        </w:tc>
        <w:tc>
          <w:tcPr>
            <w:tcW w:w="345"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642.41</w:t>
            </w:r>
          </w:p>
        </w:tc>
        <w:tc>
          <w:tcPr>
            <w:tcW w:w="416"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hint="eastAsia"/>
                <w:sz w:val="16"/>
                <w:szCs w:val="16"/>
              </w:rPr>
              <w:t>　</w:t>
            </w:r>
          </w:p>
        </w:tc>
        <w:tc>
          <w:tcPr>
            <w:tcW w:w="414"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642.41</w:t>
            </w:r>
          </w:p>
        </w:tc>
        <w:tc>
          <w:tcPr>
            <w:tcW w:w="416"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hint="eastAsia"/>
                <w:sz w:val="16"/>
                <w:szCs w:val="16"/>
              </w:rPr>
              <w:t>642.41</w:t>
            </w:r>
          </w:p>
        </w:tc>
        <w:tc>
          <w:tcPr>
            <w:tcW w:w="388"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eastAsia="等线" w:cs="Times New Roman"/>
                <w:color w:val="000000"/>
                <w:sz w:val="16"/>
                <w:szCs w:val="16"/>
              </w:rPr>
            </w:pPr>
            <w:r>
              <w:rPr>
                <w:rFonts w:cs="Calibri" w:hint="eastAsia"/>
                <w:sz w:val="16"/>
                <w:szCs w:val="16"/>
              </w:rPr>
              <w:t>251.41</w:t>
            </w:r>
          </w:p>
        </w:tc>
        <w:tc>
          <w:tcPr>
            <w:tcW w:w="373"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eastAsia="等线" w:cs="Times New Roman"/>
                <w:color w:val="000000"/>
                <w:sz w:val="16"/>
                <w:szCs w:val="16"/>
              </w:rPr>
            </w:pPr>
            <w:r>
              <w:rPr>
                <w:rFonts w:cs="Calibri" w:hint="eastAsia"/>
                <w:sz w:val="16"/>
                <w:szCs w:val="16"/>
              </w:rPr>
              <w:t>64.30%</w:t>
            </w:r>
          </w:p>
        </w:tc>
        <w:tc>
          <w:tcPr>
            <w:tcW w:w="388"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eastAsia="等线" w:cs="Times New Roman"/>
                <w:color w:val="000000"/>
                <w:sz w:val="16"/>
                <w:szCs w:val="16"/>
              </w:rPr>
            </w:pPr>
            <w:r>
              <w:rPr>
                <w:rFonts w:cs="Calibri" w:hint="eastAsia"/>
                <w:sz w:val="16"/>
                <w:szCs w:val="16"/>
              </w:rPr>
              <w:t>251.41</w:t>
            </w:r>
          </w:p>
        </w:tc>
        <w:tc>
          <w:tcPr>
            <w:tcW w:w="373"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eastAsia="等线" w:cs="Times New Roman"/>
                <w:color w:val="000000"/>
                <w:sz w:val="16"/>
                <w:szCs w:val="16"/>
              </w:rPr>
            </w:pPr>
            <w:r>
              <w:rPr>
                <w:rFonts w:cs="Calibri" w:hint="eastAsia"/>
                <w:sz w:val="16"/>
                <w:szCs w:val="16"/>
              </w:rPr>
              <w:t>64.30%</w:t>
            </w:r>
          </w:p>
        </w:tc>
      </w:tr>
      <w:tr>
        <w:trPr>
          <w:cantSplit/>
          <w:trHeight w:val="255"/>
        </w:trPr>
        <w:tc>
          <w:tcPr>
            <w:tcW w:w="221" w:type="pct"/>
            <w:tcBorders>
              <w:top w:val="nil"/>
              <w:left w:val="single" w:sz="4" w:space="0" w:color="auto"/>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left"/>
              <w:rPr>
                <w:rFonts w:eastAsia="宋体" w:cs="宋体"/>
                <w:color w:val="000000"/>
                <w:kern w:val="0"/>
                <w:sz w:val="16"/>
                <w:szCs w:val="16"/>
              </w:rPr>
            </w:pPr>
            <w:r>
              <w:rPr>
                <w:rFonts w:eastAsia="宋体" w:cs="宋体" w:hint="eastAsia"/>
                <w:color w:val="000000"/>
                <w:kern w:val="0"/>
                <w:sz w:val="16"/>
                <w:szCs w:val="16"/>
              </w:rPr>
              <w:t>2010912</w:t>
            </w:r>
          </w:p>
        </w:tc>
        <w:tc>
          <w:tcPr>
            <w:tcW w:w="761"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left"/>
              <w:rPr>
                <w:rFonts w:eastAsia="宋体" w:cs="宋体"/>
                <w:color w:val="000000"/>
                <w:kern w:val="0"/>
                <w:sz w:val="16"/>
                <w:szCs w:val="16"/>
              </w:rPr>
            </w:pPr>
            <w:r>
              <w:rPr>
                <w:rFonts w:eastAsia="宋体" w:cs="宋体" w:hint="eastAsia"/>
                <w:color w:val="000000"/>
                <w:kern w:val="0"/>
                <w:sz w:val="16"/>
                <w:szCs w:val="16"/>
              </w:rPr>
              <w:t>检验检疫</w:t>
            </w:r>
          </w:p>
        </w:tc>
        <w:tc>
          <w:tcPr>
            <w:tcW w:w="416"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1,992.61</w:t>
            </w:r>
          </w:p>
        </w:tc>
        <w:tc>
          <w:tcPr>
            <w:tcW w:w="487"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1,992.61</w:t>
            </w:r>
          </w:p>
        </w:tc>
        <w:tc>
          <w:tcPr>
            <w:tcW w:w="345"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3,406.33</w:t>
            </w:r>
          </w:p>
        </w:tc>
        <w:tc>
          <w:tcPr>
            <w:tcW w:w="416"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hint="eastAsia"/>
                <w:sz w:val="16"/>
                <w:szCs w:val="16"/>
              </w:rPr>
              <w:t>　</w:t>
            </w:r>
          </w:p>
        </w:tc>
        <w:tc>
          <w:tcPr>
            <w:tcW w:w="414"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3,406.33</w:t>
            </w:r>
          </w:p>
        </w:tc>
        <w:tc>
          <w:tcPr>
            <w:tcW w:w="416"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hint="eastAsia"/>
                <w:sz w:val="16"/>
                <w:szCs w:val="16"/>
              </w:rPr>
              <w:t>3,406.33</w:t>
            </w:r>
          </w:p>
        </w:tc>
        <w:tc>
          <w:tcPr>
            <w:tcW w:w="388"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eastAsia="等线" w:cs="Times New Roman"/>
                <w:color w:val="000000"/>
                <w:sz w:val="16"/>
                <w:szCs w:val="16"/>
              </w:rPr>
            </w:pPr>
            <w:r>
              <w:rPr>
                <w:rFonts w:cs="Calibri" w:hint="eastAsia"/>
                <w:sz w:val="16"/>
                <w:szCs w:val="16"/>
              </w:rPr>
              <w:t>1,413.72</w:t>
            </w:r>
          </w:p>
        </w:tc>
        <w:tc>
          <w:tcPr>
            <w:tcW w:w="373"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eastAsia="等线" w:cs="Times New Roman"/>
                <w:color w:val="000000"/>
                <w:sz w:val="16"/>
                <w:szCs w:val="16"/>
              </w:rPr>
            </w:pPr>
            <w:r>
              <w:rPr>
                <w:rFonts w:cs="Calibri" w:hint="eastAsia"/>
                <w:sz w:val="16"/>
                <w:szCs w:val="16"/>
              </w:rPr>
              <w:t>70.95%</w:t>
            </w:r>
          </w:p>
        </w:tc>
        <w:tc>
          <w:tcPr>
            <w:tcW w:w="388"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eastAsia="等线" w:cs="Times New Roman"/>
                <w:color w:val="000000"/>
                <w:sz w:val="16"/>
                <w:szCs w:val="16"/>
              </w:rPr>
            </w:pPr>
            <w:r>
              <w:rPr>
                <w:rFonts w:cs="Calibri" w:hint="eastAsia"/>
                <w:sz w:val="16"/>
                <w:szCs w:val="16"/>
              </w:rPr>
              <w:t>1,413.72</w:t>
            </w:r>
          </w:p>
        </w:tc>
        <w:tc>
          <w:tcPr>
            <w:tcW w:w="373"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eastAsia="等线" w:cs="Times New Roman"/>
                <w:color w:val="000000"/>
                <w:sz w:val="16"/>
                <w:szCs w:val="16"/>
              </w:rPr>
            </w:pPr>
            <w:r>
              <w:rPr>
                <w:rFonts w:cs="Calibri" w:hint="eastAsia"/>
                <w:sz w:val="16"/>
                <w:szCs w:val="16"/>
              </w:rPr>
              <w:t>70.95%</w:t>
            </w:r>
          </w:p>
        </w:tc>
      </w:tr>
      <w:tr>
        <w:trPr>
          <w:cantSplit/>
          <w:trHeight w:val="255"/>
        </w:trPr>
        <w:tc>
          <w:tcPr>
            <w:tcW w:w="221" w:type="pct"/>
            <w:tcBorders>
              <w:top w:val="nil"/>
              <w:left w:val="single" w:sz="4" w:space="0" w:color="auto"/>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left"/>
              <w:rPr>
                <w:rFonts w:eastAsia="宋体" w:cs="宋体"/>
                <w:color w:val="000000"/>
                <w:kern w:val="0"/>
                <w:sz w:val="16"/>
                <w:szCs w:val="16"/>
              </w:rPr>
            </w:pPr>
            <w:r>
              <w:rPr>
                <w:rFonts w:eastAsia="宋体" w:cs="宋体" w:hint="eastAsia"/>
                <w:color w:val="000000"/>
                <w:kern w:val="0"/>
                <w:sz w:val="16"/>
                <w:szCs w:val="16"/>
              </w:rPr>
              <w:t>2010950</w:t>
            </w:r>
          </w:p>
        </w:tc>
        <w:tc>
          <w:tcPr>
            <w:tcW w:w="761"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left"/>
              <w:rPr>
                <w:rFonts w:eastAsia="宋体" w:cs="宋体"/>
                <w:color w:val="000000"/>
                <w:kern w:val="0"/>
                <w:sz w:val="16"/>
                <w:szCs w:val="16"/>
              </w:rPr>
            </w:pPr>
            <w:r>
              <w:rPr>
                <w:rFonts w:eastAsia="宋体" w:cs="宋体" w:hint="eastAsia"/>
                <w:color w:val="000000"/>
                <w:kern w:val="0"/>
                <w:sz w:val="16"/>
                <w:szCs w:val="16"/>
              </w:rPr>
              <w:t>事业运行</w:t>
            </w:r>
          </w:p>
        </w:tc>
        <w:tc>
          <w:tcPr>
            <w:tcW w:w="416"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3,322.03</w:t>
            </w:r>
          </w:p>
        </w:tc>
        <w:tc>
          <w:tcPr>
            <w:tcW w:w="487"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3,322.03</w:t>
            </w:r>
          </w:p>
        </w:tc>
        <w:tc>
          <w:tcPr>
            <w:tcW w:w="345"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3,351.43</w:t>
            </w:r>
          </w:p>
        </w:tc>
        <w:tc>
          <w:tcPr>
            <w:tcW w:w="416"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3,351.43</w:t>
            </w:r>
          </w:p>
        </w:tc>
        <w:tc>
          <w:tcPr>
            <w:tcW w:w="414"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hint="eastAsia"/>
                <w:sz w:val="16"/>
                <w:szCs w:val="16"/>
              </w:rPr>
              <w:t>　</w:t>
            </w:r>
          </w:p>
        </w:tc>
        <w:tc>
          <w:tcPr>
            <w:tcW w:w="416"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hint="eastAsia"/>
                <w:sz w:val="16"/>
                <w:szCs w:val="16"/>
              </w:rPr>
              <w:t>3,351.43</w:t>
            </w:r>
          </w:p>
        </w:tc>
        <w:tc>
          <w:tcPr>
            <w:tcW w:w="388"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eastAsia="等线" w:cs="Times New Roman"/>
                <w:color w:val="000000"/>
                <w:sz w:val="16"/>
                <w:szCs w:val="16"/>
              </w:rPr>
            </w:pPr>
            <w:r>
              <w:rPr>
                <w:rFonts w:cs="Calibri" w:hint="eastAsia"/>
                <w:sz w:val="16"/>
                <w:szCs w:val="16"/>
              </w:rPr>
              <w:t>29.40</w:t>
            </w:r>
          </w:p>
        </w:tc>
        <w:tc>
          <w:tcPr>
            <w:tcW w:w="373"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eastAsia="等线" w:cs="Times New Roman"/>
                <w:color w:val="000000"/>
                <w:sz w:val="16"/>
                <w:szCs w:val="16"/>
              </w:rPr>
            </w:pPr>
            <w:r>
              <w:rPr>
                <w:rFonts w:cs="Calibri" w:hint="eastAsia"/>
                <w:sz w:val="16"/>
                <w:szCs w:val="16"/>
              </w:rPr>
              <w:t>0.89%</w:t>
            </w:r>
          </w:p>
        </w:tc>
        <w:tc>
          <w:tcPr>
            <w:tcW w:w="388"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eastAsia="等线" w:cs="Times New Roman"/>
                <w:color w:val="000000"/>
                <w:sz w:val="16"/>
                <w:szCs w:val="16"/>
              </w:rPr>
            </w:pPr>
            <w:r>
              <w:rPr>
                <w:rFonts w:cs="Calibri" w:hint="eastAsia"/>
                <w:sz w:val="16"/>
                <w:szCs w:val="16"/>
              </w:rPr>
              <w:t>29.40</w:t>
            </w:r>
          </w:p>
        </w:tc>
        <w:tc>
          <w:tcPr>
            <w:tcW w:w="373"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eastAsia="等线" w:cs="Times New Roman"/>
                <w:color w:val="000000"/>
                <w:sz w:val="16"/>
                <w:szCs w:val="16"/>
              </w:rPr>
            </w:pPr>
            <w:r>
              <w:rPr>
                <w:rFonts w:cs="Calibri" w:hint="eastAsia"/>
                <w:sz w:val="16"/>
                <w:szCs w:val="16"/>
              </w:rPr>
              <w:t>0.89%</w:t>
            </w:r>
          </w:p>
        </w:tc>
      </w:tr>
      <w:tr>
        <w:trPr>
          <w:cantSplit/>
          <w:trHeight w:val="255"/>
        </w:trPr>
        <w:tc>
          <w:tcPr>
            <w:tcW w:w="221" w:type="pct"/>
            <w:tcBorders>
              <w:top w:val="nil"/>
              <w:left w:val="single" w:sz="4" w:space="0" w:color="auto"/>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left"/>
              <w:rPr>
                <w:rFonts w:eastAsia="宋体" w:cs="宋体"/>
                <w:b/>
                <w:bCs/>
                <w:color w:val="000000"/>
                <w:kern w:val="0"/>
                <w:sz w:val="16"/>
                <w:szCs w:val="16"/>
              </w:rPr>
            </w:pPr>
            <w:r>
              <w:rPr>
                <w:rFonts w:eastAsia="宋体" w:cs="宋体" w:hint="eastAsia"/>
                <w:b/>
                <w:bCs/>
                <w:color w:val="000000"/>
                <w:kern w:val="0"/>
                <w:sz w:val="16"/>
                <w:szCs w:val="16"/>
              </w:rPr>
              <w:t>204</w:t>
            </w:r>
          </w:p>
        </w:tc>
        <w:tc>
          <w:tcPr>
            <w:tcW w:w="761"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left"/>
              <w:rPr>
                <w:rFonts w:eastAsia="宋体" w:cs="宋体"/>
                <w:b/>
                <w:bCs/>
                <w:color w:val="000000"/>
                <w:kern w:val="0"/>
                <w:sz w:val="16"/>
                <w:szCs w:val="16"/>
              </w:rPr>
            </w:pPr>
            <w:r>
              <w:rPr>
                <w:rFonts w:eastAsia="宋体" w:cs="宋体" w:hint="eastAsia"/>
                <w:b/>
                <w:bCs/>
                <w:color w:val="000000"/>
                <w:kern w:val="0"/>
                <w:sz w:val="16"/>
                <w:szCs w:val="16"/>
              </w:rPr>
              <w:t xml:space="preserve">  公共安全支出</w:t>
            </w:r>
          </w:p>
        </w:tc>
        <w:tc>
          <w:tcPr>
            <w:tcW w:w="416"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5,746.71</w:t>
            </w:r>
          </w:p>
        </w:tc>
        <w:tc>
          <w:tcPr>
            <w:tcW w:w="487"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5,746.71</w:t>
            </w:r>
          </w:p>
        </w:tc>
        <w:tc>
          <w:tcPr>
            <w:tcW w:w="345"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6,223.94</w:t>
            </w:r>
          </w:p>
        </w:tc>
        <w:tc>
          <w:tcPr>
            <w:tcW w:w="416"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4,118.94</w:t>
            </w:r>
          </w:p>
        </w:tc>
        <w:tc>
          <w:tcPr>
            <w:tcW w:w="414"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2,105.00</w:t>
            </w:r>
          </w:p>
        </w:tc>
        <w:tc>
          <w:tcPr>
            <w:tcW w:w="416"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hint="eastAsia"/>
                <w:sz w:val="16"/>
                <w:szCs w:val="16"/>
              </w:rPr>
              <w:t>6,223.94</w:t>
            </w:r>
          </w:p>
        </w:tc>
        <w:tc>
          <w:tcPr>
            <w:tcW w:w="388"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eastAsia="等线" w:cs="Times New Roman"/>
                <w:color w:val="000000"/>
                <w:sz w:val="16"/>
                <w:szCs w:val="16"/>
              </w:rPr>
            </w:pPr>
            <w:r>
              <w:rPr>
                <w:rFonts w:cs="Calibri" w:hint="eastAsia"/>
                <w:sz w:val="16"/>
                <w:szCs w:val="16"/>
              </w:rPr>
              <w:t>2,409.56</w:t>
            </w:r>
          </w:p>
        </w:tc>
        <w:tc>
          <w:tcPr>
            <w:tcW w:w="373"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eastAsia="等线" w:cs="Times New Roman"/>
                <w:color w:val="000000"/>
                <w:sz w:val="16"/>
                <w:szCs w:val="16"/>
              </w:rPr>
            </w:pPr>
            <w:r>
              <w:rPr>
                <w:rFonts w:cs="Calibri" w:hint="eastAsia"/>
                <w:sz w:val="16"/>
                <w:szCs w:val="16"/>
              </w:rPr>
              <w:t>4.15%</w:t>
            </w:r>
          </w:p>
        </w:tc>
        <w:tc>
          <w:tcPr>
            <w:tcW w:w="388"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eastAsia="等线" w:cs="Times New Roman"/>
                <w:color w:val="000000"/>
                <w:sz w:val="16"/>
                <w:szCs w:val="16"/>
              </w:rPr>
            </w:pPr>
            <w:r>
              <w:rPr>
                <w:rFonts w:cs="Calibri" w:hint="eastAsia"/>
                <w:sz w:val="16"/>
                <w:szCs w:val="16"/>
              </w:rPr>
              <w:t>2,409.56</w:t>
            </w:r>
          </w:p>
        </w:tc>
        <w:tc>
          <w:tcPr>
            <w:tcW w:w="373"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eastAsia="等线" w:cs="Times New Roman"/>
                <w:color w:val="000000"/>
                <w:sz w:val="16"/>
                <w:szCs w:val="16"/>
              </w:rPr>
            </w:pPr>
            <w:r>
              <w:rPr>
                <w:rFonts w:cs="Calibri" w:hint="eastAsia"/>
                <w:sz w:val="16"/>
                <w:szCs w:val="16"/>
              </w:rPr>
              <w:t>4.15%</w:t>
            </w:r>
          </w:p>
        </w:tc>
      </w:tr>
      <w:tr>
        <w:trPr>
          <w:cantSplit/>
          <w:trHeight w:val="255"/>
        </w:trPr>
        <w:tc>
          <w:tcPr>
            <w:tcW w:w="221" w:type="pct"/>
            <w:tcBorders>
              <w:top w:val="nil"/>
              <w:left w:val="single" w:sz="4" w:space="0" w:color="auto"/>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left"/>
              <w:rPr>
                <w:rFonts w:eastAsia="宋体" w:cs="宋体"/>
                <w:b/>
                <w:bCs/>
                <w:color w:val="000000"/>
                <w:kern w:val="0"/>
                <w:sz w:val="16"/>
                <w:szCs w:val="16"/>
              </w:rPr>
            </w:pPr>
            <w:r>
              <w:rPr>
                <w:rFonts w:eastAsia="宋体" w:cs="宋体" w:hint="eastAsia"/>
                <w:b/>
                <w:bCs/>
                <w:color w:val="000000"/>
                <w:kern w:val="0"/>
                <w:sz w:val="16"/>
                <w:szCs w:val="16"/>
              </w:rPr>
              <w:t>20410</w:t>
            </w:r>
          </w:p>
        </w:tc>
        <w:tc>
          <w:tcPr>
            <w:tcW w:w="761"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left"/>
              <w:rPr>
                <w:rFonts w:eastAsia="宋体" w:cs="宋体"/>
                <w:b/>
                <w:bCs/>
                <w:color w:val="000000"/>
                <w:kern w:val="0"/>
                <w:sz w:val="16"/>
                <w:szCs w:val="16"/>
              </w:rPr>
            </w:pPr>
            <w:r>
              <w:rPr>
                <w:rFonts w:eastAsia="宋体" w:cs="宋体" w:hint="eastAsia"/>
                <w:b/>
                <w:bCs/>
                <w:color w:val="000000"/>
                <w:kern w:val="0"/>
                <w:sz w:val="16"/>
                <w:szCs w:val="16"/>
              </w:rPr>
              <w:t xml:space="preserve">    缉私警察</w:t>
            </w:r>
          </w:p>
        </w:tc>
        <w:tc>
          <w:tcPr>
            <w:tcW w:w="416"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5,746.71</w:t>
            </w:r>
          </w:p>
        </w:tc>
        <w:tc>
          <w:tcPr>
            <w:tcW w:w="487"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5,746.71</w:t>
            </w:r>
          </w:p>
        </w:tc>
        <w:tc>
          <w:tcPr>
            <w:tcW w:w="345"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6,223.94</w:t>
            </w:r>
          </w:p>
        </w:tc>
        <w:tc>
          <w:tcPr>
            <w:tcW w:w="416"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4,118.94</w:t>
            </w:r>
          </w:p>
        </w:tc>
        <w:tc>
          <w:tcPr>
            <w:tcW w:w="414"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2,105.00</w:t>
            </w:r>
          </w:p>
        </w:tc>
        <w:tc>
          <w:tcPr>
            <w:tcW w:w="416"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hint="eastAsia"/>
                <w:sz w:val="16"/>
                <w:szCs w:val="16"/>
              </w:rPr>
              <w:t>6,223.94</w:t>
            </w:r>
          </w:p>
        </w:tc>
        <w:tc>
          <w:tcPr>
            <w:tcW w:w="388"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eastAsia="等线" w:cs="Times New Roman"/>
                <w:color w:val="000000"/>
                <w:sz w:val="16"/>
                <w:szCs w:val="16"/>
              </w:rPr>
            </w:pPr>
            <w:r>
              <w:rPr>
                <w:rFonts w:cs="Calibri" w:hint="eastAsia"/>
                <w:sz w:val="16"/>
                <w:szCs w:val="16"/>
              </w:rPr>
              <w:t>2,409.56</w:t>
            </w:r>
          </w:p>
        </w:tc>
        <w:tc>
          <w:tcPr>
            <w:tcW w:w="373"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eastAsia="等线" w:cs="Times New Roman"/>
                <w:color w:val="000000"/>
                <w:sz w:val="16"/>
                <w:szCs w:val="16"/>
              </w:rPr>
            </w:pPr>
            <w:r>
              <w:rPr>
                <w:rFonts w:cs="Calibri" w:hint="eastAsia"/>
                <w:sz w:val="16"/>
                <w:szCs w:val="16"/>
              </w:rPr>
              <w:t>4.15%</w:t>
            </w:r>
          </w:p>
        </w:tc>
        <w:tc>
          <w:tcPr>
            <w:tcW w:w="388"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eastAsia="等线" w:cs="Times New Roman"/>
                <w:color w:val="000000"/>
                <w:sz w:val="16"/>
                <w:szCs w:val="16"/>
              </w:rPr>
            </w:pPr>
            <w:r>
              <w:rPr>
                <w:rFonts w:cs="Calibri" w:hint="eastAsia"/>
                <w:sz w:val="16"/>
                <w:szCs w:val="16"/>
              </w:rPr>
              <w:t>2,409.56</w:t>
            </w:r>
          </w:p>
        </w:tc>
        <w:tc>
          <w:tcPr>
            <w:tcW w:w="373"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eastAsia="等线" w:cs="Times New Roman"/>
                <w:color w:val="000000"/>
                <w:sz w:val="16"/>
                <w:szCs w:val="16"/>
              </w:rPr>
            </w:pPr>
            <w:r>
              <w:rPr>
                <w:rFonts w:cs="Calibri" w:hint="eastAsia"/>
                <w:sz w:val="16"/>
                <w:szCs w:val="16"/>
              </w:rPr>
              <w:t>4.15%</w:t>
            </w:r>
          </w:p>
        </w:tc>
      </w:tr>
      <w:tr>
        <w:trPr>
          <w:trHeight w:val="255"/>
        </w:trPr>
        <w:tc>
          <w:tcPr>
            <w:tcW w:w="221" w:type="pct"/>
            <w:tcBorders>
              <w:top w:val="nil"/>
              <w:left w:val="single" w:sz="4" w:space="0" w:color="auto"/>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left"/>
              <w:rPr>
                <w:rFonts w:eastAsia="宋体" w:cs="宋体"/>
                <w:color w:val="000000"/>
                <w:kern w:val="0"/>
                <w:sz w:val="16"/>
                <w:szCs w:val="16"/>
              </w:rPr>
            </w:pPr>
            <w:r>
              <w:rPr>
                <w:rFonts w:eastAsia="宋体" w:cs="宋体" w:hint="eastAsia"/>
                <w:color w:val="000000"/>
                <w:kern w:val="0"/>
                <w:sz w:val="16"/>
                <w:szCs w:val="16"/>
              </w:rPr>
              <w:t>2041001</w:t>
            </w:r>
          </w:p>
        </w:tc>
        <w:tc>
          <w:tcPr>
            <w:tcW w:w="761"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left"/>
              <w:rPr>
                <w:rFonts w:eastAsia="宋体" w:cs="宋体"/>
                <w:color w:val="000000"/>
                <w:kern w:val="0"/>
                <w:sz w:val="16"/>
                <w:szCs w:val="16"/>
              </w:rPr>
            </w:pPr>
            <w:r>
              <w:rPr>
                <w:rFonts w:eastAsia="宋体" w:cs="宋体" w:hint="eastAsia"/>
                <w:color w:val="000000"/>
                <w:kern w:val="0"/>
                <w:sz w:val="16"/>
                <w:szCs w:val="16"/>
              </w:rPr>
              <w:t>行政运行</w:t>
            </w:r>
          </w:p>
        </w:tc>
        <w:tc>
          <w:tcPr>
            <w:tcW w:w="416"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4,236.21</w:t>
            </w:r>
          </w:p>
        </w:tc>
        <w:tc>
          <w:tcPr>
            <w:tcW w:w="487"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4,236.21</w:t>
            </w:r>
          </w:p>
        </w:tc>
        <w:tc>
          <w:tcPr>
            <w:tcW w:w="345"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4,118.94</w:t>
            </w:r>
          </w:p>
        </w:tc>
        <w:tc>
          <w:tcPr>
            <w:tcW w:w="416"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4,118.94</w:t>
            </w:r>
          </w:p>
        </w:tc>
        <w:tc>
          <w:tcPr>
            <w:tcW w:w="414"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hint="eastAsia"/>
                <w:sz w:val="16"/>
                <w:szCs w:val="16"/>
              </w:rPr>
              <w:t>　</w:t>
            </w:r>
          </w:p>
        </w:tc>
        <w:tc>
          <w:tcPr>
            <w:tcW w:w="416"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hint="eastAsia"/>
                <w:sz w:val="16"/>
                <w:szCs w:val="16"/>
              </w:rPr>
              <w:t>4,118.94</w:t>
            </w:r>
          </w:p>
        </w:tc>
        <w:tc>
          <w:tcPr>
            <w:tcW w:w="388"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-117.27</w:t>
            </w:r>
          </w:p>
        </w:tc>
        <w:tc>
          <w:tcPr>
            <w:tcW w:w="373"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-2.77%</w:t>
            </w:r>
          </w:p>
        </w:tc>
        <w:tc>
          <w:tcPr>
            <w:tcW w:w="388"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eastAsia="等线" w:cs="Times New Roman"/>
                <w:color w:val="000000"/>
                <w:sz w:val="16"/>
                <w:szCs w:val="16"/>
              </w:rPr>
            </w:pPr>
            <w:r>
              <w:rPr>
                <w:rFonts w:cs="Calibri" w:hint="eastAsia"/>
                <w:sz w:val="16"/>
                <w:szCs w:val="16"/>
              </w:rPr>
              <w:t>-117.27</w:t>
            </w:r>
          </w:p>
        </w:tc>
        <w:tc>
          <w:tcPr>
            <w:tcW w:w="373"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eastAsia="等线" w:cs="Times New Roman"/>
                <w:color w:val="000000"/>
                <w:sz w:val="16"/>
                <w:szCs w:val="16"/>
              </w:rPr>
            </w:pPr>
            <w:r>
              <w:rPr>
                <w:rFonts w:cs="Calibri" w:hint="eastAsia"/>
                <w:sz w:val="16"/>
                <w:szCs w:val="16"/>
              </w:rPr>
              <w:t>-2.77%</w:t>
            </w:r>
          </w:p>
        </w:tc>
      </w:tr>
      <w:tr>
        <w:trPr>
          <w:cantSplit/>
          <w:trHeight w:val="255"/>
        </w:trPr>
        <w:tc>
          <w:tcPr>
            <w:tcW w:w="221" w:type="pct"/>
            <w:tcBorders>
              <w:top w:val="nil"/>
              <w:left w:val="single" w:sz="4" w:space="0" w:color="auto"/>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left"/>
              <w:rPr>
                <w:rFonts w:eastAsia="宋体" w:cs="宋体"/>
                <w:color w:val="000000"/>
                <w:kern w:val="0"/>
                <w:sz w:val="16"/>
                <w:szCs w:val="16"/>
              </w:rPr>
            </w:pPr>
            <w:r>
              <w:rPr>
                <w:rFonts w:eastAsia="宋体" w:cs="宋体" w:hint="eastAsia"/>
                <w:color w:val="000000"/>
                <w:kern w:val="0"/>
                <w:sz w:val="16"/>
                <w:szCs w:val="16"/>
              </w:rPr>
              <w:t>2041002</w:t>
            </w:r>
          </w:p>
        </w:tc>
        <w:tc>
          <w:tcPr>
            <w:tcW w:w="761"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left"/>
              <w:rPr>
                <w:rFonts w:eastAsia="宋体" w:cs="宋体"/>
                <w:color w:val="000000"/>
                <w:kern w:val="0"/>
                <w:sz w:val="16"/>
                <w:szCs w:val="16"/>
              </w:rPr>
            </w:pPr>
            <w:r>
              <w:rPr>
                <w:rFonts w:eastAsia="宋体" w:cs="宋体" w:hint="eastAsia"/>
                <w:color w:val="000000"/>
                <w:kern w:val="0"/>
                <w:sz w:val="16"/>
                <w:szCs w:val="16"/>
              </w:rPr>
              <w:t>一般行政管理事务</w:t>
            </w:r>
          </w:p>
        </w:tc>
        <w:tc>
          <w:tcPr>
            <w:tcW w:w="416"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70.00</w:t>
            </w:r>
          </w:p>
        </w:tc>
        <w:tc>
          <w:tcPr>
            <w:tcW w:w="487"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70.00</w:t>
            </w:r>
          </w:p>
        </w:tc>
        <w:tc>
          <w:tcPr>
            <w:tcW w:w="345"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80.78</w:t>
            </w:r>
          </w:p>
        </w:tc>
        <w:tc>
          <w:tcPr>
            <w:tcW w:w="416"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hint="eastAsia"/>
                <w:sz w:val="16"/>
                <w:szCs w:val="16"/>
              </w:rPr>
              <w:t>　</w:t>
            </w:r>
          </w:p>
        </w:tc>
        <w:tc>
          <w:tcPr>
            <w:tcW w:w="414"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80.78</w:t>
            </w:r>
          </w:p>
        </w:tc>
        <w:tc>
          <w:tcPr>
            <w:tcW w:w="416"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hint="eastAsia"/>
                <w:sz w:val="16"/>
                <w:szCs w:val="16"/>
              </w:rPr>
              <w:t>80.78</w:t>
            </w:r>
          </w:p>
        </w:tc>
        <w:tc>
          <w:tcPr>
            <w:tcW w:w="388"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10.78</w:t>
            </w:r>
          </w:p>
        </w:tc>
        <w:tc>
          <w:tcPr>
            <w:tcW w:w="373"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15.40%</w:t>
            </w:r>
          </w:p>
        </w:tc>
        <w:tc>
          <w:tcPr>
            <w:tcW w:w="388"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eastAsia="等线" w:cs="Times New Roman"/>
                <w:color w:val="000000"/>
                <w:sz w:val="16"/>
                <w:szCs w:val="16"/>
              </w:rPr>
            </w:pPr>
            <w:r>
              <w:rPr>
                <w:rFonts w:cs="Calibri" w:hint="eastAsia"/>
                <w:sz w:val="16"/>
                <w:szCs w:val="16"/>
              </w:rPr>
              <w:t>10.78</w:t>
            </w:r>
          </w:p>
        </w:tc>
        <w:tc>
          <w:tcPr>
            <w:tcW w:w="373"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eastAsia="等线" w:cs="Times New Roman"/>
                <w:color w:val="000000"/>
                <w:sz w:val="16"/>
                <w:szCs w:val="16"/>
              </w:rPr>
            </w:pPr>
            <w:r>
              <w:rPr>
                <w:rFonts w:cs="Calibri" w:hint="eastAsia"/>
                <w:sz w:val="16"/>
                <w:szCs w:val="16"/>
              </w:rPr>
              <w:t>15.40%</w:t>
            </w:r>
          </w:p>
        </w:tc>
      </w:tr>
      <w:tr>
        <w:trPr>
          <w:cantSplit/>
          <w:trHeight w:val="255"/>
        </w:trPr>
        <w:tc>
          <w:tcPr>
            <w:tcW w:w="221" w:type="pct"/>
            <w:tcBorders>
              <w:top w:val="nil"/>
              <w:left w:val="single" w:sz="4" w:space="0" w:color="auto"/>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left"/>
              <w:rPr>
                <w:rFonts w:eastAsia="宋体" w:cs="宋体"/>
                <w:color w:val="000000"/>
                <w:kern w:val="0"/>
                <w:sz w:val="16"/>
                <w:szCs w:val="16"/>
              </w:rPr>
            </w:pPr>
            <w:r>
              <w:rPr>
                <w:rFonts w:eastAsia="宋体" w:cs="宋体" w:hint="eastAsia"/>
                <w:color w:val="000000"/>
                <w:kern w:val="0"/>
                <w:sz w:val="16"/>
                <w:szCs w:val="16"/>
              </w:rPr>
              <w:t>2041006</w:t>
            </w:r>
          </w:p>
        </w:tc>
        <w:tc>
          <w:tcPr>
            <w:tcW w:w="761"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left"/>
              <w:rPr>
                <w:rFonts w:eastAsia="宋体" w:cs="宋体"/>
                <w:color w:val="000000"/>
                <w:kern w:val="0"/>
                <w:sz w:val="16"/>
                <w:szCs w:val="16"/>
              </w:rPr>
            </w:pPr>
            <w:r>
              <w:rPr>
                <w:rFonts w:eastAsia="宋体" w:cs="宋体" w:hint="eastAsia"/>
                <w:color w:val="000000"/>
                <w:kern w:val="0"/>
                <w:sz w:val="16"/>
                <w:szCs w:val="16"/>
              </w:rPr>
              <w:t>信息化建设</w:t>
            </w:r>
          </w:p>
        </w:tc>
        <w:tc>
          <w:tcPr>
            <w:tcW w:w="416"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210.00</w:t>
            </w:r>
          </w:p>
        </w:tc>
        <w:tc>
          <w:tcPr>
            <w:tcW w:w="487"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210.00</w:t>
            </w:r>
          </w:p>
        </w:tc>
        <w:tc>
          <w:tcPr>
            <w:tcW w:w="345"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249.00</w:t>
            </w:r>
          </w:p>
        </w:tc>
        <w:tc>
          <w:tcPr>
            <w:tcW w:w="416"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hint="eastAsia"/>
                <w:sz w:val="16"/>
                <w:szCs w:val="16"/>
              </w:rPr>
              <w:t>　</w:t>
            </w:r>
          </w:p>
        </w:tc>
        <w:tc>
          <w:tcPr>
            <w:tcW w:w="414"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249.00</w:t>
            </w:r>
          </w:p>
        </w:tc>
        <w:tc>
          <w:tcPr>
            <w:tcW w:w="416"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hint="eastAsia"/>
                <w:sz w:val="16"/>
                <w:szCs w:val="16"/>
              </w:rPr>
              <w:t>249.00</w:t>
            </w:r>
          </w:p>
        </w:tc>
        <w:tc>
          <w:tcPr>
            <w:tcW w:w="388"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39.00</w:t>
            </w:r>
          </w:p>
        </w:tc>
        <w:tc>
          <w:tcPr>
            <w:tcW w:w="373"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18.57%</w:t>
            </w:r>
          </w:p>
        </w:tc>
        <w:tc>
          <w:tcPr>
            <w:tcW w:w="388"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eastAsia="等线" w:cs="Times New Roman"/>
                <w:color w:val="000000"/>
                <w:sz w:val="16"/>
                <w:szCs w:val="16"/>
              </w:rPr>
            </w:pPr>
            <w:r>
              <w:rPr>
                <w:rFonts w:cs="Calibri" w:hint="eastAsia"/>
                <w:sz w:val="16"/>
                <w:szCs w:val="16"/>
              </w:rPr>
              <w:t>39.00</w:t>
            </w:r>
          </w:p>
        </w:tc>
        <w:tc>
          <w:tcPr>
            <w:tcW w:w="373"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eastAsia="等线" w:cs="Times New Roman"/>
                <w:color w:val="000000"/>
                <w:sz w:val="16"/>
                <w:szCs w:val="16"/>
              </w:rPr>
            </w:pPr>
            <w:r>
              <w:rPr>
                <w:rFonts w:cs="Calibri" w:hint="eastAsia"/>
                <w:sz w:val="16"/>
                <w:szCs w:val="16"/>
              </w:rPr>
              <w:t>18.57%</w:t>
            </w:r>
          </w:p>
        </w:tc>
      </w:tr>
      <w:tr>
        <w:trPr>
          <w:cantSplit/>
          <w:trHeight w:val="255"/>
        </w:trPr>
        <w:tc>
          <w:tcPr>
            <w:tcW w:w="221" w:type="pct"/>
            <w:tcBorders>
              <w:top w:val="nil"/>
              <w:left w:val="single" w:sz="4" w:space="0" w:color="auto"/>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left"/>
              <w:rPr>
                <w:rFonts w:eastAsia="宋体" w:cs="宋体"/>
                <w:color w:val="000000"/>
                <w:kern w:val="0"/>
                <w:sz w:val="16"/>
                <w:szCs w:val="16"/>
              </w:rPr>
            </w:pPr>
            <w:r>
              <w:rPr>
                <w:rFonts w:eastAsia="宋体" w:cs="宋体" w:hint="eastAsia"/>
                <w:color w:val="000000"/>
                <w:kern w:val="0"/>
                <w:sz w:val="16"/>
                <w:szCs w:val="16"/>
              </w:rPr>
              <w:t>2041007</w:t>
            </w:r>
          </w:p>
        </w:tc>
        <w:tc>
          <w:tcPr>
            <w:tcW w:w="761"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left"/>
              <w:rPr>
                <w:rFonts w:eastAsia="宋体" w:cs="宋体"/>
                <w:color w:val="000000"/>
                <w:kern w:val="0"/>
                <w:sz w:val="16"/>
                <w:szCs w:val="16"/>
              </w:rPr>
            </w:pPr>
            <w:r>
              <w:rPr>
                <w:rFonts w:eastAsia="宋体" w:cs="宋体" w:hint="eastAsia"/>
                <w:color w:val="000000"/>
                <w:kern w:val="0"/>
                <w:sz w:val="16"/>
                <w:szCs w:val="16"/>
              </w:rPr>
              <w:t>缉私业务</w:t>
            </w:r>
          </w:p>
        </w:tc>
        <w:tc>
          <w:tcPr>
            <w:tcW w:w="416"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1,230.50</w:t>
            </w:r>
          </w:p>
        </w:tc>
        <w:tc>
          <w:tcPr>
            <w:tcW w:w="487"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1,230.50</w:t>
            </w:r>
          </w:p>
        </w:tc>
        <w:tc>
          <w:tcPr>
            <w:tcW w:w="345"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1,775.22</w:t>
            </w:r>
          </w:p>
        </w:tc>
        <w:tc>
          <w:tcPr>
            <w:tcW w:w="416"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hint="eastAsia"/>
                <w:sz w:val="16"/>
                <w:szCs w:val="16"/>
              </w:rPr>
              <w:t>　</w:t>
            </w:r>
          </w:p>
        </w:tc>
        <w:tc>
          <w:tcPr>
            <w:tcW w:w="414"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1,775.22</w:t>
            </w:r>
          </w:p>
        </w:tc>
        <w:tc>
          <w:tcPr>
            <w:tcW w:w="416"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hint="eastAsia"/>
                <w:sz w:val="16"/>
                <w:szCs w:val="16"/>
              </w:rPr>
              <w:t>1,775.22</w:t>
            </w:r>
          </w:p>
        </w:tc>
        <w:tc>
          <w:tcPr>
            <w:tcW w:w="388"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544.72</w:t>
            </w:r>
          </w:p>
        </w:tc>
        <w:tc>
          <w:tcPr>
            <w:tcW w:w="373"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44.27%</w:t>
            </w:r>
          </w:p>
        </w:tc>
        <w:tc>
          <w:tcPr>
            <w:tcW w:w="388"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eastAsia="等线" w:cs="Times New Roman"/>
                <w:color w:val="000000"/>
                <w:sz w:val="16"/>
                <w:szCs w:val="16"/>
              </w:rPr>
            </w:pPr>
            <w:r>
              <w:rPr>
                <w:rFonts w:cs="Calibri" w:hint="eastAsia"/>
                <w:sz w:val="16"/>
                <w:szCs w:val="16"/>
              </w:rPr>
              <w:t>544.72</w:t>
            </w:r>
          </w:p>
        </w:tc>
        <w:tc>
          <w:tcPr>
            <w:tcW w:w="373" w:type="pct"/>
            <w:tcBorders>
              <w:top w:val="nil"/>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eastAsia="等线" w:cs="Times New Roman"/>
                <w:color w:val="000000"/>
                <w:sz w:val="16"/>
                <w:szCs w:val="16"/>
              </w:rPr>
            </w:pPr>
            <w:r>
              <w:rPr>
                <w:rFonts w:cs="Calibri" w:hint="eastAsia"/>
                <w:sz w:val="16"/>
                <w:szCs w:val="16"/>
              </w:rPr>
              <w:t>44.27%</w:t>
            </w:r>
          </w:p>
        </w:tc>
      </w:tr>
      <w:tr>
        <w:trPr>
          <w:cantSplit/>
          <w:trHeight w:val="255"/>
        </w:trPr>
        <w:tc>
          <w:tcPr>
            <w:tcW w:w="221" w:type="pct"/>
            <w:tcBorders>
              <w:top w:val="single" w:sz="4" w:space="0" w:color="auto"/>
              <w:left w:val="single" w:sz="4" w:space="0" w:color="auto"/>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left"/>
              <w:rPr>
                <w:rFonts w:eastAsia="宋体" w:cs="宋体"/>
                <w:b/>
                <w:bCs/>
                <w:color w:val="000000"/>
                <w:kern w:val="0"/>
                <w:sz w:val="16"/>
                <w:szCs w:val="16"/>
              </w:rPr>
            </w:pPr>
            <w:r>
              <w:rPr>
                <w:rFonts w:eastAsia="宋体" w:cs="宋体" w:hint="eastAsia"/>
                <w:b/>
                <w:bCs/>
                <w:color w:val="000000"/>
                <w:kern w:val="0"/>
                <w:sz w:val="16"/>
                <w:szCs w:val="16"/>
              </w:rPr>
              <w:t>208</w:t>
            </w:r>
          </w:p>
        </w:tc>
        <w:tc>
          <w:tcPr>
            <w:tcW w:w="761"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left"/>
              <w:rPr>
                <w:rFonts w:eastAsia="宋体" w:cs="宋体"/>
                <w:b/>
                <w:bCs/>
                <w:color w:val="000000"/>
                <w:kern w:val="0"/>
                <w:sz w:val="16"/>
                <w:szCs w:val="16"/>
              </w:rPr>
            </w:pPr>
            <w:r>
              <w:rPr>
                <w:rFonts w:eastAsia="宋体" w:cs="宋体" w:hint="eastAsia"/>
                <w:b/>
                <w:bCs/>
                <w:color w:val="000000"/>
                <w:kern w:val="0"/>
                <w:sz w:val="16"/>
                <w:szCs w:val="16"/>
              </w:rPr>
              <w:t xml:space="preserve">  社会保障和就业支出</w:t>
            </w:r>
          </w:p>
        </w:tc>
        <w:tc>
          <w:tcPr>
            <w:tcW w:w="416"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7,907.83</w:t>
            </w:r>
          </w:p>
        </w:tc>
        <w:tc>
          <w:tcPr>
            <w:tcW w:w="487"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7,907.83</w:t>
            </w:r>
          </w:p>
        </w:tc>
        <w:tc>
          <w:tcPr>
            <w:tcW w:w="345"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7,817.71</w:t>
            </w:r>
          </w:p>
        </w:tc>
        <w:tc>
          <w:tcPr>
            <w:tcW w:w="416"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7,817.71</w:t>
            </w:r>
          </w:p>
        </w:tc>
        <w:tc>
          <w:tcPr>
            <w:tcW w:w="414"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hint="eastAsia"/>
                <w:sz w:val="16"/>
                <w:szCs w:val="16"/>
              </w:rPr>
              <w:t>　</w:t>
            </w:r>
          </w:p>
        </w:tc>
        <w:tc>
          <w:tcPr>
            <w:tcW w:w="416"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hint="eastAsia"/>
                <w:sz w:val="16"/>
                <w:szCs w:val="16"/>
              </w:rPr>
              <w:t>7,817.71</w:t>
            </w:r>
          </w:p>
        </w:tc>
        <w:tc>
          <w:tcPr>
            <w:tcW w:w="388"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-90.12</w:t>
            </w:r>
          </w:p>
        </w:tc>
        <w:tc>
          <w:tcPr>
            <w:tcW w:w="373"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-1.14%</w:t>
            </w:r>
          </w:p>
        </w:tc>
        <w:tc>
          <w:tcPr>
            <w:tcW w:w="388"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eastAsia="等线" w:cs="Times New Roman"/>
                <w:color w:val="000000"/>
                <w:sz w:val="16"/>
                <w:szCs w:val="16"/>
              </w:rPr>
            </w:pPr>
            <w:r>
              <w:rPr>
                <w:rFonts w:cs="Calibri" w:hint="eastAsia"/>
                <w:sz w:val="16"/>
                <w:szCs w:val="16"/>
              </w:rPr>
              <w:t>-90.12</w:t>
            </w:r>
          </w:p>
        </w:tc>
        <w:tc>
          <w:tcPr>
            <w:tcW w:w="373"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eastAsia="等线" w:cs="Times New Roman"/>
                <w:color w:val="000000"/>
                <w:sz w:val="16"/>
                <w:szCs w:val="16"/>
              </w:rPr>
            </w:pPr>
            <w:r>
              <w:rPr>
                <w:rFonts w:cs="Calibri" w:hint="eastAsia"/>
                <w:sz w:val="16"/>
                <w:szCs w:val="16"/>
              </w:rPr>
              <w:t>-1.14%</w:t>
            </w:r>
          </w:p>
        </w:tc>
      </w:tr>
      <w:tr>
        <w:trPr>
          <w:cantSplit/>
          <w:trHeight w:val="255"/>
        </w:trPr>
        <w:tc>
          <w:tcPr>
            <w:tcW w:w="221" w:type="pct"/>
            <w:tcBorders>
              <w:top w:val="single" w:sz="4" w:space="0" w:color="auto"/>
              <w:left w:val="single" w:sz="4" w:space="0" w:color="auto"/>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left"/>
              <w:rPr>
                <w:rFonts w:eastAsia="宋体" w:cs="宋体"/>
                <w:b/>
                <w:bCs/>
                <w:color w:val="000000"/>
                <w:kern w:val="0"/>
                <w:sz w:val="16"/>
                <w:szCs w:val="16"/>
              </w:rPr>
            </w:pPr>
            <w:r>
              <w:rPr>
                <w:rFonts w:eastAsia="宋体" w:cs="宋体" w:hint="eastAsia"/>
                <w:b/>
                <w:bCs/>
                <w:color w:val="000000"/>
                <w:kern w:val="0"/>
                <w:sz w:val="16"/>
                <w:szCs w:val="16"/>
              </w:rPr>
              <w:t>20805</w:t>
            </w:r>
          </w:p>
        </w:tc>
        <w:tc>
          <w:tcPr>
            <w:tcW w:w="761"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left"/>
              <w:rPr>
                <w:rFonts w:eastAsia="宋体" w:cs="宋体"/>
                <w:b/>
                <w:bCs/>
                <w:color w:val="000000"/>
                <w:kern w:val="0"/>
                <w:sz w:val="16"/>
                <w:szCs w:val="16"/>
              </w:rPr>
            </w:pPr>
            <w:r>
              <w:rPr>
                <w:rFonts w:eastAsia="宋体" w:cs="宋体" w:hint="eastAsia"/>
                <w:b/>
                <w:bCs/>
                <w:color w:val="000000"/>
                <w:kern w:val="0"/>
                <w:sz w:val="16"/>
                <w:szCs w:val="16"/>
              </w:rPr>
              <w:t xml:space="preserve">    行政事业单位养老支出</w:t>
            </w:r>
          </w:p>
        </w:tc>
        <w:tc>
          <w:tcPr>
            <w:tcW w:w="416"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7,907.83</w:t>
            </w:r>
          </w:p>
        </w:tc>
        <w:tc>
          <w:tcPr>
            <w:tcW w:w="487"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7,907.83</w:t>
            </w:r>
          </w:p>
        </w:tc>
        <w:tc>
          <w:tcPr>
            <w:tcW w:w="345"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7,817.71</w:t>
            </w:r>
          </w:p>
        </w:tc>
        <w:tc>
          <w:tcPr>
            <w:tcW w:w="416"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7,817.71</w:t>
            </w:r>
          </w:p>
        </w:tc>
        <w:tc>
          <w:tcPr>
            <w:tcW w:w="414"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hint="eastAsia"/>
                <w:sz w:val="16"/>
                <w:szCs w:val="16"/>
              </w:rPr>
              <w:t>　</w:t>
            </w:r>
          </w:p>
        </w:tc>
        <w:tc>
          <w:tcPr>
            <w:tcW w:w="416"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hint="eastAsia"/>
                <w:sz w:val="16"/>
                <w:szCs w:val="16"/>
              </w:rPr>
              <w:t>7,817.71</w:t>
            </w:r>
          </w:p>
        </w:tc>
        <w:tc>
          <w:tcPr>
            <w:tcW w:w="388"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-90.12</w:t>
            </w:r>
          </w:p>
        </w:tc>
        <w:tc>
          <w:tcPr>
            <w:tcW w:w="373"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-1.14%</w:t>
            </w:r>
          </w:p>
        </w:tc>
        <w:tc>
          <w:tcPr>
            <w:tcW w:w="388"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eastAsia="等线" w:cs="Times New Roman"/>
                <w:color w:val="000000"/>
                <w:sz w:val="16"/>
                <w:szCs w:val="16"/>
              </w:rPr>
            </w:pPr>
            <w:r>
              <w:rPr>
                <w:rFonts w:cs="Calibri" w:hint="eastAsia"/>
                <w:sz w:val="16"/>
                <w:szCs w:val="16"/>
              </w:rPr>
              <w:t>-90.12</w:t>
            </w:r>
          </w:p>
        </w:tc>
        <w:tc>
          <w:tcPr>
            <w:tcW w:w="373"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eastAsia="等线" w:cs="Times New Roman"/>
                <w:color w:val="000000"/>
                <w:sz w:val="16"/>
                <w:szCs w:val="16"/>
              </w:rPr>
            </w:pPr>
            <w:r>
              <w:rPr>
                <w:rFonts w:cs="Calibri" w:hint="eastAsia"/>
                <w:sz w:val="16"/>
                <w:szCs w:val="16"/>
              </w:rPr>
              <w:t>-1.14%</w:t>
            </w:r>
          </w:p>
        </w:tc>
      </w:tr>
      <w:tr>
        <w:trPr>
          <w:cantSplit/>
          <w:trHeight w:val="255"/>
        </w:trPr>
        <w:tc>
          <w:tcPr>
            <w:tcW w:w="221" w:type="pct"/>
            <w:tcBorders>
              <w:top w:val="single" w:sz="4" w:space="0" w:color="auto"/>
              <w:left w:val="single" w:sz="4" w:space="0" w:color="auto"/>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left"/>
              <w:rPr>
                <w:rFonts w:eastAsia="宋体" w:cs="宋体"/>
                <w:color w:val="000000"/>
                <w:kern w:val="0"/>
                <w:sz w:val="16"/>
                <w:szCs w:val="16"/>
              </w:rPr>
            </w:pPr>
            <w:r>
              <w:rPr>
                <w:rFonts w:eastAsia="宋体" w:cs="宋体" w:hint="eastAsia"/>
                <w:color w:val="000000"/>
                <w:kern w:val="0"/>
                <w:sz w:val="16"/>
                <w:szCs w:val="16"/>
              </w:rPr>
              <w:t>2080501</w:t>
            </w:r>
          </w:p>
        </w:tc>
        <w:tc>
          <w:tcPr>
            <w:tcW w:w="761"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left"/>
              <w:rPr>
                <w:rFonts w:eastAsia="宋体" w:cs="宋体"/>
                <w:color w:val="000000"/>
                <w:kern w:val="0"/>
                <w:sz w:val="16"/>
                <w:szCs w:val="16"/>
              </w:rPr>
            </w:pPr>
            <w:r>
              <w:rPr>
                <w:rFonts w:eastAsia="宋体" w:cs="宋体" w:hint="eastAsia"/>
                <w:color w:val="000000"/>
                <w:kern w:val="0"/>
                <w:sz w:val="16"/>
                <w:szCs w:val="16"/>
              </w:rPr>
              <w:t>行政单位离退休</w:t>
            </w:r>
          </w:p>
        </w:tc>
        <w:tc>
          <w:tcPr>
            <w:tcW w:w="416"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427.78</w:t>
            </w:r>
          </w:p>
        </w:tc>
        <w:tc>
          <w:tcPr>
            <w:tcW w:w="487"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427.78</w:t>
            </w:r>
          </w:p>
        </w:tc>
        <w:tc>
          <w:tcPr>
            <w:tcW w:w="345"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453.38</w:t>
            </w:r>
          </w:p>
        </w:tc>
        <w:tc>
          <w:tcPr>
            <w:tcW w:w="416"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453.38</w:t>
            </w:r>
          </w:p>
        </w:tc>
        <w:tc>
          <w:tcPr>
            <w:tcW w:w="414"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hint="eastAsia"/>
                <w:sz w:val="16"/>
                <w:szCs w:val="16"/>
              </w:rPr>
              <w:t>　</w:t>
            </w:r>
          </w:p>
        </w:tc>
        <w:tc>
          <w:tcPr>
            <w:tcW w:w="416"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hint="eastAsia"/>
                <w:sz w:val="16"/>
                <w:szCs w:val="16"/>
              </w:rPr>
              <w:t>453.38</w:t>
            </w:r>
          </w:p>
        </w:tc>
        <w:tc>
          <w:tcPr>
            <w:tcW w:w="388"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25.60</w:t>
            </w:r>
          </w:p>
        </w:tc>
        <w:tc>
          <w:tcPr>
            <w:tcW w:w="373"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5.98%</w:t>
            </w:r>
          </w:p>
        </w:tc>
        <w:tc>
          <w:tcPr>
            <w:tcW w:w="388"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eastAsia="等线" w:cs="Times New Roman"/>
                <w:color w:val="000000"/>
                <w:sz w:val="16"/>
                <w:szCs w:val="16"/>
              </w:rPr>
            </w:pPr>
            <w:r>
              <w:rPr>
                <w:rFonts w:cs="Calibri" w:hint="eastAsia"/>
                <w:sz w:val="16"/>
                <w:szCs w:val="16"/>
              </w:rPr>
              <w:t>25.60</w:t>
            </w:r>
          </w:p>
        </w:tc>
        <w:tc>
          <w:tcPr>
            <w:tcW w:w="373"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eastAsia="等线" w:cs="Times New Roman"/>
                <w:color w:val="000000"/>
                <w:sz w:val="16"/>
                <w:szCs w:val="16"/>
              </w:rPr>
            </w:pPr>
            <w:r>
              <w:rPr>
                <w:rFonts w:cs="Calibri" w:hint="eastAsia"/>
                <w:sz w:val="16"/>
                <w:szCs w:val="16"/>
              </w:rPr>
              <w:t>5.98%</w:t>
            </w:r>
          </w:p>
        </w:tc>
      </w:tr>
      <w:tr>
        <w:trPr>
          <w:cantSplit/>
          <w:trHeight w:val="255"/>
        </w:trPr>
        <w:tc>
          <w:tcPr>
            <w:tcW w:w="221" w:type="pct"/>
            <w:tcBorders>
              <w:top w:val="single" w:sz="4" w:space="0" w:color="auto"/>
              <w:left w:val="single" w:sz="4" w:space="0" w:color="auto"/>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left"/>
              <w:rPr>
                <w:rFonts w:eastAsia="宋体" w:cs="宋体"/>
                <w:color w:val="000000"/>
                <w:kern w:val="0"/>
                <w:sz w:val="16"/>
                <w:szCs w:val="16"/>
              </w:rPr>
            </w:pPr>
            <w:r>
              <w:rPr>
                <w:rFonts w:cs="宋体" w:hint="eastAsia"/>
                <w:color w:val="000000"/>
                <w:kern w:val="0"/>
                <w:sz w:val="16"/>
                <w:szCs w:val="16"/>
              </w:rPr>
              <w:t>2080505</w:t>
            </w:r>
          </w:p>
        </w:tc>
        <w:tc>
          <w:tcPr>
            <w:tcW w:w="761"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left"/>
              <w:rPr>
                <w:rFonts w:ascii="宋体" w:eastAsia="宋体" w:cs="宋体"/>
                <w:color w:val="000000"/>
                <w:kern w:val="0"/>
                <w:sz w:val="16"/>
                <w:szCs w:val="16"/>
              </w:rPr>
            </w:pPr>
            <w:r>
              <w:rPr>
                <w:rFonts w:ascii="宋体" w:eastAsia="宋体" w:cs="宋体" w:hint="eastAsia"/>
                <w:color w:val="000000"/>
                <w:kern w:val="0"/>
                <w:sz w:val="16"/>
                <w:szCs w:val="16"/>
              </w:rPr>
              <w:t>机关事业单位基本养老保险缴费支出</w:t>
            </w:r>
          </w:p>
        </w:tc>
        <w:tc>
          <w:tcPr>
            <w:tcW w:w="416"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4,829.46</w:t>
            </w:r>
          </w:p>
        </w:tc>
        <w:tc>
          <w:tcPr>
            <w:tcW w:w="487"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4,829.46</w:t>
            </w:r>
          </w:p>
        </w:tc>
        <w:tc>
          <w:tcPr>
            <w:tcW w:w="345"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4,916.37</w:t>
            </w:r>
          </w:p>
        </w:tc>
        <w:tc>
          <w:tcPr>
            <w:tcW w:w="416"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4,916.37</w:t>
            </w:r>
          </w:p>
        </w:tc>
        <w:tc>
          <w:tcPr>
            <w:tcW w:w="414"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hint="eastAsia"/>
                <w:sz w:val="16"/>
                <w:szCs w:val="16"/>
              </w:rPr>
              <w:t>　</w:t>
            </w:r>
          </w:p>
        </w:tc>
        <w:tc>
          <w:tcPr>
            <w:tcW w:w="416"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hint="eastAsia"/>
                <w:sz w:val="16"/>
                <w:szCs w:val="16"/>
              </w:rPr>
              <w:t>4,916.37</w:t>
            </w:r>
          </w:p>
        </w:tc>
        <w:tc>
          <w:tcPr>
            <w:tcW w:w="388"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86.91</w:t>
            </w:r>
          </w:p>
        </w:tc>
        <w:tc>
          <w:tcPr>
            <w:tcW w:w="373"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1.80%</w:t>
            </w:r>
          </w:p>
        </w:tc>
        <w:tc>
          <w:tcPr>
            <w:tcW w:w="388"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eastAsia="等线" w:cs="Times New Roman"/>
                <w:color w:val="000000"/>
                <w:sz w:val="16"/>
                <w:szCs w:val="16"/>
              </w:rPr>
            </w:pPr>
            <w:r>
              <w:rPr>
                <w:rFonts w:cs="Calibri" w:hint="eastAsia"/>
                <w:sz w:val="16"/>
                <w:szCs w:val="16"/>
              </w:rPr>
              <w:t>86.91</w:t>
            </w:r>
          </w:p>
        </w:tc>
        <w:tc>
          <w:tcPr>
            <w:tcW w:w="373"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eastAsia="等线" w:cs="Times New Roman"/>
                <w:color w:val="000000"/>
                <w:sz w:val="16"/>
                <w:szCs w:val="16"/>
              </w:rPr>
            </w:pPr>
            <w:r>
              <w:rPr>
                <w:rFonts w:cs="Calibri" w:hint="eastAsia"/>
                <w:sz w:val="16"/>
                <w:szCs w:val="16"/>
              </w:rPr>
              <w:t>1.80%</w:t>
            </w:r>
          </w:p>
        </w:tc>
      </w:tr>
      <w:tr>
        <w:trPr>
          <w:cantSplit/>
          <w:trHeight w:val="255"/>
        </w:trPr>
        <w:tc>
          <w:tcPr>
            <w:tcW w:w="221" w:type="pct"/>
            <w:tcBorders>
              <w:top w:val="single" w:sz="4" w:space="0" w:color="auto"/>
              <w:left w:val="single" w:sz="4" w:space="0" w:color="auto"/>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left"/>
              <w:rPr>
                <w:rFonts w:eastAsia="宋体" w:cs="宋体"/>
                <w:color w:val="000000"/>
                <w:kern w:val="0"/>
                <w:sz w:val="16"/>
                <w:szCs w:val="16"/>
              </w:rPr>
            </w:pPr>
            <w:r>
              <w:rPr>
                <w:rFonts w:cs="宋体" w:hint="eastAsia"/>
                <w:color w:val="000000"/>
                <w:kern w:val="0"/>
                <w:sz w:val="16"/>
                <w:szCs w:val="16"/>
              </w:rPr>
              <w:t>2080506</w:t>
            </w:r>
          </w:p>
        </w:tc>
        <w:tc>
          <w:tcPr>
            <w:tcW w:w="761"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left"/>
              <w:rPr>
                <w:rFonts w:ascii="宋体" w:eastAsia="宋体" w:cs="宋体"/>
                <w:color w:val="000000"/>
                <w:kern w:val="0"/>
                <w:sz w:val="16"/>
                <w:szCs w:val="16"/>
              </w:rPr>
            </w:pPr>
            <w:r>
              <w:rPr>
                <w:rFonts w:ascii="宋体" w:eastAsia="宋体" w:cs="宋体" w:hint="eastAsia"/>
                <w:color w:val="000000"/>
                <w:kern w:val="0"/>
                <w:sz w:val="16"/>
                <w:szCs w:val="16"/>
              </w:rPr>
              <w:t>机关事业单位职业年金缴费支出</w:t>
            </w:r>
          </w:p>
        </w:tc>
        <w:tc>
          <w:tcPr>
            <w:tcW w:w="416"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2,650.59</w:t>
            </w:r>
          </w:p>
        </w:tc>
        <w:tc>
          <w:tcPr>
            <w:tcW w:w="487"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2,650.59</w:t>
            </w:r>
          </w:p>
        </w:tc>
        <w:tc>
          <w:tcPr>
            <w:tcW w:w="345"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2,447.96</w:t>
            </w:r>
          </w:p>
        </w:tc>
        <w:tc>
          <w:tcPr>
            <w:tcW w:w="416"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2,447.96</w:t>
            </w:r>
          </w:p>
        </w:tc>
        <w:tc>
          <w:tcPr>
            <w:tcW w:w="414"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hint="eastAsia"/>
                <w:sz w:val="16"/>
                <w:szCs w:val="16"/>
              </w:rPr>
              <w:t>　</w:t>
            </w:r>
          </w:p>
        </w:tc>
        <w:tc>
          <w:tcPr>
            <w:tcW w:w="416"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hint="eastAsia"/>
                <w:sz w:val="16"/>
                <w:szCs w:val="16"/>
              </w:rPr>
              <w:t>2,447.96</w:t>
            </w:r>
          </w:p>
        </w:tc>
        <w:tc>
          <w:tcPr>
            <w:tcW w:w="388"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-202.63</w:t>
            </w:r>
          </w:p>
        </w:tc>
        <w:tc>
          <w:tcPr>
            <w:tcW w:w="373"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-7.64%</w:t>
            </w:r>
          </w:p>
        </w:tc>
        <w:tc>
          <w:tcPr>
            <w:tcW w:w="388"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eastAsia="等线" w:cs="Times New Roman"/>
                <w:color w:val="000000"/>
                <w:sz w:val="16"/>
                <w:szCs w:val="16"/>
              </w:rPr>
            </w:pPr>
            <w:r>
              <w:rPr>
                <w:rFonts w:cs="Calibri" w:hint="eastAsia"/>
                <w:sz w:val="16"/>
                <w:szCs w:val="16"/>
              </w:rPr>
              <w:t>-202.63</w:t>
            </w:r>
          </w:p>
        </w:tc>
        <w:tc>
          <w:tcPr>
            <w:tcW w:w="373"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eastAsia="等线" w:cs="Times New Roman"/>
                <w:color w:val="000000"/>
                <w:sz w:val="16"/>
                <w:szCs w:val="16"/>
              </w:rPr>
            </w:pPr>
            <w:r>
              <w:rPr>
                <w:rFonts w:cs="Calibri" w:hint="eastAsia"/>
                <w:sz w:val="16"/>
                <w:szCs w:val="16"/>
              </w:rPr>
              <w:t>-7.64%</w:t>
            </w:r>
          </w:p>
        </w:tc>
      </w:tr>
      <w:tr>
        <w:trPr>
          <w:cantSplit/>
          <w:trHeight w:val="255"/>
        </w:trPr>
        <w:tc>
          <w:tcPr>
            <w:tcW w:w="221" w:type="pct"/>
            <w:tcBorders>
              <w:top w:val="single" w:sz="4" w:space="0" w:color="auto"/>
              <w:left w:val="single" w:sz="4" w:space="0" w:color="auto"/>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left"/>
              <w:rPr>
                <w:rFonts w:eastAsia="宋体" w:cs="宋体"/>
                <w:color w:val="000000"/>
                <w:kern w:val="0"/>
                <w:sz w:val="16"/>
                <w:szCs w:val="16"/>
              </w:rPr>
            </w:pPr>
            <w:r>
              <w:rPr>
                <w:rFonts w:cs="宋体" w:hint="eastAsia"/>
                <w:b/>
                <w:bCs/>
                <w:color w:val="000000"/>
                <w:kern w:val="0"/>
                <w:sz w:val="16"/>
                <w:szCs w:val="16"/>
              </w:rPr>
              <w:t>210</w:t>
            </w:r>
          </w:p>
        </w:tc>
        <w:tc>
          <w:tcPr>
            <w:tcW w:w="761"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left"/>
              <w:rPr>
                <w:rFonts w:ascii="宋体" w:eastAsia="宋体" w:cs="宋体"/>
                <w:color w:val="000000"/>
                <w:kern w:val="0"/>
                <w:sz w:val="16"/>
                <w:szCs w:val="16"/>
              </w:rPr>
            </w:pPr>
            <w:r>
              <w:rPr>
                <w:rFonts w:ascii="宋体" w:eastAsia="宋体" w:cs="宋体" w:hint="eastAsia"/>
                <w:b/>
                <w:bCs/>
                <w:color w:val="000000"/>
                <w:kern w:val="0"/>
                <w:sz w:val="16"/>
                <w:szCs w:val="16"/>
              </w:rPr>
              <w:t xml:space="preserve">  卫生健康支出</w:t>
            </w:r>
          </w:p>
        </w:tc>
        <w:tc>
          <w:tcPr>
            <w:tcW w:w="416"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4,245.63</w:t>
            </w:r>
          </w:p>
        </w:tc>
        <w:tc>
          <w:tcPr>
            <w:tcW w:w="487"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4,245.63</w:t>
            </w:r>
          </w:p>
        </w:tc>
        <w:tc>
          <w:tcPr>
            <w:tcW w:w="345"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4,258.84</w:t>
            </w:r>
          </w:p>
        </w:tc>
        <w:tc>
          <w:tcPr>
            <w:tcW w:w="416"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4,258.84</w:t>
            </w:r>
          </w:p>
        </w:tc>
        <w:tc>
          <w:tcPr>
            <w:tcW w:w="414"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hint="eastAsia"/>
                <w:sz w:val="16"/>
                <w:szCs w:val="16"/>
              </w:rPr>
              <w:t>　</w:t>
            </w:r>
          </w:p>
        </w:tc>
        <w:tc>
          <w:tcPr>
            <w:tcW w:w="416"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hint="eastAsia"/>
                <w:sz w:val="16"/>
                <w:szCs w:val="16"/>
              </w:rPr>
              <w:t>4,258.84</w:t>
            </w:r>
          </w:p>
        </w:tc>
        <w:tc>
          <w:tcPr>
            <w:tcW w:w="388"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13.21</w:t>
            </w:r>
          </w:p>
        </w:tc>
        <w:tc>
          <w:tcPr>
            <w:tcW w:w="373"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0.31%</w:t>
            </w:r>
          </w:p>
        </w:tc>
        <w:tc>
          <w:tcPr>
            <w:tcW w:w="388"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eastAsia="等线" w:cs="Times New Roman"/>
                <w:color w:val="000000"/>
                <w:sz w:val="16"/>
                <w:szCs w:val="16"/>
              </w:rPr>
            </w:pPr>
            <w:r>
              <w:rPr>
                <w:rFonts w:cs="Calibri" w:hint="eastAsia"/>
                <w:sz w:val="16"/>
                <w:szCs w:val="16"/>
              </w:rPr>
              <w:t>13.21</w:t>
            </w:r>
          </w:p>
        </w:tc>
        <w:tc>
          <w:tcPr>
            <w:tcW w:w="373"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eastAsia="等线" w:cs="Times New Roman"/>
                <w:color w:val="000000"/>
                <w:sz w:val="16"/>
                <w:szCs w:val="16"/>
              </w:rPr>
            </w:pPr>
            <w:r>
              <w:rPr>
                <w:rFonts w:cs="Calibri" w:hint="eastAsia"/>
                <w:sz w:val="16"/>
                <w:szCs w:val="16"/>
              </w:rPr>
              <w:t>0.31%</w:t>
            </w:r>
          </w:p>
        </w:tc>
      </w:tr>
      <w:tr>
        <w:trPr>
          <w:cantSplit/>
          <w:trHeight w:val="255"/>
        </w:trPr>
        <w:tc>
          <w:tcPr>
            <w:tcW w:w="221" w:type="pct"/>
            <w:tcBorders>
              <w:top w:val="single" w:sz="4" w:space="0" w:color="auto"/>
              <w:left w:val="single" w:sz="4" w:space="0" w:color="auto"/>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left"/>
              <w:rPr>
                <w:rFonts w:eastAsia="宋体" w:cs="宋体"/>
                <w:color w:val="000000"/>
                <w:kern w:val="0"/>
                <w:sz w:val="16"/>
                <w:szCs w:val="16"/>
              </w:rPr>
            </w:pPr>
            <w:r>
              <w:rPr>
                <w:rFonts w:cs="宋体" w:hint="eastAsia"/>
                <w:b/>
                <w:bCs/>
                <w:color w:val="000000"/>
                <w:kern w:val="0"/>
                <w:sz w:val="16"/>
                <w:szCs w:val="16"/>
              </w:rPr>
              <w:t>21011</w:t>
            </w:r>
          </w:p>
        </w:tc>
        <w:tc>
          <w:tcPr>
            <w:tcW w:w="761"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left"/>
              <w:rPr>
                <w:rFonts w:ascii="宋体" w:eastAsia="宋体" w:cs="宋体"/>
                <w:color w:val="000000"/>
                <w:kern w:val="0"/>
                <w:sz w:val="16"/>
                <w:szCs w:val="16"/>
              </w:rPr>
            </w:pPr>
            <w:r>
              <w:rPr>
                <w:rFonts w:ascii="宋体" w:eastAsia="宋体" w:cs="宋体" w:hint="eastAsia"/>
                <w:b/>
                <w:bCs/>
                <w:color w:val="000000"/>
                <w:kern w:val="0"/>
                <w:sz w:val="16"/>
                <w:szCs w:val="16"/>
              </w:rPr>
              <w:t xml:space="preserve">    行政事业单位医疗</w:t>
            </w:r>
          </w:p>
        </w:tc>
        <w:tc>
          <w:tcPr>
            <w:tcW w:w="416"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4,245.63</w:t>
            </w:r>
          </w:p>
        </w:tc>
        <w:tc>
          <w:tcPr>
            <w:tcW w:w="487"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4,245.63</w:t>
            </w:r>
          </w:p>
        </w:tc>
        <w:tc>
          <w:tcPr>
            <w:tcW w:w="345"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4,258.84</w:t>
            </w:r>
          </w:p>
        </w:tc>
        <w:tc>
          <w:tcPr>
            <w:tcW w:w="416"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4,258.84</w:t>
            </w:r>
          </w:p>
        </w:tc>
        <w:tc>
          <w:tcPr>
            <w:tcW w:w="414"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hint="eastAsia"/>
                <w:sz w:val="16"/>
                <w:szCs w:val="16"/>
              </w:rPr>
              <w:t>　</w:t>
            </w:r>
          </w:p>
        </w:tc>
        <w:tc>
          <w:tcPr>
            <w:tcW w:w="416"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hint="eastAsia"/>
                <w:sz w:val="16"/>
                <w:szCs w:val="16"/>
              </w:rPr>
              <w:t>4,258.84</w:t>
            </w:r>
          </w:p>
        </w:tc>
        <w:tc>
          <w:tcPr>
            <w:tcW w:w="388"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13.21</w:t>
            </w:r>
          </w:p>
        </w:tc>
        <w:tc>
          <w:tcPr>
            <w:tcW w:w="373"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0.31%</w:t>
            </w:r>
          </w:p>
        </w:tc>
        <w:tc>
          <w:tcPr>
            <w:tcW w:w="388"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eastAsia="等线" w:cs="Times New Roman"/>
                <w:color w:val="000000"/>
                <w:sz w:val="16"/>
                <w:szCs w:val="16"/>
              </w:rPr>
            </w:pPr>
            <w:r>
              <w:rPr>
                <w:rFonts w:cs="Calibri" w:hint="eastAsia"/>
                <w:sz w:val="16"/>
                <w:szCs w:val="16"/>
              </w:rPr>
              <w:t>13.21</w:t>
            </w:r>
          </w:p>
        </w:tc>
        <w:tc>
          <w:tcPr>
            <w:tcW w:w="373"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eastAsia="等线" w:cs="Times New Roman"/>
                <w:color w:val="000000"/>
                <w:sz w:val="16"/>
                <w:szCs w:val="16"/>
              </w:rPr>
            </w:pPr>
            <w:r>
              <w:rPr>
                <w:rFonts w:cs="Calibri" w:hint="eastAsia"/>
                <w:sz w:val="16"/>
                <w:szCs w:val="16"/>
              </w:rPr>
              <w:t>0.31%</w:t>
            </w:r>
          </w:p>
        </w:tc>
      </w:tr>
      <w:tr>
        <w:trPr>
          <w:cantSplit/>
          <w:trHeight w:val="255"/>
        </w:trPr>
        <w:tc>
          <w:tcPr>
            <w:tcW w:w="221" w:type="pct"/>
            <w:tcBorders>
              <w:top w:val="single" w:sz="4" w:space="0" w:color="auto"/>
              <w:left w:val="single" w:sz="4" w:space="0" w:color="auto"/>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left"/>
              <w:rPr>
                <w:rFonts w:eastAsia="宋体" w:cs="宋体"/>
                <w:color w:val="000000"/>
                <w:kern w:val="0"/>
                <w:sz w:val="16"/>
                <w:szCs w:val="16"/>
              </w:rPr>
            </w:pPr>
            <w:r>
              <w:rPr>
                <w:rFonts w:cs="宋体" w:hint="eastAsia"/>
                <w:color w:val="000000"/>
                <w:kern w:val="0"/>
                <w:sz w:val="16"/>
                <w:szCs w:val="16"/>
              </w:rPr>
              <w:t>2101101</w:t>
            </w:r>
          </w:p>
        </w:tc>
        <w:tc>
          <w:tcPr>
            <w:tcW w:w="761"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left"/>
              <w:rPr>
                <w:rFonts w:ascii="宋体" w:eastAsia="宋体" w:cs="宋体"/>
                <w:color w:val="000000"/>
                <w:kern w:val="0"/>
                <w:sz w:val="16"/>
                <w:szCs w:val="16"/>
              </w:rPr>
            </w:pPr>
            <w:r>
              <w:rPr>
                <w:rFonts w:ascii="宋体" w:eastAsia="宋体" w:cs="宋体" w:hint="eastAsia"/>
                <w:color w:val="000000"/>
                <w:kern w:val="0"/>
                <w:sz w:val="16"/>
                <w:szCs w:val="16"/>
              </w:rPr>
              <w:t>行政单位医疗</w:t>
            </w:r>
          </w:p>
        </w:tc>
        <w:tc>
          <w:tcPr>
            <w:tcW w:w="416"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2,552.81</w:t>
            </w:r>
          </w:p>
        </w:tc>
        <w:tc>
          <w:tcPr>
            <w:tcW w:w="487"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2,552.81</w:t>
            </w:r>
          </w:p>
        </w:tc>
        <w:tc>
          <w:tcPr>
            <w:tcW w:w="345"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2,414.74</w:t>
            </w:r>
          </w:p>
        </w:tc>
        <w:tc>
          <w:tcPr>
            <w:tcW w:w="416"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2,414.74</w:t>
            </w:r>
          </w:p>
        </w:tc>
        <w:tc>
          <w:tcPr>
            <w:tcW w:w="414"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hint="eastAsia"/>
                <w:sz w:val="16"/>
                <w:szCs w:val="16"/>
              </w:rPr>
              <w:t>　</w:t>
            </w:r>
          </w:p>
        </w:tc>
        <w:tc>
          <w:tcPr>
            <w:tcW w:w="416"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hint="eastAsia"/>
                <w:sz w:val="16"/>
                <w:szCs w:val="16"/>
              </w:rPr>
              <w:t>2,414.74</w:t>
            </w:r>
          </w:p>
        </w:tc>
        <w:tc>
          <w:tcPr>
            <w:tcW w:w="388"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-138.07</w:t>
            </w:r>
          </w:p>
        </w:tc>
        <w:tc>
          <w:tcPr>
            <w:tcW w:w="373"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-5.41%</w:t>
            </w:r>
          </w:p>
        </w:tc>
        <w:tc>
          <w:tcPr>
            <w:tcW w:w="388"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eastAsia="等线" w:cs="Times New Roman"/>
                <w:color w:val="000000"/>
                <w:sz w:val="16"/>
                <w:szCs w:val="16"/>
              </w:rPr>
            </w:pPr>
            <w:r>
              <w:rPr>
                <w:rFonts w:cs="Calibri" w:hint="eastAsia"/>
                <w:sz w:val="16"/>
                <w:szCs w:val="16"/>
              </w:rPr>
              <w:t>-138.07</w:t>
            </w:r>
          </w:p>
        </w:tc>
        <w:tc>
          <w:tcPr>
            <w:tcW w:w="373"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eastAsia="等线" w:cs="Times New Roman"/>
                <w:color w:val="000000"/>
                <w:sz w:val="16"/>
                <w:szCs w:val="16"/>
              </w:rPr>
            </w:pPr>
            <w:r>
              <w:rPr>
                <w:rFonts w:cs="Calibri" w:hint="eastAsia"/>
                <w:sz w:val="16"/>
                <w:szCs w:val="16"/>
              </w:rPr>
              <w:t>-5.41%</w:t>
            </w:r>
          </w:p>
        </w:tc>
      </w:tr>
      <w:tr>
        <w:trPr>
          <w:cantSplit/>
          <w:trHeight w:val="255"/>
        </w:trPr>
        <w:tc>
          <w:tcPr>
            <w:tcW w:w="221" w:type="pct"/>
            <w:tcBorders>
              <w:top w:val="single" w:sz="4" w:space="0" w:color="auto"/>
              <w:left w:val="single" w:sz="4" w:space="0" w:color="auto"/>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left"/>
              <w:rPr>
                <w:rFonts w:eastAsia="宋体" w:cs="宋体"/>
                <w:color w:val="000000"/>
                <w:kern w:val="0"/>
                <w:sz w:val="16"/>
                <w:szCs w:val="16"/>
              </w:rPr>
            </w:pPr>
            <w:r>
              <w:rPr>
                <w:rFonts w:cs="宋体" w:hint="eastAsia"/>
                <w:color w:val="000000"/>
                <w:kern w:val="0"/>
                <w:sz w:val="16"/>
                <w:szCs w:val="16"/>
              </w:rPr>
              <w:t>2101103</w:t>
            </w:r>
          </w:p>
        </w:tc>
        <w:tc>
          <w:tcPr>
            <w:tcW w:w="761"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left"/>
              <w:rPr>
                <w:rFonts w:ascii="宋体" w:eastAsia="宋体" w:cs="宋体"/>
                <w:color w:val="000000"/>
                <w:kern w:val="0"/>
                <w:sz w:val="16"/>
                <w:szCs w:val="16"/>
              </w:rPr>
            </w:pPr>
            <w:r>
              <w:rPr>
                <w:rFonts w:ascii="宋体" w:eastAsia="宋体" w:cs="宋体" w:hint="eastAsia"/>
                <w:color w:val="000000"/>
                <w:kern w:val="0"/>
                <w:sz w:val="16"/>
                <w:szCs w:val="16"/>
              </w:rPr>
              <w:t>公务员医疗补助</w:t>
            </w:r>
          </w:p>
        </w:tc>
        <w:tc>
          <w:tcPr>
            <w:tcW w:w="416"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1,603.42</w:t>
            </w:r>
          </w:p>
        </w:tc>
        <w:tc>
          <w:tcPr>
            <w:tcW w:w="487"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1,603.42</w:t>
            </w:r>
          </w:p>
        </w:tc>
        <w:tc>
          <w:tcPr>
            <w:tcW w:w="345"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1,732.00</w:t>
            </w:r>
          </w:p>
        </w:tc>
        <w:tc>
          <w:tcPr>
            <w:tcW w:w="416"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1,732.00</w:t>
            </w:r>
          </w:p>
        </w:tc>
        <w:tc>
          <w:tcPr>
            <w:tcW w:w="414"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hint="eastAsia"/>
                <w:sz w:val="16"/>
                <w:szCs w:val="16"/>
              </w:rPr>
              <w:t>　</w:t>
            </w:r>
          </w:p>
        </w:tc>
        <w:tc>
          <w:tcPr>
            <w:tcW w:w="416"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hint="eastAsia"/>
                <w:sz w:val="16"/>
                <w:szCs w:val="16"/>
              </w:rPr>
              <w:t>1,732.00</w:t>
            </w:r>
          </w:p>
        </w:tc>
        <w:tc>
          <w:tcPr>
            <w:tcW w:w="388"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128.58</w:t>
            </w:r>
          </w:p>
        </w:tc>
        <w:tc>
          <w:tcPr>
            <w:tcW w:w="373"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8.02%</w:t>
            </w:r>
          </w:p>
        </w:tc>
        <w:tc>
          <w:tcPr>
            <w:tcW w:w="388"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eastAsia="等线" w:cs="Times New Roman"/>
                <w:color w:val="000000"/>
                <w:sz w:val="16"/>
                <w:szCs w:val="16"/>
              </w:rPr>
            </w:pPr>
            <w:r>
              <w:rPr>
                <w:rFonts w:cs="Calibri" w:hint="eastAsia"/>
                <w:sz w:val="16"/>
                <w:szCs w:val="16"/>
              </w:rPr>
              <w:t>128.58</w:t>
            </w:r>
          </w:p>
        </w:tc>
        <w:tc>
          <w:tcPr>
            <w:tcW w:w="373"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eastAsia="等线" w:cs="Times New Roman"/>
                <w:color w:val="000000"/>
                <w:sz w:val="16"/>
                <w:szCs w:val="16"/>
              </w:rPr>
            </w:pPr>
            <w:r>
              <w:rPr>
                <w:rFonts w:cs="Calibri" w:hint="eastAsia"/>
                <w:sz w:val="16"/>
                <w:szCs w:val="16"/>
              </w:rPr>
              <w:t>8.02%</w:t>
            </w:r>
          </w:p>
        </w:tc>
      </w:tr>
      <w:tr>
        <w:trPr>
          <w:cantSplit/>
          <w:trHeight w:val="255"/>
        </w:trPr>
        <w:tc>
          <w:tcPr>
            <w:tcW w:w="221" w:type="pct"/>
            <w:tcBorders>
              <w:top w:val="single" w:sz="4" w:space="0" w:color="auto"/>
              <w:left w:val="single" w:sz="4" w:space="0" w:color="auto"/>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left"/>
              <w:rPr>
                <w:rFonts w:eastAsia="宋体" w:cs="宋体"/>
                <w:color w:val="000000"/>
                <w:kern w:val="0"/>
                <w:sz w:val="16"/>
                <w:szCs w:val="16"/>
              </w:rPr>
            </w:pPr>
            <w:r>
              <w:rPr>
                <w:rFonts w:cs="宋体" w:hint="eastAsia"/>
                <w:color w:val="000000"/>
                <w:kern w:val="0"/>
                <w:sz w:val="16"/>
                <w:szCs w:val="16"/>
              </w:rPr>
              <w:t>2101199</w:t>
            </w:r>
          </w:p>
        </w:tc>
        <w:tc>
          <w:tcPr>
            <w:tcW w:w="761"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left"/>
              <w:rPr>
                <w:rFonts w:ascii="宋体" w:eastAsia="宋体" w:cs="宋体"/>
                <w:color w:val="000000"/>
                <w:kern w:val="0"/>
                <w:sz w:val="16"/>
                <w:szCs w:val="16"/>
              </w:rPr>
            </w:pPr>
            <w:r>
              <w:rPr>
                <w:rFonts w:ascii="宋体" w:eastAsia="宋体" w:cs="宋体" w:hint="eastAsia"/>
                <w:color w:val="000000"/>
                <w:kern w:val="0"/>
                <w:sz w:val="16"/>
                <w:szCs w:val="16"/>
              </w:rPr>
              <w:t>其他行政事业单位医疗支出</w:t>
            </w:r>
          </w:p>
        </w:tc>
        <w:tc>
          <w:tcPr>
            <w:tcW w:w="416"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89.40</w:t>
            </w:r>
          </w:p>
        </w:tc>
        <w:tc>
          <w:tcPr>
            <w:tcW w:w="487"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89.40</w:t>
            </w:r>
          </w:p>
        </w:tc>
        <w:tc>
          <w:tcPr>
            <w:tcW w:w="345"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112.10</w:t>
            </w:r>
          </w:p>
        </w:tc>
        <w:tc>
          <w:tcPr>
            <w:tcW w:w="416"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112.10</w:t>
            </w:r>
          </w:p>
        </w:tc>
        <w:tc>
          <w:tcPr>
            <w:tcW w:w="414"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p>
        </w:tc>
        <w:tc>
          <w:tcPr>
            <w:tcW w:w="416"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hint="eastAsia"/>
                <w:sz w:val="16"/>
                <w:szCs w:val="16"/>
              </w:rPr>
              <w:t>112.10</w:t>
            </w:r>
          </w:p>
        </w:tc>
        <w:tc>
          <w:tcPr>
            <w:tcW w:w="388"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22.70</w:t>
            </w:r>
          </w:p>
        </w:tc>
        <w:tc>
          <w:tcPr>
            <w:tcW w:w="373"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25.39%</w:t>
            </w:r>
          </w:p>
        </w:tc>
        <w:tc>
          <w:tcPr>
            <w:tcW w:w="388"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eastAsia="等线" w:cs="Times New Roman"/>
                <w:color w:val="000000"/>
                <w:sz w:val="16"/>
                <w:szCs w:val="16"/>
              </w:rPr>
            </w:pPr>
            <w:r>
              <w:rPr>
                <w:rFonts w:cs="Calibri" w:hint="eastAsia"/>
                <w:sz w:val="16"/>
                <w:szCs w:val="16"/>
              </w:rPr>
              <w:t>22.70</w:t>
            </w:r>
          </w:p>
        </w:tc>
        <w:tc>
          <w:tcPr>
            <w:tcW w:w="373"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eastAsia="等线" w:cs="Times New Roman"/>
                <w:color w:val="000000"/>
                <w:sz w:val="16"/>
                <w:szCs w:val="16"/>
              </w:rPr>
            </w:pPr>
            <w:r>
              <w:rPr>
                <w:rFonts w:cs="Calibri" w:hint="eastAsia"/>
                <w:sz w:val="16"/>
                <w:szCs w:val="16"/>
              </w:rPr>
              <w:t>25.39%</w:t>
            </w:r>
          </w:p>
        </w:tc>
      </w:tr>
      <w:tr>
        <w:trPr>
          <w:cantSplit/>
          <w:trHeight w:val="255"/>
        </w:trPr>
        <w:tc>
          <w:tcPr>
            <w:tcW w:w="221" w:type="pct"/>
            <w:tcBorders>
              <w:top w:val="single" w:sz="4" w:space="0" w:color="auto"/>
              <w:left w:val="single" w:sz="4" w:space="0" w:color="auto"/>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left"/>
              <w:rPr>
                <w:rFonts w:eastAsia="宋体" w:cs="宋体"/>
                <w:color w:val="000000"/>
                <w:kern w:val="0"/>
                <w:sz w:val="16"/>
                <w:szCs w:val="16"/>
              </w:rPr>
            </w:pPr>
            <w:r>
              <w:rPr>
                <w:rFonts w:cs="宋体" w:hint="eastAsia"/>
                <w:b/>
                <w:bCs/>
                <w:color w:val="000000"/>
                <w:kern w:val="0"/>
                <w:sz w:val="16"/>
                <w:szCs w:val="16"/>
              </w:rPr>
              <w:t>221</w:t>
            </w:r>
          </w:p>
        </w:tc>
        <w:tc>
          <w:tcPr>
            <w:tcW w:w="761"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left"/>
              <w:rPr>
                <w:rFonts w:ascii="宋体" w:eastAsia="宋体" w:cs="宋体"/>
                <w:color w:val="000000"/>
                <w:kern w:val="0"/>
                <w:sz w:val="16"/>
                <w:szCs w:val="16"/>
              </w:rPr>
            </w:pPr>
            <w:r>
              <w:rPr>
                <w:rFonts w:ascii="宋体" w:eastAsia="宋体" w:cs="宋体" w:hint="eastAsia"/>
                <w:b/>
                <w:bCs/>
                <w:color w:val="000000"/>
                <w:kern w:val="0"/>
                <w:sz w:val="16"/>
                <w:szCs w:val="16"/>
              </w:rPr>
              <w:t xml:space="preserve">  住房保障支出</w:t>
            </w:r>
          </w:p>
        </w:tc>
        <w:tc>
          <w:tcPr>
            <w:tcW w:w="416"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12,461.02</w:t>
            </w:r>
          </w:p>
        </w:tc>
        <w:tc>
          <w:tcPr>
            <w:tcW w:w="487"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12,461.02</w:t>
            </w:r>
          </w:p>
        </w:tc>
        <w:tc>
          <w:tcPr>
            <w:tcW w:w="345"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12,740.23</w:t>
            </w:r>
          </w:p>
        </w:tc>
        <w:tc>
          <w:tcPr>
            <w:tcW w:w="416"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12,740.23</w:t>
            </w:r>
          </w:p>
        </w:tc>
        <w:tc>
          <w:tcPr>
            <w:tcW w:w="414"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p>
        </w:tc>
        <w:tc>
          <w:tcPr>
            <w:tcW w:w="416"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hint="eastAsia"/>
                <w:sz w:val="16"/>
                <w:szCs w:val="16"/>
              </w:rPr>
              <w:t>12,740.23</w:t>
            </w:r>
          </w:p>
        </w:tc>
        <w:tc>
          <w:tcPr>
            <w:tcW w:w="388"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279.21</w:t>
            </w:r>
          </w:p>
        </w:tc>
        <w:tc>
          <w:tcPr>
            <w:tcW w:w="373"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2.24%</w:t>
            </w:r>
          </w:p>
        </w:tc>
        <w:tc>
          <w:tcPr>
            <w:tcW w:w="388"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eastAsia="等线" w:cs="Times New Roman"/>
                <w:color w:val="000000"/>
                <w:sz w:val="16"/>
                <w:szCs w:val="16"/>
              </w:rPr>
            </w:pPr>
            <w:r>
              <w:rPr>
                <w:rFonts w:cs="Calibri" w:hint="eastAsia"/>
                <w:sz w:val="16"/>
                <w:szCs w:val="16"/>
              </w:rPr>
              <w:t>279.21</w:t>
            </w:r>
          </w:p>
        </w:tc>
        <w:tc>
          <w:tcPr>
            <w:tcW w:w="373"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eastAsia="等线" w:cs="Times New Roman"/>
                <w:color w:val="000000"/>
                <w:sz w:val="16"/>
                <w:szCs w:val="16"/>
              </w:rPr>
            </w:pPr>
            <w:r>
              <w:rPr>
                <w:rFonts w:cs="Calibri" w:hint="eastAsia"/>
                <w:sz w:val="16"/>
                <w:szCs w:val="16"/>
              </w:rPr>
              <w:t>2.24%</w:t>
            </w:r>
          </w:p>
        </w:tc>
      </w:tr>
      <w:tr>
        <w:trPr>
          <w:cantSplit/>
          <w:trHeight w:val="255"/>
        </w:trPr>
        <w:tc>
          <w:tcPr>
            <w:tcW w:w="221" w:type="pct"/>
            <w:tcBorders>
              <w:top w:val="single" w:sz="4" w:space="0" w:color="auto"/>
              <w:left w:val="single" w:sz="4" w:space="0" w:color="auto"/>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left"/>
              <w:rPr>
                <w:rFonts w:eastAsia="宋体" w:cs="宋体"/>
                <w:color w:val="000000"/>
                <w:kern w:val="0"/>
                <w:sz w:val="16"/>
                <w:szCs w:val="16"/>
              </w:rPr>
            </w:pPr>
            <w:r>
              <w:rPr>
                <w:rFonts w:cs="宋体" w:hint="eastAsia"/>
                <w:b/>
                <w:bCs/>
                <w:color w:val="000000"/>
                <w:kern w:val="0"/>
                <w:sz w:val="16"/>
                <w:szCs w:val="16"/>
              </w:rPr>
              <w:t>22102</w:t>
            </w:r>
          </w:p>
        </w:tc>
        <w:tc>
          <w:tcPr>
            <w:tcW w:w="761"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left"/>
              <w:rPr>
                <w:rFonts w:ascii="宋体" w:eastAsia="宋体" w:cs="宋体"/>
                <w:color w:val="000000"/>
                <w:kern w:val="0"/>
                <w:sz w:val="16"/>
                <w:szCs w:val="16"/>
              </w:rPr>
            </w:pPr>
            <w:r>
              <w:rPr>
                <w:rFonts w:ascii="宋体" w:eastAsia="宋体" w:cs="宋体" w:hint="eastAsia"/>
                <w:b/>
                <w:bCs/>
                <w:color w:val="000000"/>
                <w:kern w:val="0"/>
                <w:sz w:val="16"/>
                <w:szCs w:val="16"/>
              </w:rPr>
              <w:t xml:space="preserve">    住房改革支出</w:t>
            </w:r>
          </w:p>
        </w:tc>
        <w:tc>
          <w:tcPr>
            <w:tcW w:w="416"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12,461.02</w:t>
            </w:r>
          </w:p>
        </w:tc>
        <w:tc>
          <w:tcPr>
            <w:tcW w:w="487"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12,461.02</w:t>
            </w:r>
          </w:p>
        </w:tc>
        <w:tc>
          <w:tcPr>
            <w:tcW w:w="345"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12,740.23</w:t>
            </w:r>
          </w:p>
        </w:tc>
        <w:tc>
          <w:tcPr>
            <w:tcW w:w="416"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12,740.23</w:t>
            </w:r>
          </w:p>
        </w:tc>
        <w:tc>
          <w:tcPr>
            <w:tcW w:w="414"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p>
        </w:tc>
        <w:tc>
          <w:tcPr>
            <w:tcW w:w="416"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hint="eastAsia"/>
                <w:sz w:val="16"/>
                <w:szCs w:val="16"/>
              </w:rPr>
              <w:t>12,740.23</w:t>
            </w:r>
          </w:p>
        </w:tc>
        <w:tc>
          <w:tcPr>
            <w:tcW w:w="388"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279.21</w:t>
            </w:r>
          </w:p>
        </w:tc>
        <w:tc>
          <w:tcPr>
            <w:tcW w:w="373"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2.24%</w:t>
            </w:r>
          </w:p>
        </w:tc>
        <w:tc>
          <w:tcPr>
            <w:tcW w:w="388"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eastAsia="等线" w:cs="Times New Roman"/>
                <w:color w:val="000000"/>
                <w:sz w:val="16"/>
                <w:szCs w:val="16"/>
              </w:rPr>
            </w:pPr>
            <w:r>
              <w:rPr>
                <w:rFonts w:cs="Calibri" w:hint="eastAsia"/>
                <w:sz w:val="16"/>
                <w:szCs w:val="16"/>
              </w:rPr>
              <w:t>279.21</w:t>
            </w:r>
          </w:p>
        </w:tc>
        <w:tc>
          <w:tcPr>
            <w:tcW w:w="373"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eastAsia="等线" w:cs="Times New Roman"/>
                <w:color w:val="000000"/>
                <w:sz w:val="16"/>
                <w:szCs w:val="16"/>
              </w:rPr>
            </w:pPr>
            <w:r>
              <w:rPr>
                <w:rFonts w:cs="Calibri" w:hint="eastAsia"/>
                <w:sz w:val="16"/>
                <w:szCs w:val="16"/>
              </w:rPr>
              <w:t>2.24%</w:t>
            </w:r>
          </w:p>
        </w:tc>
      </w:tr>
      <w:tr>
        <w:trPr>
          <w:trHeight w:val="255"/>
        </w:trPr>
        <w:tc>
          <w:tcPr>
            <w:tcW w:w="221" w:type="pct"/>
            <w:tcBorders>
              <w:top w:val="single" w:sz="4" w:space="0" w:color="auto"/>
              <w:left w:val="single" w:sz="4" w:space="0" w:color="auto"/>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left"/>
              <w:rPr>
                <w:rFonts w:eastAsia="宋体" w:cs="宋体"/>
                <w:color w:val="000000"/>
                <w:kern w:val="0"/>
                <w:sz w:val="16"/>
                <w:szCs w:val="16"/>
              </w:rPr>
            </w:pPr>
            <w:r>
              <w:rPr>
                <w:rFonts w:cs="宋体" w:hint="eastAsia"/>
                <w:color w:val="000000"/>
                <w:kern w:val="0"/>
                <w:sz w:val="16"/>
                <w:szCs w:val="16"/>
              </w:rPr>
              <w:t>2210201</w:t>
            </w:r>
          </w:p>
        </w:tc>
        <w:tc>
          <w:tcPr>
            <w:tcW w:w="761"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left"/>
              <w:rPr>
                <w:rFonts w:ascii="宋体" w:eastAsia="宋体" w:cs="宋体"/>
                <w:color w:val="000000"/>
                <w:kern w:val="0"/>
                <w:sz w:val="16"/>
                <w:szCs w:val="16"/>
              </w:rPr>
            </w:pPr>
            <w:r>
              <w:rPr>
                <w:rFonts w:ascii="宋体" w:eastAsia="宋体" w:cs="宋体" w:hint="eastAsia"/>
                <w:color w:val="000000"/>
                <w:kern w:val="0"/>
                <w:sz w:val="16"/>
                <w:szCs w:val="16"/>
              </w:rPr>
              <w:t>住房公积金</w:t>
            </w:r>
          </w:p>
        </w:tc>
        <w:tc>
          <w:tcPr>
            <w:tcW w:w="416"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4,871.08</w:t>
            </w:r>
          </w:p>
        </w:tc>
        <w:tc>
          <w:tcPr>
            <w:tcW w:w="487"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4,871.08</w:t>
            </w:r>
          </w:p>
        </w:tc>
        <w:tc>
          <w:tcPr>
            <w:tcW w:w="345"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4,919.33</w:t>
            </w:r>
          </w:p>
        </w:tc>
        <w:tc>
          <w:tcPr>
            <w:tcW w:w="416"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4,919.33</w:t>
            </w:r>
          </w:p>
        </w:tc>
        <w:tc>
          <w:tcPr>
            <w:tcW w:w="414"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p>
        </w:tc>
        <w:tc>
          <w:tcPr>
            <w:tcW w:w="416"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hint="eastAsia"/>
                <w:sz w:val="16"/>
                <w:szCs w:val="16"/>
              </w:rPr>
              <w:t>4,919.33</w:t>
            </w:r>
          </w:p>
        </w:tc>
        <w:tc>
          <w:tcPr>
            <w:tcW w:w="388"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48.25</w:t>
            </w:r>
          </w:p>
        </w:tc>
        <w:tc>
          <w:tcPr>
            <w:tcW w:w="373"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0.99%</w:t>
            </w:r>
          </w:p>
        </w:tc>
        <w:tc>
          <w:tcPr>
            <w:tcW w:w="388"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eastAsia="等线" w:cs="Times New Roman"/>
                <w:color w:val="000000"/>
                <w:sz w:val="16"/>
                <w:szCs w:val="16"/>
              </w:rPr>
            </w:pPr>
            <w:r>
              <w:rPr>
                <w:rFonts w:cs="Calibri" w:hint="eastAsia"/>
                <w:sz w:val="16"/>
                <w:szCs w:val="16"/>
              </w:rPr>
              <w:t>48.25</w:t>
            </w:r>
          </w:p>
        </w:tc>
        <w:tc>
          <w:tcPr>
            <w:tcW w:w="373"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eastAsia="等线" w:cs="Times New Roman"/>
                <w:color w:val="000000"/>
                <w:sz w:val="16"/>
                <w:szCs w:val="16"/>
              </w:rPr>
            </w:pPr>
            <w:r>
              <w:rPr>
                <w:rFonts w:cs="Calibri" w:hint="eastAsia"/>
                <w:sz w:val="16"/>
                <w:szCs w:val="16"/>
              </w:rPr>
              <w:t>0.99%</w:t>
            </w:r>
          </w:p>
        </w:tc>
      </w:tr>
      <w:tr>
        <w:trPr>
          <w:cantSplit/>
          <w:trHeight w:val="255"/>
        </w:trPr>
        <w:tc>
          <w:tcPr>
            <w:tcW w:w="221" w:type="pct"/>
            <w:tcBorders>
              <w:top w:val="single" w:sz="4" w:space="0" w:color="auto"/>
              <w:left w:val="single" w:sz="4" w:space="0" w:color="auto"/>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left"/>
              <w:rPr>
                <w:rFonts w:eastAsia="宋体" w:cs="宋体"/>
                <w:color w:val="000000"/>
                <w:kern w:val="0"/>
                <w:sz w:val="16"/>
                <w:szCs w:val="16"/>
              </w:rPr>
            </w:pPr>
            <w:r>
              <w:rPr>
                <w:rFonts w:cs="宋体" w:hint="eastAsia"/>
                <w:color w:val="000000"/>
                <w:kern w:val="0"/>
                <w:sz w:val="16"/>
                <w:szCs w:val="16"/>
              </w:rPr>
              <w:t>2210203</w:t>
            </w:r>
          </w:p>
        </w:tc>
        <w:tc>
          <w:tcPr>
            <w:tcW w:w="761"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left"/>
              <w:rPr>
                <w:rFonts w:ascii="宋体" w:eastAsia="宋体" w:cs="宋体"/>
                <w:color w:val="000000"/>
                <w:kern w:val="0"/>
                <w:sz w:val="16"/>
                <w:szCs w:val="16"/>
              </w:rPr>
            </w:pPr>
            <w:r>
              <w:rPr>
                <w:rFonts w:ascii="宋体" w:eastAsia="宋体" w:cs="宋体" w:hint="eastAsia"/>
                <w:color w:val="000000"/>
                <w:kern w:val="0"/>
                <w:sz w:val="16"/>
                <w:szCs w:val="16"/>
              </w:rPr>
              <w:t>购房补贴</w:t>
            </w:r>
          </w:p>
        </w:tc>
        <w:tc>
          <w:tcPr>
            <w:tcW w:w="416"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7,589.94</w:t>
            </w:r>
          </w:p>
        </w:tc>
        <w:tc>
          <w:tcPr>
            <w:tcW w:w="487"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7,589.94</w:t>
            </w:r>
          </w:p>
        </w:tc>
        <w:tc>
          <w:tcPr>
            <w:tcW w:w="345"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7,820.90</w:t>
            </w:r>
          </w:p>
        </w:tc>
        <w:tc>
          <w:tcPr>
            <w:tcW w:w="416"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7,820.90</w:t>
            </w:r>
          </w:p>
        </w:tc>
        <w:tc>
          <w:tcPr>
            <w:tcW w:w="414"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p>
        </w:tc>
        <w:tc>
          <w:tcPr>
            <w:tcW w:w="416"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hint="eastAsia"/>
                <w:sz w:val="16"/>
                <w:szCs w:val="16"/>
              </w:rPr>
              <w:t>7,820.90</w:t>
            </w:r>
          </w:p>
        </w:tc>
        <w:tc>
          <w:tcPr>
            <w:tcW w:w="388"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230.96</w:t>
            </w:r>
          </w:p>
        </w:tc>
        <w:tc>
          <w:tcPr>
            <w:tcW w:w="373"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sz w:val="16"/>
                <w:szCs w:val="16"/>
              </w:rPr>
            </w:pPr>
            <w:r>
              <w:rPr>
                <w:rFonts w:cs="Calibri"/>
                <w:sz w:val="16"/>
                <w:szCs w:val="16"/>
              </w:rPr>
              <w:t>3.04%</w:t>
            </w:r>
          </w:p>
        </w:tc>
        <w:tc>
          <w:tcPr>
            <w:tcW w:w="388"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eastAsia="等线" w:cs="Times New Roman"/>
                <w:color w:val="000000"/>
                <w:sz w:val="16"/>
                <w:szCs w:val="16"/>
              </w:rPr>
            </w:pPr>
            <w:r>
              <w:rPr>
                <w:rFonts w:cs="Calibri" w:hint="eastAsia"/>
                <w:sz w:val="16"/>
                <w:szCs w:val="16"/>
              </w:rPr>
              <w:t>230.96</w:t>
            </w:r>
          </w:p>
        </w:tc>
        <w:tc>
          <w:tcPr>
            <w:tcW w:w="373"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eastAsia="等线" w:cs="Times New Roman"/>
                <w:color w:val="000000"/>
                <w:sz w:val="16"/>
                <w:szCs w:val="16"/>
              </w:rPr>
            </w:pPr>
            <w:r>
              <w:rPr>
                <w:rFonts w:cs="Calibri" w:hint="eastAsia"/>
                <w:sz w:val="16"/>
                <w:szCs w:val="16"/>
              </w:rPr>
              <w:t>3.04%</w:t>
            </w:r>
          </w:p>
        </w:tc>
      </w:tr>
      <w:tr>
        <w:trPr>
          <w:cantSplit/>
          <w:trHeight w:val="255"/>
        </w:trPr>
        <w:tc>
          <w:tcPr>
            <w:tcW w:w="983"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center"/>
              <w:rPr>
                <w:rFonts w:eastAsia="宋体" w:cs="宋体"/>
                <w:color w:val="000000"/>
                <w:kern w:val="0"/>
                <w:sz w:val="16"/>
                <w:szCs w:val="16"/>
              </w:rPr>
            </w:pPr>
            <w:r>
              <w:rPr>
                <w:rFonts w:cs="宋体" w:hint="eastAsia"/>
                <w:b/>
                <w:bCs/>
                <w:color w:val="000000"/>
                <w:kern w:val="0"/>
                <w:sz w:val="16"/>
                <w:szCs w:val="16"/>
              </w:rPr>
              <w:t>合      计</w:t>
            </w:r>
          </w:p>
        </w:tc>
        <w:tc>
          <w:tcPr>
            <w:tcW w:w="416"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b/>
                <w:sz w:val="16"/>
                <w:szCs w:val="16"/>
              </w:rPr>
            </w:pPr>
            <w:r>
              <w:rPr>
                <w:rFonts w:cs="Calibri"/>
                <w:b/>
                <w:sz w:val="16"/>
                <w:szCs w:val="16"/>
              </w:rPr>
              <w:t>88,450.42</w:t>
            </w:r>
          </w:p>
        </w:tc>
        <w:tc>
          <w:tcPr>
            <w:tcW w:w="487"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b/>
                <w:sz w:val="16"/>
                <w:szCs w:val="16"/>
              </w:rPr>
            </w:pPr>
            <w:r>
              <w:rPr>
                <w:rFonts w:cs="Calibri"/>
                <w:b/>
                <w:sz w:val="16"/>
                <w:szCs w:val="16"/>
              </w:rPr>
              <w:t>88,390.42</w:t>
            </w:r>
          </w:p>
        </w:tc>
        <w:tc>
          <w:tcPr>
            <w:tcW w:w="345"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b/>
                <w:sz w:val="16"/>
                <w:szCs w:val="16"/>
              </w:rPr>
            </w:pPr>
            <w:r>
              <w:rPr>
                <w:rFonts w:cs="Calibri"/>
                <w:b/>
                <w:sz w:val="16"/>
                <w:szCs w:val="16"/>
              </w:rPr>
              <w:t>91,539.51</w:t>
            </w:r>
          </w:p>
        </w:tc>
        <w:tc>
          <w:tcPr>
            <w:tcW w:w="416"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b/>
                <w:sz w:val="16"/>
                <w:szCs w:val="16"/>
              </w:rPr>
            </w:pPr>
            <w:r>
              <w:rPr>
                <w:rFonts w:cs="Calibri"/>
                <w:b/>
                <w:sz w:val="16"/>
                <w:szCs w:val="16"/>
              </w:rPr>
              <w:t>76,954.21</w:t>
            </w:r>
          </w:p>
        </w:tc>
        <w:tc>
          <w:tcPr>
            <w:tcW w:w="414"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b/>
                <w:sz w:val="16"/>
                <w:szCs w:val="16"/>
              </w:rPr>
            </w:pPr>
            <w:r>
              <w:rPr>
                <w:rFonts w:cs="Calibri"/>
                <w:b/>
                <w:sz w:val="16"/>
                <w:szCs w:val="16"/>
              </w:rPr>
              <w:t>14,585.30</w:t>
            </w:r>
          </w:p>
        </w:tc>
        <w:tc>
          <w:tcPr>
            <w:tcW w:w="416"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b/>
                <w:sz w:val="16"/>
                <w:szCs w:val="16"/>
              </w:rPr>
            </w:pPr>
            <w:r>
              <w:rPr>
                <w:rFonts w:cs="Calibri"/>
                <w:b/>
                <w:sz w:val="16"/>
                <w:szCs w:val="16"/>
              </w:rPr>
              <w:t>76,954.21</w:t>
            </w:r>
          </w:p>
        </w:tc>
        <w:tc>
          <w:tcPr>
            <w:tcW w:w="388"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b/>
                <w:sz w:val="16"/>
                <w:szCs w:val="16"/>
              </w:rPr>
            </w:pPr>
            <w:r>
              <w:rPr>
                <w:rFonts w:cs="Calibri"/>
                <w:b/>
                <w:sz w:val="16"/>
                <w:szCs w:val="16"/>
              </w:rPr>
              <w:t>3,089.09</w:t>
            </w:r>
          </w:p>
        </w:tc>
        <w:tc>
          <w:tcPr>
            <w:tcW w:w="373"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cs="Calibri"/>
                <w:b/>
                <w:sz w:val="16"/>
                <w:szCs w:val="16"/>
              </w:rPr>
            </w:pPr>
            <w:r>
              <w:rPr>
                <w:rFonts w:cs="Calibri"/>
                <w:b/>
                <w:sz w:val="16"/>
                <w:szCs w:val="16"/>
              </w:rPr>
              <w:t>3.49%</w:t>
            </w:r>
          </w:p>
        </w:tc>
        <w:tc>
          <w:tcPr>
            <w:tcW w:w="388"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eastAsia="等线" w:cs="Times New Roman"/>
                <w:b/>
                <w:color w:val="000000"/>
                <w:sz w:val="16"/>
                <w:szCs w:val="16"/>
              </w:rPr>
            </w:pPr>
            <w:r>
              <w:rPr>
                <w:rFonts w:cs="Calibri" w:hint="eastAsia"/>
                <w:b/>
                <w:sz w:val="16"/>
                <w:szCs w:val="16"/>
              </w:rPr>
              <w:t>3,089.09</w:t>
            </w:r>
          </w:p>
        </w:tc>
        <w:tc>
          <w:tcPr>
            <w:tcW w:w="373" w:type="pct"/>
            <w:tcBorders>
              <w:top w:val="single" w:sz="4" w:space="0" w:color="auto"/>
              <w:left w:val="nil"/>
              <w:bottom w:val="single" w:sz="4" w:space="0" w:color="auto"/>
              <w:right w:val="single" w:sz="4" w:space="0" w:color="auto"/>
            </w:tcBorders>
            <w:shd w:val="clear" w:color="auto" w:fill="auto"/>
            <w:noWrap/>
            <w:vAlign w:val="center"/>
          </w:tcPr>
          <w:p>
            <w:pPr>
              <w:keepLines/>
              <w:widowControl w:val="0"/>
              <w:overflowPunct/>
              <w:spacing w:line="240" w:lineRule="auto"/>
              <w:ind w:firstLineChars="0" w:firstLine="0"/>
              <w:jc w:val="right"/>
              <w:rPr>
                <w:rFonts w:eastAsia="等线" w:cs="Times New Roman"/>
                <w:b/>
                <w:color w:val="000000"/>
                <w:sz w:val="16"/>
                <w:szCs w:val="16"/>
              </w:rPr>
            </w:pPr>
            <w:r>
              <w:rPr>
                <w:rFonts w:cs="Calibri" w:hint="eastAsia"/>
                <w:b/>
                <w:sz w:val="16"/>
                <w:szCs w:val="16"/>
              </w:rPr>
              <w:t>3.49%</w:t>
            </w:r>
          </w:p>
        </w:tc>
      </w:tr>
    </w:tbl>
    <w:p>
      <w:pPr>
        <w:pStyle w:val="22"/>
        <w:outlineLvl w:val="1"/>
        <w:sectPr>
          <w:pgSz w:w="16838" w:h="11906" w:orient="landscape"/>
          <w:pgMar w:top="1797" w:right="1440" w:bottom="1797" w:left="1440" w:header="851" w:footer="992" w:gutter="0"/>
          <w:docGrid w:type="linesAndChars" w:linePitch="312" w:charSpace="0"/>
        </w:sectPr>
      </w:pPr>
    </w:p>
    <w:p>
      <w:pPr>
        <w:pStyle w:val="22"/>
        <w:outlineLvl w:val="1"/>
      </w:pPr>
      <w:r>
        <w:rPr>
          <w:rFonts w:hint="eastAsia"/>
        </w:rPr>
        <w:t>六、一般公共预算基本支出表</w:t>
      </w:r>
    </w:p>
    <w:tbl>
      <w:tblPr>
        <w:jc w:val="center"/>
        <w:tblW w:w="10143"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066"/>
        <w:gridCol w:w="3121"/>
        <w:gridCol w:w="2127"/>
        <w:gridCol w:w="1986"/>
        <w:gridCol w:w="1843"/>
      </w:tblGrid>
      <w:tr>
        <w:trPr>
          <w:trHeight w:val="270"/>
          <w:tblHeader/>
        </w:trPr>
        <w:tc>
          <w:tcPr>
            <w:tcW w:w="1066" w:type="dxa"/>
            <w:tcBorders>
              <w:top w:val="nil"/>
              <w:left w:val="nil"/>
              <w:bottom w:val="nil"/>
              <w:right w:val="nil"/>
            </w:tcBorders>
            <w:shd w:val="clear" w:color="auto" w:fill="auto"/>
            <w:noWrap/>
            <w:vAlign w:val="center"/>
          </w:tcPr>
          <w:p>
            <w:pPr>
              <w:widowControl/>
              <w:overflowPunct/>
              <w:spacing w:line="240" w:lineRule="auto"/>
              <w:ind w:firstLineChars="0" w:firstLine="480"/>
              <w:jc w:val="left"/>
              <w:rPr>
                <w:rFonts w:eastAsia="宋体" w:cs="宋体"/>
                <w:kern w:val="0"/>
                <w:sz w:val="24"/>
                <w:szCs w:val="24"/>
              </w:rPr>
            </w:pPr>
          </w:p>
        </w:tc>
        <w:tc>
          <w:tcPr>
            <w:tcW w:w="3121" w:type="dxa"/>
            <w:tcBorders>
              <w:top w:val="nil"/>
              <w:left w:val="nil"/>
              <w:bottom w:val="nil"/>
              <w:right w:val="nil"/>
            </w:tcBorders>
            <w:shd w:val="clear" w:color="auto" w:fill="auto"/>
            <w:noWrap/>
            <w:vAlign w:val="center"/>
          </w:tcPr>
          <w:p>
            <w:pPr>
              <w:widowControl/>
              <w:overflowPunct/>
              <w:spacing w:line="240" w:lineRule="auto"/>
              <w:ind w:firstLineChars="0" w:firstLine="400"/>
              <w:jc w:val="left"/>
              <w:rPr>
                <w:rFonts w:eastAsia="Times New Roman" w:cs="Times New Roman"/>
                <w:kern w:val="0"/>
                <w:sz w:val="20"/>
                <w:szCs w:val="20"/>
              </w:rPr>
            </w:pPr>
          </w:p>
        </w:tc>
        <w:tc>
          <w:tcPr>
            <w:tcW w:w="2127" w:type="dxa"/>
            <w:tcBorders>
              <w:top w:val="nil"/>
              <w:left w:val="nil"/>
              <w:bottom w:val="nil"/>
              <w:right w:val="nil"/>
            </w:tcBorders>
            <w:shd w:val="clear" w:color="auto" w:fill="auto"/>
            <w:noWrap/>
            <w:vAlign w:val="center"/>
          </w:tcPr>
          <w:p>
            <w:pPr>
              <w:widowControl/>
              <w:overflowPunct/>
              <w:spacing w:line="240" w:lineRule="auto"/>
              <w:ind w:firstLineChars="0" w:firstLine="400"/>
              <w:jc w:val="left"/>
              <w:rPr>
                <w:rFonts w:eastAsia="Times New Roman" w:cs="Times New Roman"/>
                <w:kern w:val="0"/>
                <w:sz w:val="20"/>
                <w:szCs w:val="20"/>
              </w:rPr>
            </w:pPr>
          </w:p>
        </w:tc>
        <w:tc>
          <w:tcPr>
            <w:tcW w:w="1986" w:type="dxa"/>
            <w:tcBorders>
              <w:top w:val="nil"/>
              <w:left w:val="nil"/>
              <w:bottom w:val="nil"/>
              <w:right w:val="nil"/>
            </w:tcBorders>
            <w:shd w:val="clear" w:color="auto" w:fill="auto"/>
            <w:noWrap/>
            <w:vAlign w:val="center"/>
          </w:tcPr>
          <w:p>
            <w:pPr>
              <w:widowControl/>
              <w:overflowPunct/>
              <w:spacing w:line="240" w:lineRule="auto"/>
              <w:ind w:firstLineChars="0" w:firstLine="400"/>
              <w:jc w:val="center"/>
              <w:rPr>
                <w:rFonts w:eastAsia="Times New Roman" w:cs="Times New Roman"/>
                <w:kern w:val="0"/>
                <w:sz w:val="20"/>
                <w:szCs w:val="20"/>
              </w:rPr>
            </w:pPr>
          </w:p>
        </w:tc>
        <w:tc>
          <w:tcPr>
            <w:tcW w:w="1843" w:type="dxa"/>
            <w:tcBorders>
              <w:top w:val="nil"/>
              <w:left w:val="nil"/>
              <w:bottom w:val="nil"/>
              <w:right w:val="nil"/>
            </w:tcBorders>
            <w:shd w:val="clear" w:color="auto" w:fill="auto"/>
            <w:noWrap/>
            <w:vAlign w:val="center"/>
          </w:tcPr>
          <w:p>
            <w:pPr>
              <w:widowControl/>
              <w:overflowPunct/>
              <w:spacing w:line="240" w:lineRule="auto"/>
              <w:ind w:firstLineChars="0" w:firstLine="400"/>
              <w:jc w:val="right"/>
              <w:rPr>
                <w:rFonts w:eastAsia="黑体" w:cs="宋体"/>
                <w:color w:val="000000"/>
                <w:kern w:val="0"/>
                <w:sz w:val="20"/>
                <w:szCs w:val="20"/>
              </w:rPr>
            </w:pPr>
            <w:r>
              <w:rPr>
                <w:rFonts w:eastAsia="黑体" w:cs="宋体" w:hint="eastAsia"/>
                <w:color w:val="000000"/>
                <w:kern w:val="0"/>
                <w:sz w:val="20"/>
                <w:szCs w:val="20"/>
              </w:rPr>
              <w:t>部门公开表6</w:t>
            </w:r>
          </w:p>
        </w:tc>
      </w:tr>
      <w:tr>
        <w:trPr>
          <w:trHeight w:val="578"/>
          <w:tblHeader/>
        </w:trPr>
        <w:tc>
          <w:tcPr>
            <w:tcW w:w="10143" w:type="dxa"/>
            <w:gridSpan w:val="5"/>
            <w:tcBorders>
              <w:top w:val="nil"/>
              <w:left w:val="nil"/>
              <w:bottom w:val="nil"/>
              <w:right w:val="nil"/>
            </w:tcBorders>
            <w:shd w:val="clear" w:color="auto" w:fill="auto"/>
            <w:noWrap/>
            <w:vAlign w:val="center"/>
          </w:tcPr>
          <w:p>
            <w:pPr>
              <w:widowControl/>
              <w:overflowPunct/>
              <w:spacing w:line="240" w:lineRule="auto"/>
              <w:ind w:firstLineChars="0" w:firstLine="0"/>
              <w:jc w:val="center"/>
              <w:rPr>
                <w:rFonts w:eastAsia="宋体" w:cs="宋体"/>
                <w:kern w:val="0"/>
                <w:sz w:val="36"/>
                <w:szCs w:val="36"/>
              </w:rPr>
            </w:pPr>
            <w:r>
              <w:rPr>
                <w:rFonts w:eastAsia="宋体" w:cs="宋体" w:hint="eastAsia"/>
                <w:kern w:val="0"/>
                <w:sz w:val="36"/>
                <w:szCs w:val="36"/>
              </w:rPr>
              <w:t>一般公共预算基本支出表</w:t>
            </w:r>
          </w:p>
        </w:tc>
      </w:tr>
      <w:tr>
        <w:trPr>
          <w:trHeight w:val="360"/>
          <w:tblHeader/>
        </w:trPr>
        <w:tc>
          <w:tcPr>
            <w:tcW w:w="1066" w:type="dxa"/>
            <w:tcBorders>
              <w:top w:val="nil"/>
              <w:left w:val="nil"/>
              <w:bottom w:val="nil"/>
              <w:right w:val="nil"/>
            </w:tcBorders>
            <w:shd w:val="clear" w:color="auto" w:fill="auto"/>
            <w:noWrap/>
            <w:vAlign w:val="center"/>
          </w:tcPr>
          <w:p>
            <w:pPr>
              <w:widowControl/>
              <w:overflowPunct/>
              <w:spacing w:line="240" w:lineRule="auto"/>
              <w:ind w:firstLineChars="0" w:firstLine="640"/>
              <w:jc w:val="center"/>
              <w:rPr>
                <w:rFonts w:eastAsia="宋体" w:cs="宋体"/>
                <w:kern w:val="0"/>
                <w:sz w:val="21"/>
                <w:szCs w:val="36"/>
              </w:rPr>
            </w:pPr>
          </w:p>
        </w:tc>
        <w:tc>
          <w:tcPr>
            <w:tcW w:w="3121" w:type="dxa"/>
            <w:tcBorders>
              <w:top w:val="nil"/>
              <w:left w:val="nil"/>
              <w:bottom w:val="single" w:sz="4" w:space="0" w:color="auto"/>
              <w:right w:val="nil"/>
            </w:tcBorders>
            <w:shd w:val="clear" w:color="auto" w:fill="auto"/>
            <w:noWrap/>
            <w:vAlign w:val="center"/>
          </w:tcPr>
          <w:p>
            <w:pPr>
              <w:widowControl/>
              <w:overflowPunct/>
              <w:spacing w:line="240" w:lineRule="auto"/>
              <w:ind w:firstLineChars="0" w:firstLine="360"/>
              <w:jc w:val="left"/>
              <w:rPr>
                <w:rFonts w:eastAsia="宋体" w:cs="宋体"/>
                <w:kern w:val="0"/>
                <w:sz w:val="18"/>
                <w:szCs w:val="18"/>
              </w:rPr>
            </w:pPr>
            <w:r>
              <w:rPr>
                <w:rFonts w:eastAsia="宋体" w:cs="宋体" w:hint="eastAsia"/>
                <w:kern w:val="0"/>
                <w:sz w:val="18"/>
                <w:szCs w:val="18"/>
              </w:rPr>
              <w:t>　</w:t>
            </w:r>
          </w:p>
        </w:tc>
        <w:tc>
          <w:tcPr>
            <w:tcW w:w="2127" w:type="dxa"/>
            <w:tcBorders>
              <w:top w:val="nil"/>
              <w:left w:val="nil"/>
              <w:bottom w:val="single" w:sz="4" w:space="0" w:color="auto"/>
              <w:right w:val="nil"/>
            </w:tcBorders>
            <w:shd w:val="clear" w:color="auto" w:fill="auto"/>
            <w:noWrap/>
            <w:vAlign w:val="center"/>
          </w:tcPr>
          <w:p>
            <w:pPr>
              <w:widowControl/>
              <w:overflowPunct/>
              <w:spacing w:line="240" w:lineRule="auto"/>
              <w:ind w:firstLineChars="0" w:firstLine="360"/>
              <w:jc w:val="center"/>
              <w:rPr>
                <w:rFonts w:eastAsia="宋体" w:cs="Times New Roman"/>
                <w:kern w:val="0"/>
                <w:sz w:val="18"/>
                <w:szCs w:val="18"/>
              </w:rPr>
            </w:pPr>
            <w:r>
              <w:rPr>
                <w:rFonts w:eastAsia="宋体" w:cs="Times New Roman"/>
                <w:kern w:val="0"/>
                <w:sz w:val="18"/>
                <w:szCs w:val="18"/>
              </w:rPr>
              <w:t>　</w:t>
            </w:r>
          </w:p>
        </w:tc>
        <w:tc>
          <w:tcPr>
            <w:tcW w:w="1986" w:type="dxa"/>
            <w:tcBorders>
              <w:top w:val="nil"/>
              <w:left w:val="nil"/>
              <w:bottom w:val="single" w:sz="4" w:space="0" w:color="auto"/>
              <w:right w:val="nil"/>
            </w:tcBorders>
            <w:shd w:val="clear" w:color="auto" w:fill="auto"/>
            <w:noWrap/>
            <w:vAlign w:val="center"/>
          </w:tcPr>
          <w:p>
            <w:pPr>
              <w:widowControl/>
              <w:overflowPunct/>
              <w:spacing w:line="240" w:lineRule="auto"/>
              <w:ind w:firstLineChars="0" w:firstLine="360"/>
              <w:jc w:val="center"/>
              <w:rPr>
                <w:rFonts w:eastAsia="宋体" w:cs="Times New Roman"/>
                <w:kern w:val="0"/>
                <w:sz w:val="18"/>
                <w:szCs w:val="18"/>
              </w:rPr>
            </w:pPr>
            <w:r>
              <w:rPr>
                <w:rFonts w:eastAsia="宋体" w:cs="Times New Roman"/>
                <w:kern w:val="0"/>
                <w:sz w:val="18"/>
                <w:szCs w:val="18"/>
              </w:rPr>
              <w:t>　</w:t>
            </w:r>
          </w:p>
        </w:tc>
        <w:tc>
          <w:tcPr>
            <w:tcW w:w="1843" w:type="dxa"/>
            <w:tcBorders>
              <w:top w:val="nil"/>
              <w:left w:val="nil"/>
              <w:bottom w:val="nil"/>
              <w:right w:val="nil"/>
            </w:tcBorders>
            <w:shd w:val="clear" w:color="auto" w:fill="auto"/>
            <w:noWrap/>
            <w:vAlign w:val="center"/>
          </w:tcPr>
          <w:p>
            <w:pPr>
              <w:widowControl/>
              <w:overflowPunct/>
              <w:spacing w:line="240" w:lineRule="auto"/>
              <w:ind w:firstLineChars="0" w:firstLine="360"/>
              <w:jc w:val="right"/>
              <w:rPr>
                <w:rFonts w:eastAsia="宋体" w:cs="Times New Roman"/>
                <w:kern w:val="0"/>
                <w:sz w:val="18"/>
                <w:szCs w:val="18"/>
              </w:rPr>
            </w:pPr>
            <w:r>
              <w:rPr>
                <w:rFonts w:eastAsia="宋体" w:cs="Times New Roman" w:hint="eastAsia"/>
                <w:kern w:val="0"/>
                <w:sz w:val="18"/>
                <w:szCs w:val="18"/>
              </w:rPr>
              <w:t>单位：万元</w:t>
            </w:r>
          </w:p>
        </w:tc>
      </w:tr>
      <w:tr>
        <w:trPr>
          <w:trHeight w:val="360"/>
          <w:tblHeader/>
        </w:trPr>
        <w:tc>
          <w:tcPr>
            <w:tcW w:w="4187"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宋体"/>
                <w:kern w:val="0"/>
                <w:sz w:val="18"/>
                <w:szCs w:val="18"/>
              </w:rPr>
            </w:pPr>
            <w:r>
              <w:rPr>
                <w:rFonts w:eastAsia="宋体" w:cs="宋体" w:hint="eastAsia"/>
                <w:kern w:val="0"/>
                <w:sz w:val="18"/>
                <w:szCs w:val="18"/>
              </w:rPr>
              <w:t>部门预算支出经济分类科目</w:t>
            </w:r>
          </w:p>
        </w:tc>
        <w:tc>
          <w:tcPr>
            <w:tcW w:w="5956" w:type="dxa"/>
            <w:gridSpan w:val="3"/>
            <w:tcBorders>
              <w:top w:val="single" w:sz="4" w:space="0" w:color="auto"/>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Times New Roman"/>
                <w:kern w:val="0"/>
                <w:sz w:val="18"/>
                <w:szCs w:val="18"/>
              </w:rPr>
            </w:pPr>
            <w:r>
              <w:rPr>
                <w:rFonts w:eastAsia="宋体" w:cs="Times New Roman" w:hint="eastAsia"/>
                <w:kern w:val="0"/>
                <w:sz w:val="18"/>
                <w:szCs w:val="18"/>
              </w:rPr>
              <w:t>2025年基本支出</w:t>
            </w:r>
          </w:p>
        </w:tc>
      </w:tr>
      <w:tr>
        <w:trPr>
          <w:trHeight w:val="360"/>
          <w:tblHeader/>
        </w:trPr>
        <w:tc>
          <w:tcPr>
            <w:tcW w:w="1066" w:type="dxa"/>
            <w:tcBorders>
              <w:top w:val="nil"/>
              <w:left w:val="single" w:sz="4" w:space="0" w:color="auto"/>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宋体"/>
                <w:kern w:val="0"/>
                <w:sz w:val="18"/>
                <w:szCs w:val="18"/>
              </w:rPr>
            </w:pPr>
            <w:r>
              <w:rPr>
                <w:rFonts w:eastAsia="宋体" w:cs="宋体" w:hint="eastAsia"/>
                <w:kern w:val="0"/>
                <w:sz w:val="18"/>
                <w:szCs w:val="18"/>
              </w:rPr>
              <w:t>科目编码</w:t>
            </w:r>
          </w:p>
        </w:tc>
        <w:tc>
          <w:tcPr>
            <w:tcW w:w="3121"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宋体"/>
                <w:kern w:val="0"/>
                <w:sz w:val="18"/>
                <w:szCs w:val="18"/>
              </w:rPr>
            </w:pPr>
            <w:r>
              <w:rPr>
                <w:rFonts w:eastAsia="宋体" w:cs="宋体" w:hint="eastAsia"/>
                <w:kern w:val="0"/>
                <w:sz w:val="18"/>
                <w:szCs w:val="18"/>
              </w:rPr>
              <w:t>科目名称</w:t>
            </w:r>
          </w:p>
        </w:tc>
        <w:tc>
          <w:tcPr>
            <w:tcW w:w="2127"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Times New Roman"/>
                <w:kern w:val="0"/>
                <w:sz w:val="18"/>
                <w:szCs w:val="18"/>
              </w:rPr>
            </w:pPr>
            <w:r>
              <w:rPr>
                <w:rFonts w:eastAsia="宋体" w:cs="Times New Roman" w:hint="eastAsia"/>
                <w:kern w:val="0"/>
                <w:sz w:val="18"/>
                <w:szCs w:val="18"/>
              </w:rPr>
              <w:t>合计</w:t>
            </w:r>
          </w:p>
        </w:tc>
        <w:tc>
          <w:tcPr>
            <w:tcW w:w="1986"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Times New Roman"/>
                <w:kern w:val="0"/>
                <w:sz w:val="18"/>
                <w:szCs w:val="18"/>
              </w:rPr>
            </w:pPr>
            <w:r>
              <w:rPr>
                <w:rFonts w:eastAsia="宋体" w:cs="Times New Roman" w:hint="eastAsia"/>
                <w:kern w:val="0"/>
                <w:sz w:val="18"/>
                <w:szCs w:val="18"/>
              </w:rPr>
              <w:t>人员经费</w:t>
            </w:r>
          </w:p>
        </w:tc>
        <w:tc>
          <w:tcPr>
            <w:tcW w:w="1843"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Times New Roman"/>
                <w:kern w:val="0"/>
                <w:sz w:val="18"/>
                <w:szCs w:val="18"/>
              </w:rPr>
            </w:pPr>
            <w:r>
              <w:rPr>
                <w:rFonts w:eastAsia="宋体" w:cs="Times New Roman" w:hint="eastAsia"/>
                <w:kern w:val="0"/>
                <w:sz w:val="18"/>
                <w:szCs w:val="18"/>
              </w:rPr>
              <w:t>公用经费</w:t>
            </w:r>
          </w:p>
        </w:tc>
      </w:tr>
      <w:tr>
        <w:trPr>
          <w:trHeight w:val="340"/>
        </w:trPr>
        <w:tc>
          <w:tcPr>
            <w:tcW w:w="1066" w:type="dxa"/>
            <w:tcBorders>
              <w:top w:val="nil"/>
              <w:left w:val="single" w:sz="4" w:space="0" w:color="auto"/>
              <w:bottom w:val="single" w:sz="4" w:space="0" w:color="auto"/>
              <w:right w:val="single" w:sz="4" w:space="0" w:color="auto"/>
            </w:tcBorders>
            <w:shd w:val="clear" w:color="auto" w:fill="auto"/>
            <w:noWrap/>
            <w:vAlign w:val="center"/>
          </w:tcPr>
          <w:p>
            <w:pPr>
              <w:widowControl/>
              <w:overflowPunct/>
              <w:spacing w:line="240" w:lineRule="auto"/>
              <w:ind w:firstLineChars="0" w:firstLine="361"/>
              <w:jc w:val="center"/>
              <w:rPr>
                <w:rFonts w:eastAsia="宋体" w:cs="宋体"/>
                <w:b/>
                <w:bCs/>
                <w:kern w:val="0"/>
                <w:sz w:val="18"/>
                <w:szCs w:val="18"/>
              </w:rPr>
            </w:pPr>
          </w:p>
        </w:tc>
        <w:tc>
          <w:tcPr>
            <w:tcW w:w="3121"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center"/>
              <w:rPr>
                <w:rFonts w:eastAsia="宋体" w:cs="宋体"/>
                <w:b/>
                <w:bCs/>
                <w:kern w:val="0"/>
                <w:sz w:val="18"/>
                <w:szCs w:val="18"/>
              </w:rPr>
            </w:pPr>
            <w:r>
              <w:rPr>
                <w:rFonts w:eastAsia="宋体" w:cs="宋体" w:hint="eastAsia"/>
                <w:b/>
                <w:bCs/>
                <w:kern w:val="0"/>
                <w:sz w:val="18"/>
                <w:szCs w:val="18"/>
              </w:rPr>
              <w:t>中华人民共和国大连海关</w:t>
            </w:r>
          </w:p>
        </w:tc>
        <w:tc>
          <w:tcPr>
            <w:tcW w:w="2127"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right"/>
              <w:rPr>
                <w:rFonts w:cs="Calibri"/>
                <w:b/>
                <w:bCs/>
                <w:sz w:val="16"/>
                <w:szCs w:val="16"/>
              </w:rPr>
            </w:pPr>
            <w:r>
              <w:rPr>
                <w:rFonts w:cs="Calibri" w:hint="eastAsia"/>
                <w:b/>
                <w:bCs/>
                <w:sz w:val="16"/>
                <w:szCs w:val="16"/>
              </w:rPr>
              <w:t>76,954.21</w:t>
            </w:r>
          </w:p>
        </w:tc>
        <w:tc>
          <w:tcPr>
            <w:tcW w:w="1986"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right"/>
              <w:rPr>
                <w:rFonts w:cs="Calibri"/>
                <w:b/>
                <w:bCs/>
                <w:sz w:val="16"/>
                <w:szCs w:val="16"/>
              </w:rPr>
            </w:pPr>
            <w:r>
              <w:rPr>
                <w:rFonts w:cs="Calibri" w:hint="eastAsia"/>
                <w:b/>
                <w:bCs/>
                <w:sz w:val="16"/>
                <w:szCs w:val="16"/>
              </w:rPr>
              <w:t>59,475.87</w:t>
            </w:r>
          </w:p>
        </w:tc>
        <w:tc>
          <w:tcPr>
            <w:tcW w:w="1843"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right"/>
              <w:rPr>
                <w:rFonts w:cs="Calibri"/>
                <w:b/>
                <w:bCs/>
                <w:sz w:val="16"/>
                <w:szCs w:val="16"/>
              </w:rPr>
            </w:pPr>
            <w:r>
              <w:rPr>
                <w:rFonts w:cs="Calibri" w:hint="eastAsia"/>
                <w:b/>
                <w:bCs/>
                <w:sz w:val="16"/>
                <w:szCs w:val="16"/>
              </w:rPr>
              <w:t>17,478.34</w:t>
            </w:r>
          </w:p>
        </w:tc>
      </w:tr>
      <w:tr>
        <w:trPr>
          <w:trHeight w:val="340"/>
        </w:trPr>
        <w:tc>
          <w:tcPr>
            <w:tcW w:w="1066" w:type="dxa"/>
            <w:tcBorders>
              <w:top w:val="nil"/>
              <w:left w:val="single" w:sz="4" w:space="0" w:color="auto"/>
              <w:bottom w:val="single" w:sz="4" w:space="0" w:color="auto"/>
              <w:right w:val="single" w:sz="4" w:space="0" w:color="auto"/>
            </w:tcBorders>
            <w:shd w:val="clear" w:color="auto" w:fill="auto"/>
            <w:noWrap/>
            <w:vAlign w:val="center"/>
          </w:tcPr>
          <w:p>
            <w:pPr>
              <w:widowControl/>
              <w:overflowPunct/>
              <w:spacing w:line="240" w:lineRule="auto"/>
              <w:ind w:firstLineChars="0" w:firstLine="361"/>
              <w:jc w:val="left"/>
              <w:rPr>
                <w:rFonts w:eastAsia="宋体" w:cs="宋体"/>
                <w:b/>
                <w:bCs/>
                <w:kern w:val="0"/>
                <w:sz w:val="18"/>
                <w:szCs w:val="18"/>
              </w:rPr>
            </w:pPr>
            <w:r>
              <w:rPr>
                <w:rFonts w:eastAsia="宋体" w:cs="宋体" w:hint="eastAsia"/>
                <w:b/>
                <w:bCs/>
                <w:kern w:val="0"/>
                <w:sz w:val="18"/>
                <w:szCs w:val="18"/>
              </w:rPr>
              <w:t>301</w:t>
            </w:r>
          </w:p>
        </w:tc>
        <w:tc>
          <w:tcPr>
            <w:tcW w:w="3121"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left"/>
              <w:rPr>
                <w:rFonts w:eastAsia="宋体" w:cs="宋体"/>
                <w:b/>
                <w:bCs/>
                <w:kern w:val="0"/>
                <w:sz w:val="18"/>
                <w:szCs w:val="18"/>
              </w:rPr>
            </w:pPr>
            <w:r>
              <w:rPr>
                <w:rFonts w:eastAsia="宋体" w:cs="宋体" w:hint="eastAsia"/>
                <w:b/>
                <w:bCs/>
                <w:kern w:val="0"/>
                <w:sz w:val="18"/>
                <w:szCs w:val="18"/>
              </w:rPr>
              <w:t>工资福利支出</w:t>
            </w:r>
          </w:p>
        </w:tc>
        <w:tc>
          <w:tcPr>
            <w:tcW w:w="2127"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right"/>
              <w:rPr>
                <w:rFonts w:cs="Calibri"/>
                <w:b/>
                <w:bCs/>
                <w:sz w:val="16"/>
                <w:szCs w:val="16"/>
              </w:rPr>
            </w:pPr>
            <w:r>
              <w:rPr>
                <w:rFonts w:cs="Calibri" w:hint="eastAsia"/>
                <w:b/>
                <w:bCs/>
                <w:color w:val="000000"/>
                <w:sz w:val="16"/>
                <w:szCs w:val="16"/>
              </w:rPr>
              <w:t>58,959.44</w:t>
            </w:r>
          </w:p>
        </w:tc>
        <w:tc>
          <w:tcPr>
            <w:tcW w:w="1986"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right"/>
              <w:rPr>
                <w:rFonts w:cs="Calibri"/>
                <w:b/>
                <w:bCs/>
                <w:sz w:val="16"/>
                <w:szCs w:val="16"/>
              </w:rPr>
            </w:pPr>
            <w:r>
              <w:rPr>
                <w:rFonts w:cs="Calibri" w:hint="eastAsia"/>
                <w:b/>
                <w:bCs/>
                <w:color w:val="000000"/>
                <w:sz w:val="16"/>
                <w:szCs w:val="16"/>
              </w:rPr>
              <w:t>58,959.44</w:t>
            </w:r>
          </w:p>
        </w:tc>
        <w:tc>
          <w:tcPr>
            <w:tcW w:w="1843"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right"/>
              <w:rPr>
                <w:rFonts w:eastAsia="宋体" w:cs="Times New Roman"/>
                <w:b/>
                <w:bCs/>
                <w:kern w:val="0"/>
                <w:sz w:val="18"/>
                <w:szCs w:val="18"/>
              </w:rPr>
            </w:pPr>
            <w:r>
              <w:rPr>
                <w:rFonts w:cs="Calibri" w:hint="eastAsia"/>
                <w:b/>
                <w:bCs/>
                <w:color w:val="000000"/>
                <w:sz w:val="16"/>
                <w:szCs w:val="16"/>
              </w:rPr>
              <w:t>　</w:t>
            </w:r>
          </w:p>
        </w:tc>
      </w:tr>
      <w:tr>
        <w:trPr>
          <w:trHeight w:val="340"/>
        </w:trPr>
        <w:tc>
          <w:tcPr>
            <w:tcW w:w="1066" w:type="dxa"/>
            <w:tcBorders>
              <w:top w:val="nil"/>
              <w:left w:val="single" w:sz="4" w:space="0" w:color="auto"/>
              <w:bottom w:val="single" w:sz="4" w:space="0" w:color="auto"/>
              <w:right w:val="single" w:sz="4" w:space="0" w:color="auto"/>
            </w:tcBorders>
            <w:shd w:val="clear" w:color="auto" w:fill="auto"/>
            <w:noWrap/>
            <w:vAlign w:val="center"/>
          </w:tcPr>
          <w:p>
            <w:pPr>
              <w:widowControl/>
              <w:overflowPunct/>
              <w:spacing w:line="240" w:lineRule="auto"/>
              <w:ind w:firstLineChars="0" w:firstLine="360"/>
              <w:jc w:val="left"/>
              <w:rPr>
                <w:rFonts w:eastAsia="宋体" w:cs="宋体"/>
                <w:kern w:val="0"/>
                <w:sz w:val="18"/>
                <w:szCs w:val="18"/>
              </w:rPr>
            </w:pPr>
            <w:r>
              <w:rPr>
                <w:rFonts w:cs="Calibri" w:hint="eastAsia"/>
                <w:color w:val="000000"/>
                <w:sz w:val="16"/>
                <w:szCs w:val="16"/>
              </w:rPr>
              <w:t>30101</w:t>
            </w:r>
          </w:p>
        </w:tc>
        <w:tc>
          <w:tcPr>
            <w:tcW w:w="3121"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0"/>
              <w:jc w:val="left"/>
              <w:rPr>
                <w:rFonts w:eastAsia="宋体" w:cs="宋体"/>
                <w:kern w:val="0"/>
                <w:sz w:val="18"/>
                <w:szCs w:val="18"/>
              </w:rPr>
            </w:pPr>
            <w:r>
              <w:rPr>
                <w:rFonts w:cs="Calibri" w:hint="eastAsia"/>
                <w:color w:val="000000"/>
                <w:sz w:val="16"/>
                <w:szCs w:val="16"/>
              </w:rPr>
              <w:t>基本工资</w:t>
            </w:r>
          </w:p>
        </w:tc>
        <w:tc>
          <w:tcPr>
            <w:tcW w:w="2127"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right"/>
              <w:rPr>
                <w:rFonts w:cs="Calibri"/>
                <w:bCs/>
                <w:sz w:val="16"/>
                <w:szCs w:val="16"/>
              </w:rPr>
            </w:pPr>
            <w:r>
              <w:rPr>
                <w:rFonts w:cs="Calibri" w:hint="eastAsia"/>
                <w:color w:val="000000"/>
                <w:sz w:val="16"/>
                <w:szCs w:val="16"/>
              </w:rPr>
              <w:t>16,040.50</w:t>
            </w:r>
          </w:p>
        </w:tc>
        <w:tc>
          <w:tcPr>
            <w:tcW w:w="1986"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right"/>
              <w:rPr>
                <w:rFonts w:cs="Calibri"/>
                <w:bCs/>
                <w:sz w:val="16"/>
                <w:szCs w:val="16"/>
              </w:rPr>
            </w:pPr>
            <w:r>
              <w:rPr>
                <w:rFonts w:cs="Calibri" w:hint="eastAsia"/>
                <w:color w:val="000000"/>
                <w:sz w:val="16"/>
                <w:szCs w:val="16"/>
              </w:rPr>
              <w:t>16,040.50</w:t>
            </w:r>
          </w:p>
        </w:tc>
        <w:tc>
          <w:tcPr>
            <w:tcW w:w="1843"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0"/>
              <w:jc w:val="right"/>
              <w:rPr>
                <w:rFonts w:eastAsia="宋体" w:cs="Times New Roman"/>
                <w:kern w:val="0"/>
                <w:sz w:val="18"/>
                <w:szCs w:val="18"/>
              </w:rPr>
            </w:pPr>
            <w:r>
              <w:rPr>
                <w:rFonts w:cs="Calibri" w:hint="eastAsia"/>
                <w:color w:val="000000"/>
                <w:sz w:val="16"/>
                <w:szCs w:val="16"/>
              </w:rPr>
              <w:t>　</w:t>
            </w:r>
          </w:p>
        </w:tc>
      </w:tr>
      <w:tr>
        <w:trPr>
          <w:trHeight w:val="340"/>
        </w:trPr>
        <w:tc>
          <w:tcPr>
            <w:tcW w:w="1066" w:type="dxa"/>
            <w:tcBorders>
              <w:top w:val="nil"/>
              <w:left w:val="single" w:sz="4" w:space="0" w:color="auto"/>
              <w:bottom w:val="single" w:sz="4" w:space="0" w:color="auto"/>
              <w:right w:val="single" w:sz="4" w:space="0" w:color="auto"/>
            </w:tcBorders>
            <w:shd w:val="clear" w:color="auto" w:fill="auto"/>
            <w:noWrap/>
            <w:vAlign w:val="center"/>
          </w:tcPr>
          <w:p>
            <w:pPr>
              <w:widowControl/>
              <w:overflowPunct/>
              <w:spacing w:line="240" w:lineRule="auto"/>
              <w:ind w:firstLineChars="0" w:firstLine="360"/>
              <w:jc w:val="left"/>
              <w:rPr>
                <w:rFonts w:eastAsia="宋体" w:cs="宋体"/>
                <w:kern w:val="0"/>
                <w:sz w:val="18"/>
                <w:szCs w:val="18"/>
              </w:rPr>
            </w:pPr>
            <w:r>
              <w:rPr>
                <w:rFonts w:cs="Calibri" w:hint="eastAsia"/>
                <w:color w:val="000000"/>
                <w:sz w:val="16"/>
                <w:szCs w:val="16"/>
              </w:rPr>
              <w:t>30102</w:t>
            </w:r>
          </w:p>
        </w:tc>
        <w:tc>
          <w:tcPr>
            <w:tcW w:w="3121"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0"/>
              <w:jc w:val="left"/>
              <w:rPr>
                <w:rFonts w:eastAsia="宋体" w:cs="宋体"/>
                <w:kern w:val="0"/>
                <w:sz w:val="18"/>
                <w:szCs w:val="18"/>
              </w:rPr>
            </w:pPr>
            <w:r>
              <w:rPr>
                <w:rFonts w:cs="Calibri" w:hint="eastAsia"/>
                <w:color w:val="000000"/>
                <w:sz w:val="16"/>
                <w:szCs w:val="16"/>
              </w:rPr>
              <w:t>津贴补贴</w:t>
            </w:r>
          </w:p>
        </w:tc>
        <w:tc>
          <w:tcPr>
            <w:tcW w:w="2127"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right"/>
              <w:rPr>
                <w:rFonts w:cs="Calibri"/>
                <w:bCs/>
                <w:sz w:val="16"/>
                <w:szCs w:val="16"/>
              </w:rPr>
            </w:pPr>
            <w:r>
              <w:rPr>
                <w:rFonts w:cs="Calibri" w:hint="eastAsia"/>
                <w:color w:val="000000"/>
                <w:sz w:val="16"/>
                <w:szCs w:val="16"/>
              </w:rPr>
              <w:t>24,375.06</w:t>
            </w:r>
          </w:p>
        </w:tc>
        <w:tc>
          <w:tcPr>
            <w:tcW w:w="1986"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right"/>
              <w:rPr>
                <w:rFonts w:cs="Calibri"/>
                <w:bCs/>
                <w:sz w:val="16"/>
                <w:szCs w:val="16"/>
              </w:rPr>
            </w:pPr>
            <w:r>
              <w:rPr>
                <w:rFonts w:cs="Calibri" w:hint="eastAsia"/>
                <w:color w:val="000000"/>
                <w:sz w:val="16"/>
                <w:szCs w:val="16"/>
              </w:rPr>
              <w:t>24,375.06</w:t>
            </w:r>
          </w:p>
        </w:tc>
        <w:tc>
          <w:tcPr>
            <w:tcW w:w="1843"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0"/>
              <w:jc w:val="right"/>
              <w:rPr>
                <w:rFonts w:eastAsia="宋体" w:cs="Times New Roman"/>
                <w:kern w:val="0"/>
                <w:sz w:val="18"/>
                <w:szCs w:val="18"/>
              </w:rPr>
            </w:pPr>
            <w:r>
              <w:rPr>
                <w:rFonts w:cs="Calibri" w:hint="eastAsia"/>
                <w:color w:val="000000"/>
                <w:sz w:val="16"/>
                <w:szCs w:val="16"/>
              </w:rPr>
              <w:t>　</w:t>
            </w:r>
          </w:p>
        </w:tc>
      </w:tr>
      <w:tr>
        <w:trPr>
          <w:trHeight w:val="340"/>
        </w:trPr>
        <w:tc>
          <w:tcPr>
            <w:tcW w:w="1066" w:type="dxa"/>
            <w:tcBorders>
              <w:top w:val="nil"/>
              <w:left w:val="single" w:sz="4" w:space="0" w:color="auto"/>
              <w:bottom w:val="single" w:sz="4" w:space="0" w:color="auto"/>
              <w:right w:val="single" w:sz="4" w:space="0" w:color="auto"/>
            </w:tcBorders>
            <w:shd w:val="clear" w:color="auto" w:fill="auto"/>
            <w:noWrap/>
            <w:vAlign w:val="center"/>
          </w:tcPr>
          <w:p>
            <w:pPr>
              <w:widowControl/>
              <w:overflowPunct/>
              <w:spacing w:line="240" w:lineRule="auto"/>
              <w:ind w:firstLineChars="0" w:firstLine="360"/>
              <w:jc w:val="left"/>
              <w:rPr>
                <w:rFonts w:eastAsia="宋体" w:cs="宋体"/>
                <w:kern w:val="0"/>
                <w:sz w:val="18"/>
                <w:szCs w:val="18"/>
              </w:rPr>
            </w:pPr>
            <w:r>
              <w:rPr>
                <w:rFonts w:cs="Calibri" w:hint="eastAsia"/>
                <w:color w:val="000000"/>
                <w:sz w:val="16"/>
                <w:szCs w:val="16"/>
              </w:rPr>
              <w:t>30103</w:t>
            </w:r>
          </w:p>
        </w:tc>
        <w:tc>
          <w:tcPr>
            <w:tcW w:w="3121"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0"/>
              <w:jc w:val="left"/>
              <w:rPr>
                <w:rFonts w:eastAsia="宋体" w:cs="宋体"/>
                <w:kern w:val="0"/>
                <w:sz w:val="18"/>
                <w:szCs w:val="18"/>
              </w:rPr>
            </w:pPr>
            <w:r>
              <w:rPr>
                <w:rFonts w:cs="Calibri" w:hint="eastAsia"/>
                <w:color w:val="000000"/>
                <w:sz w:val="16"/>
                <w:szCs w:val="16"/>
              </w:rPr>
              <w:t>奖金</w:t>
            </w:r>
          </w:p>
        </w:tc>
        <w:tc>
          <w:tcPr>
            <w:tcW w:w="2127"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right"/>
              <w:rPr>
                <w:rFonts w:cs="Calibri"/>
                <w:bCs/>
                <w:sz w:val="16"/>
                <w:szCs w:val="16"/>
              </w:rPr>
            </w:pPr>
            <w:r>
              <w:rPr>
                <w:rFonts w:cs="Calibri" w:hint="eastAsia"/>
                <w:color w:val="000000"/>
                <w:sz w:val="16"/>
                <w:szCs w:val="16"/>
              </w:rPr>
              <w:t>1,136.10</w:t>
            </w:r>
          </w:p>
        </w:tc>
        <w:tc>
          <w:tcPr>
            <w:tcW w:w="1986"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right"/>
              <w:rPr>
                <w:rFonts w:cs="Calibri"/>
                <w:bCs/>
                <w:sz w:val="16"/>
                <w:szCs w:val="16"/>
              </w:rPr>
            </w:pPr>
            <w:r>
              <w:rPr>
                <w:rFonts w:cs="Calibri" w:hint="eastAsia"/>
                <w:color w:val="000000"/>
                <w:sz w:val="16"/>
                <w:szCs w:val="16"/>
              </w:rPr>
              <w:t>1,136.10</w:t>
            </w:r>
          </w:p>
        </w:tc>
        <w:tc>
          <w:tcPr>
            <w:tcW w:w="1843"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0"/>
              <w:jc w:val="right"/>
              <w:rPr>
                <w:rFonts w:eastAsia="宋体" w:cs="Times New Roman"/>
                <w:kern w:val="0"/>
                <w:sz w:val="18"/>
                <w:szCs w:val="18"/>
              </w:rPr>
            </w:pPr>
            <w:r>
              <w:rPr>
                <w:rFonts w:cs="Calibri" w:hint="eastAsia"/>
                <w:color w:val="000000"/>
                <w:sz w:val="16"/>
                <w:szCs w:val="16"/>
              </w:rPr>
              <w:t>　</w:t>
            </w:r>
          </w:p>
        </w:tc>
      </w:tr>
      <w:tr>
        <w:trPr>
          <w:trHeight w:val="340"/>
        </w:trPr>
        <w:tc>
          <w:tcPr>
            <w:tcW w:w="1066" w:type="dxa"/>
            <w:tcBorders>
              <w:top w:val="nil"/>
              <w:left w:val="single" w:sz="4" w:space="0" w:color="auto"/>
              <w:bottom w:val="single" w:sz="4" w:space="0" w:color="auto"/>
              <w:right w:val="single" w:sz="4" w:space="0" w:color="auto"/>
            </w:tcBorders>
            <w:shd w:val="clear" w:color="auto" w:fill="auto"/>
            <w:noWrap/>
            <w:vAlign w:val="center"/>
          </w:tcPr>
          <w:p>
            <w:pPr>
              <w:widowControl/>
              <w:overflowPunct/>
              <w:spacing w:line="240" w:lineRule="auto"/>
              <w:ind w:firstLineChars="0" w:firstLine="360"/>
              <w:jc w:val="left"/>
              <w:rPr>
                <w:rFonts w:eastAsia="宋体" w:cs="宋体"/>
                <w:kern w:val="0"/>
                <w:sz w:val="18"/>
                <w:szCs w:val="18"/>
              </w:rPr>
            </w:pPr>
            <w:r>
              <w:rPr>
                <w:rFonts w:cs="Calibri" w:hint="eastAsia"/>
                <w:color w:val="000000"/>
                <w:sz w:val="16"/>
                <w:szCs w:val="16"/>
              </w:rPr>
              <w:t>30107</w:t>
            </w:r>
          </w:p>
        </w:tc>
        <w:tc>
          <w:tcPr>
            <w:tcW w:w="3121"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0"/>
              <w:jc w:val="left"/>
              <w:rPr>
                <w:rFonts w:eastAsia="宋体" w:cs="宋体"/>
                <w:kern w:val="0"/>
                <w:sz w:val="18"/>
                <w:szCs w:val="18"/>
              </w:rPr>
            </w:pPr>
            <w:r>
              <w:rPr>
                <w:rFonts w:cs="Calibri" w:hint="eastAsia"/>
                <w:color w:val="000000"/>
                <w:sz w:val="16"/>
                <w:szCs w:val="16"/>
              </w:rPr>
              <w:t>绩效工资</w:t>
            </w:r>
          </w:p>
        </w:tc>
        <w:tc>
          <w:tcPr>
            <w:tcW w:w="2127"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right"/>
              <w:rPr>
                <w:rFonts w:cs="Calibri"/>
                <w:bCs/>
                <w:sz w:val="16"/>
                <w:szCs w:val="16"/>
              </w:rPr>
            </w:pPr>
            <w:r>
              <w:rPr>
                <w:rFonts w:cs="Calibri" w:hint="eastAsia"/>
                <w:color w:val="000000"/>
                <w:sz w:val="16"/>
                <w:szCs w:val="16"/>
              </w:rPr>
              <w:t>811.09</w:t>
            </w:r>
          </w:p>
        </w:tc>
        <w:tc>
          <w:tcPr>
            <w:tcW w:w="1986"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right"/>
              <w:rPr>
                <w:rFonts w:cs="Calibri"/>
                <w:bCs/>
                <w:sz w:val="16"/>
                <w:szCs w:val="16"/>
              </w:rPr>
            </w:pPr>
            <w:r>
              <w:rPr>
                <w:rFonts w:cs="Calibri" w:hint="eastAsia"/>
                <w:color w:val="000000"/>
                <w:sz w:val="16"/>
                <w:szCs w:val="16"/>
              </w:rPr>
              <w:t>811.09</w:t>
            </w:r>
          </w:p>
        </w:tc>
        <w:tc>
          <w:tcPr>
            <w:tcW w:w="1843"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0"/>
              <w:jc w:val="right"/>
              <w:rPr>
                <w:rFonts w:eastAsia="宋体" w:cs="Times New Roman"/>
                <w:kern w:val="0"/>
                <w:sz w:val="18"/>
                <w:szCs w:val="18"/>
              </w:rPr>
            </w:pPr>
            <w:r>
              <w:rPr>
                <w:rFonts w:cs="Calibri" w:hint="eastAsia"/>
                <w:color w:val="000000"/>
                <w:sz w:val="16"/>
                <w:szCs w:val="16"/>
              </w:rPr>
              <w:t>　</w:t>
            </w:r>
          </w:p>
        </w:tc>
      </w:tr>
      <w:tr>
        <w:trPr>
          <w:trHeight w:val="340"/>
        </w:trPr>
        <w:tc>
          <w:tcPr>
            <w:tcW w:w="1066" w:type="dxa"/>
            <w:tcBorders>
              <w:top w:val="nil"/>
              <w:left w:val="single" w:sz="4" w:space="0" w:color="auto"/>
              <w:bottom w:val="single" w:sz="4" w:space="0" w:color="auto"/>
              <w:right w:val="single" w:sz="4" w:space="0" w:color="auto"/>
            </w:tcBorders>
            <w:shd w:val="clear" w:color="auto" w:fill="auto"/>
            <w:noWrap/>
            <w:vAlign w:val="center"/>
          </w:tcPr>
          <w:p>
            <w:pPr>
              <w:widowControl/>
              <w:overflowPunct/>
              <w:spacing w:line="240" w:lineRule="auto"/>
              <w:ind w:firstLineChars="0" w:firstLine="360"/>
              <w:jc w:val="left"/>
              <w:rPr>
                <w:rFonts w:eastAsia="宋体" w:cs="宋体"/>
                <w:kern w:val="0"/>
                <w:sz w:val="18"/>
                <w:szCs w:val="18"/>
              </w:rPr>
            </w:pPr>
            <w:r>
              <w:rPr>
                <w:rFonts w:cs="Calibri" w:hint="eastAsia"/>
                <w:color w:val="000000"/>
                <w:sz w:val="16"/>
                <w:szCs w:val="16"/>
              </w:rPr>
              <w:t>30108</w:t>
            </w:r>
          </w:p>
        </w:tc>
        <w:tc>
          <w:tcPr>
            <w:tcW w:w="3121"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0"/>
              <w:jc w:val="left"/>
              <w:rPr>
                <w:rFonts w:eastAsia="宋体" w:cs="宋体"/>
                <w:kern w:val="0"/>
                <w:sz w:val="18"/>
                <w:szCs w:val="18"/>
              </w:rPr>
            </w:pPr>
            <w:r>
              <w:rPr>
                <w:rFonts w:cs="Calibri" w:hint="eastAsia"/>
                <w:color w:val="000000"/>
                <w:sz w:val="16"/>
                <w:szCs w:val="16"/>
              </w:rPr>
              <w:t>机关事业单位基本养老保险缴费</w:t>
            </w:r>
          </w:p>
        </w:tc>
        <w:tc>
          <w:tcPr>
            <w:tcW w:w="2127"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right"/>
              <w:rPr>
                <w:rFonts w:cs="Calibri"/>
                <w:bCs/>
                <w:sz w:val="16"/>
                <w:szCs w:val="16"/>
              </w:rPr>
            </w:pPr>
            <w:r>
              <w:rPr>
                <w:rFonts w:cs="Calibri" w:hint="eastAsia"/>
                <w:color w:val="000000"/>
                <w:sz w:val="16"/>
                <w:szCs w:val="16"/>
              </w:rPr>
              <w:t>4,916.37</w:t>
            </w:r>
          </w:p>
        </w:tc>
        <w:tc>
          <w:tcPr>
            <w:tcW w:w="1986"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right"/>
              <w:rPr>
                <w:rFonts w:cs="Calibri"/>
                <w:bCs/>
                <w:sz w:val="16"/>
                <w:szCs w:val="16"/>
              </w:rPr>
            </w:pPr>
            <w:r>
              <w:rPr>
                <w:rFonts w:cs="Calibri" w:hint="eastAsia"/>
                <w:color w:val="000000"/>
                <w:sz w:val="16"/>
                <w:szCs w:val="16"/>
              </w:rPr>
              <w:t>4,916.37</w:t>
            </w:r>
          </w:p>
        </w:tc>
        <w:tc>
          <w:tcPr>
            <w:tcW w:w="1843"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0"/>
              <w:jc w:val="right"/>
              <w:rPr>
                <w:rFonts w:eastAsia="宋体" w:cs="Times New Roman"/>
                <w:kern w:val="0"/>
                <w:sz w:val="18"/>
                <w:szCs w:val="18"/>
              </w:rPr>
            </w:pPr>
            <w:r>
              <w:rPr>
                <w:rFonts w:cs="Calibri" w:hint="eastAsia"/>
                <w:color w:val="000000"/>
                <w:sz w:val="16"/>
                <w:szCs w:val="16"/>
              </w:rPr>
              <w:t>　</w:t>
            </w:r>
          </w:p>
        </w:tc>
      </w:tr>
      <w:tr>
        <w:trPr>
          <w:trHeight w:val="340"/>
        </w:trPr>
        <w:tc>
          <w:tcPr>
            <w:tcW w:w="1066" w:type="dxa"/>
            <w:tcBorders>
              <w:top w:val="nil"/>
              <w:left w:val="single" w:sz="4" w:space="0" w:color="auto"/>
              <w:bottom w:val="single" w:sz="4" w:space="0" w:color="auto"/>
              <w:right w:val="single" w:sz="4" w:space="0" w:color="auto"/>
            </w:tcBorders>
            <w:shd w:val="clear" w:color="auto" w:fill="auto"/>
            <w:noWrap/>
            <w:vAlign w:val="center"/>
          </w:tcPr>
          <w:p>
            <w:pPr>
              <w:widowControl/>
              <w:overflowPunct/>
              <w:spacing w:line="240" w:lineRule="auto"/>
              <w:ind w:firstLineChars="0" w:firstLine="360"/>
              <w:jc w:val="left"/>
              <w:rPr>
                <w:rFonts w:eastAsia="宋体" w:cs="宋体"/>
                <w:kern w:val="0"/>
                <w:sz w:val="18"/>
                <w:szCs w:val="18"/>
              </w:rPr>
            </w:pPr>
            <w:r>
              <w:rPr>
                <w:rFonts w:cs="Calibri" w:hint="eastAsia"/>
                <w:color w:val="000000"/>
                <w:sz w:val="16"/>
                <w:szCs w:val="16"/>
              </w:rPr>
              <w:t>30109</w:t>
            </w:r>
          </w:p>
        </w:tc>
        <w:tc>
          <w:tcPr>
            <w:tcW w:w="3121"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0"/>
              <w:jc w:val="left"/>
              <w:rPr>
                <w:rFonts w:eastAsia="宋体" w:cs="宋体"/>
                <w:kern w:val="0"/>
                <w:sz w:val="18"/>
                <w:szCs w:val="18"/>
              </w:rPr>
            </w:pPr>
            <w:r>
              <w:rPr>
                <w:rFonts w:cs="Calibri" w:hint="eastAsia"/>
                <w:color w:val="000000"/>
                <w:sz w:val="16"/>
                <w:szCs w:val="16"/>
              </w:rPr>
              <w:t>职业年金缴费</w:t>
            </w:r>
          </w:p>
        </w:tc>
        <w:tc>
          <w:tcPr>
            <w:tcW w:w="2127"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right"/>
              <w:rPr>
                <w:rFonts w:cs="Calibri"/>
                <w:bCs/>
                <w:sz w:val="16"/>
                <w:szCs w:val="16"/>
              </w:rPr>
            </w:pPr>
            <w:r>
              <w:rPr>
                <w:rFonts w:cs="Calibri" w:hint="eastAsia"/>
                <w:color w:val="000000"/>
                <w:sz w:val="16"/>
                <w:szCs w:val="16"/>
              </w:rPr>
              <w:t>2,447.96</w:t>
            </w:r>
          </w:p>
        </w:tc>
        <w:tc>
          <w:tcPr>
            <w:tcW w:w="1986"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right"/>
              <w:rPr>
                <w:rFonts w:cs="Calibri"/>
                <w:bCs/>
                <w:sz w:val="16"/>
                <w:szCs w:val="16"/>
              </w:rPr>
            </w:pPr>
            <w:r>
              <w:rPr>
                <w:rFonts w:cs="Calibri" w:hint="eastAsia"/>
                <w:color w:val="000000"/>
                <w:sz w:val="16"/>
                <w:szCs w:val="16"/>
              </w:rPr>
              <w:t>2,447.96</w:t>
            </w:r>
          </w:p>
        </w:tc>
        <w:tc>
          <w:tcPr>
            <w:tcW w:w="1843"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0"/>
              <w:jc w:val="right"/>
              <w:rPr>
                <w:rFonts w:eastAsia="宋体" w:cs="Times New Roman"/>
                <w:kern w:val="0"/>
                <w:sz w:val="18"/>
                <w:szCs w:val="18"/>
              </w:rPr>
            </w:pPr>
            <w:r>
              <w:rPr>
                <w:rFonts w:cs="Calibri" w:hint="eastAsia"/>
                <w:color w:val="000000"/>
                <w:sz w:val="16"/>
                <w:szCs w:val="16"/>
              </w:rPr>
              <w:t>　</w:t>
            </w:r>
          </w:p>
        </w:tc>
      </w:tr>
      <w:tr>
        <w:trPr>
          <w:trHeight w:val="340"/>
        </w:trPr>
        <w:tc>
          <w:tcPr>
            <w:tcW w:w="1066" w:type="dxa"/>
            <w:tcBorders>
              <w:top w:val="nil"/>
              <w:left w:val="single" w:sz="4" w:space="0" w:color="auto"/>
              <w:bottom w:val="single" w:sz="4" w:space="0" w:color="auto"/>
              <w:right w:val="single" w:sz="4" w:space="0" w:color="auto"/>
            </w:tcBorders>
            <w:shd w:val="clear" w:color="auto" w:fill="auto"/>
            <w:noWrap/>
            <w:vAlign w:val="center"/>
          </w:tcPr>
          <w:p>
            <w:pPr>
              <w:widowControl/>
              <w:overflowPunct/>
              <w:spacing w:line="240" w:lineRule="auto"/>
              <w:ind w:firstLineChars="0" w:firstLine="360"/>
              <w:jc w:val="left"/>
              <w:rPr>
                <w:rFonts w:eastAsia="宋体" w:cs="宋体"/>
                <w:kern w:val="0"/>
                <w:sz w:val="18"/>
                <w:szCs w:val="18"/>
              </w:rPr>
            </w:pPr>
            <w:r>
              <w:rPr>
                <w:rFonts w:cs="Calibri" w:hint="eastAsia"/>
                <w:color w:val="000000"/>
                <w:sz w:val="16"/>
                <w:szCs w:val="16"/>
              </w:rPr>
              <w:t>30110</w:t>
            </w:r>
          </w:p>
        </w:tc>
        <w:tc>
          <w:tcPr>
            <w:tcW w:w="3121"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0"/>
              <w:jc w:val="left"/>
              <w:rPr>
                <w:rFonts w:eastAsia="宋体" w:cs="宋体"/>
                <w:kern w:val="0"/>
                <w:sz w:val="18"/>
                <w:szCs w:val="18"/>
              </w:rPr>
            </w:pPr>
            <w:r>
              <w:rPr>
                <w:rFonts w:cs="Calibri" w:hint="eastAsia"/>
                <w:color w:val="000000"/>
                <w:sz w:val="16"/>
                <w:szCs w:val="16"/>
              </w:rPr>
              <w:t>职工基本医疗保险缴费</w:t>
            </w:r>
          </w:p>
        </w:tc>
        <w:tc>
          <w:tcPr>
            <w:tcW w:w="2127"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right"/>
              <w:rPr>
                <w:rFonts w:cs="Calibri"/>
                <w:bCs/>
                <w:sz w:val="16"/>
                <w:szCs w:val="16"/>
              </w:rPr>
            </w:pPr>
            <w:r>
              <w:rPr>
                <w:rFonts w:cs="Calibri" w:hint="eastAsia"/>
                <w:color w:val="000000"/>
                <w:sz w:val="16"/>
                <w:szCs w:val="16"/>
              </w:rPr>
              <w:t>2,414.74</w:t>
            </w:r>
          </w:p>
        </w:tc>
        <w:tc>
          <w:tcPr>
            <w:tcW w:w="1986"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right"/>
              <w:rPr>
                <w:rFonts w:cs="Calibri"/>
                <w:bCs/>
                <w:sz w:val="16"/>
                <w:szCs w:val="16"/>
              </w:rPr>
            </w:pPr>
            <w:r>
              <w:rPr>
                <w:rFonts w:cs="Calibri" w:hint="eastAsia"/>
                <w:color w:val="000000"/>
                <w:sz w:val="16"/>
                <w:szCs w:val="16"/>
              </w:rPr>
              <w:t>2,414.74</w:t>
            </w:r>
          </w:p>
        </w:tc>
        <w:tc>
          <w:tcPr>
            <w:tcW w:w="1843"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0"/>
              <w:jc w:val="right"/>
              <w:rPr>
                <w:rFonts w:eastAsia="宋体" w:cs="Times New Roman"/>
                <w:kern w:val="0"/>
                <w:sz w:val="18"/>
                <w:szCs w:val="18"/>
              </w:rPr>
            </w:pPr>
            <w:r>
              <w:rPr>
                <w:rFonts w:cs="Calibri" w:hint="eastAsia"/>
                <w:color w:val="000000"/>
                <w:sz w:val="16"/>
                <w:szCs w:val="16"/>
              </w:rPr>
              <w:t>　</w:t>
            </w:r>
          </w:p>
        </w:tc>
      </w:tr>
      <w:tr>
        <w:trPr>
          <w:trHeight w:val="340"/>
        </w:trPr>
        <w:tc>
          <w:tcPr>
            <w:tcW w:w="1066" w:type="dxa"/>
            <w:tcBorders>
              <w:top w:val="nil"/>
              <w:left w:val="single" w:sz="4" w:space="0" w:color="auto"/>
              <w:bottom w:val="single" w:sz="4" w:space="0" w:color="auto"/>
              <w:right w:val="single" w:sz="4" w:space="0" w:color="auto"/>
            </w:tcBorders>
            <w:shd w:val="clear" w:color="auto" w:fill="auto"/>
            <w:noWrap/>
            <w:vAlign w:val="center"/>
          </w:tcPr>
          <w:p>
            <w:pPr>
              <w:widowControl/>
              <w:overflowPunct/>
              <w:spacing w:line="240" w:lineRule="auto"/>
              <w:ind w:firstLineChars="0" w:firstLine="360"/>
              <w:jc w:val="left"/>
              <w:rPr>
                <w:rFonts w:eastAsia="宋体" w:cs="宋体"/>
                <w:kern w:val="0"/>
                <w:sz w:val="18"/>
                <w:szCs w:val="18"/>
              </w:rPr>
            </w:pPr>
            <w:r>
              <w:rPr>
                <w:rFonts w:cs="Calibri" w:hint="eastAsia"/>
                <w:color w:val="000000"/>
                <w:sz w:val="16"/>
                <w:szCs w:val="16"/>
              </w:rPr>
              <w:t>30111</w:t>
            </w:r>
          </w:p>
        </w:tc>
        <w:tc>
          <w:tcPr>
            <w:tcW w:w="3121"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0"/>
              <w:jc w:val="left"/>
              <w:rPr>
                <w:rFonts w:eastAsia="宋体" w:cs="宋体"/>
                <w:kern w:val="0"/>
                <w:sz w:val="18"/>
                <w:szCs w:val="18"/>
              </w:rPr>
            </w:pPr>
            <w:r>
              <w:rPr>
                <w:rFonts w:cs="Calibri" w:hint="eastAsia"/>
                <w:color w:val="000000"/>
                <w:sz w:val="16"/>
                <w:szCs w:val="16"/>
              </w:rPr>
              <w:t>公务员医疗补助缴费</w:t>
            </w:r>
          </w:p>
        </w:tc>
        <w:tc>
          <w:tcPr>
            <w:tcW w:w="2127"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right"/>
              <w:rPr>
                <w:rFonts w:cs="Calibri"/>
                <w:bCs/>
                <w:sz w:val="16"/>
                <w:szCs w:val="16"/>
              </w:rPr>
            </w:pPr>
            <w:r>
              <w:rPr>
                <w:rFonts w:cs="Calibri" w:hint="eastAsia"/>
                <w:color w:val="000000"/>
                <w:sz w:val="16"/>
                <w:szCs w:val="16"/>
              </w:rPr>
              <w:t>1,732.00</w:t>
            </w:r>
          </w:p>
        </w:tc>
        <w:tc>
          <w:tcPr>
            <w:tcW w:w="1986"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right"/>
              <w:rPr>
                <w:rFonts w:cs="Calibri"/>
                <w:bCs/>
                <w:sz w:val="16"/>
                <w:szCs w:val="16"/>
              </w:rPr>
            </w:pPr>
            <w:r>
              <w:rPr>
                <w:rFonts w:cs="Calibri" w:hint="eastAsia"/>
                <w:color w:val="000000"/>
                <w:sz w:val="16"/>
                <w:szCs w:val="16"/>
              </w:rPr>
              <w:t>1,732.00</w:t>
            </w:r>
          </w:p>
        </w:tc>
        <w:tc>
          <w:tcPr>
            <w:tcW w:w="1843"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0"/>
              <w:jc w:val="right"/>
              <w:rPr>
                <w:rFonts w:eastAsia="宋体" w:cs="Times New Roman"/>
                <w:kern w:val="0"/>
                <w:sz w:val="18"/>
                <w:szCs w:val="18"/>
              </w:rPr>
            </w:pPr>
            <w:r>
              <w:rPr>
                <w:rFonts w:cs="Calibri" w:hint="eastAsia"/>
                <w:color w:val="000000"/>
                <w:sz w:val="16"/>
                <w:szCs w:val="16"/>
              </w:rPr>
              <w:t>　</w:t>
            </w:r>
          </w:p>
        </w:tc>
      </w:tr>
      <w:tr>
        <w:trPr>
          <w:trHeight w:val="340"/>
        </w:trPr>
        <w:tc>
          <w:tcPr>
            <w:tcW w:w="1066" w:type="dxa"/>
            <w:tcBorders>
              <w:top w:val="nil"/>
              <w:left w:val="single" w:sz="4" w:space="0" w:color="auto"/>
              <w:bottom w:val="single" w:sz="4" w:space="0" w:color="auto"/>
              <w:right w:val="single" w:sz="4" w:space="0" w:color="auto"/>
            </w:tcBorders>
            <w:shd w:val="clear" w:color="auto" w:fill="auto"/>
            <w:noWrap/>
            <w:vAlign w:val="center"/>
          </w:tcPr>
          <w:p>
            <w:pPr>
              <w:widowControl/>
              <w:overflowPunct/>
              <w:spacing w:line="240" w:lineRule="auto"/>
              <w:ind w:firstLineChars="0" w:firstLine="360"/>
              <w:jc w:val="left"/>
              <w:rPr>
                <w:rFonts w:eastAsia="宋体" w:cs="宋体"/>
                <w:kern w:val="0"/>
                <w:sz w:val="18"/>
                <w:szCs w:val="18"/>
              </w:rPr>
            </w:pPr>
            <w:r>
              <w:rPr>
                <w:rFonts w:cs="Calibri" w:hint="eastAsia"/>
                <w:color w:val="000000"/>
                <w:sz w:val="16"/>
                <w:szCs w:val="16"/>
              </w:rPr>
              <w:t>30112</w:t>
            </w:r>
          </w:p>
        </w:tc>
        <w:tc>
          <w:tcPr>
            <w:tcW w:w="3121"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0"/>
              <w:jc w:val="left"/>
              <w:rPr>
                <w:rFonts w:eastAsia="宋体" w:cs="宋体"/>
                <w:kern w:val="0"/>
                <w:sz w:val="18"/>
                <w:szCs w:val="18"/>
              </w:rPr>
            </w:pPr>
            <w:r>
              <w:rPr>
                <w:rFonts w:cs="Calibri" w:hint="eastAsia"/>
                <w:color w:val="000000"/>
                <w:sz w:val="16"/>
                <w:szCs w:val="16"/>
              </w:rPr>
              <w:t>其他社会保障缴费</w:t>
            </w:r>
          </w:p>
        </w:tc>
        <w:tc>
          <w:tcPr>
            <w:tcW w:w="2127"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right"/>
              <w:rPr>
                <w:rFonts w:cs="Calibri"/>
                <w:bCs/>
                <w:sz w:val="16"/>
                <w:szCs w:val="16"/>
              </w:rPr>
            </w:pPr>
            <w:r>
              <w:rPr>
                <w:rFonts w:cs="Calibri" w:hint="eastAsia"/>
                <w:color w:val="000000"/>
                <w:sz w:val="16"/>
                <w:szCs w:val="16"/>
              </w:rPr>
              <w:t>112.10</w:t>
            </w:r>
          </w:p>
        </w:tc>
        <w:tc>
          <w:tcPr>
            <w:tcW w:w="1986"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right"/>
              <w:rPr>
                <w:rFonts w:cs="Calibri"/>
                <w:bCs/>
                <w:sz w:val="16"/>
                <w:szCs w:val="16"/>
              </w:rPr>
            </w:pPr>
            <w:r>
              <w:rPr>
                <w:rFonts w:cs="Calibri" w:hint="eastAsia"/>
                <w:color w:val="000000"/>
                <w:sz w:val="16"/>
                <w:szCs w:val="16"/>
              </w:rPr>
              <w:t>112.10</w:t>
            </w:r>
          </w:p>
        </w:tc>
        <w:tc>
          <w:tcPr>
            <w:tcW w:w="1843"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0"/>
              <w:jc w:val="right"/>
              <w:rPr>
                <w:rFonts w:eastAsia="宋体" w:cs="Times New Roman"/>
                <w:kern w:val="0"/>
                <w:sz w:val="18"/>
                <w:szCs w:val="18"/>
              </w:rPr>
            </w:pPr>
            <w:r>
              <w:rPr>
                <w:rFonts w:cs="Calibri" w:hint="eastAsia"/>
                <w:color w:val="000000"/>
                <w:sz w:val="16"/>
                <w:szCs w:val="16"/>
              </w:rPr>
              <w:t>　</w:t>
            </w:r>
          </w:p>
        </w:tc>
      </w:tr>
      <w:tr>
        <w:trPr>
          <w:trHeight w:val="340"/>
        </w:trPr>
        <w:tc>
          <w:tcPr>
            <w:tcW w:w="1066" w:type="dxa"/>
            <w:tcBorders>
              <w:top w:val="nil"/>
              <w:left w:val="single" w:sz="4" w:space="0" w:color="auto"/>
              <w:bottom w:val="single" w:sz="4" w:space="0" w:color="auto"/>
              <w:right w:val="single" w:sz="4" w:space="0" w:color="auto"/>
            </w:tcBorders>
            <w:shd w:val="clear" w:color="auto" w:fill="auto"/>
            <w:noWrap/>
            <w:vAlign w:val="center"/>
          </w:tcPr>
          <w:p>
            <w:pPr>
              <w:widowControl/>
              <w:overflowPunct/>
              <w:spacing w:line="240" w:lineRule="auto"/>
              <w:ind w:firstLineChars="0" w:firstLine="360"/>
              <w:jc w:val="left"/>
              <w:rPr>
                <w:rFonts w:eastAsia="宋体" w:cs="宋体"/>
                <w:kern w:val="0"/>
                <w:sz w:val="18"/>
                <w:szCs w:val="18"/>
              </w:rPr>
            </w:pPr>
            <w:r>
              <w:rPr>
                <w:rFonts w:cs="Calibri" w:hint="eastAsia"/>
                <w:color w:val="000000"/>
                <w:sz w:val="16"/>
                <w:szCs w:val="16"/>
              </w:rPr>
              <w:t>30113</w:t>
            </w:r>
          </w:p>
        </w:tc>
        <w:tc>
          <w:tcPr>
            <w:tcW w:w="3121"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0"/>
              <w:jc w:val="left"/>
              <w:rPr>
                <w:rFonts w:eastAsia="宋体" w:cs="宋体"/>
                <w:kern w:val="0"/>
                <w:sz w:val="18"/>
                <w:szCs w:val="18"/>
              </w:rPr>
            </w:pPr>
            <w:r>
              <w:rPr>
                <w:rFonts w:cs="Calibri" w:hint="eastAsia"/>
                <w:color w:val="000000"/>
                <w:sz w:val="16"/>
                <w:szCs w:val="16"/>
              </w:rPr>
              <w:t>住房公积金</w:t>
            </w:r>
          </w:p>
        </w:tc>
        <w:tc>
          <w:tcPr>
            <w:tcW w:w="2127"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right"/>
              <w:rPr>
                <w:rFonts w:cs="Calibri"/>
                <w:bCs/>
                <w:sz w:val="16"/>
                <w:szCs w:val="16"/>
              </w:rPr>
            </w:pPr>
            <w:r>
              <w:rPr>
                <w:rFonts w:cs="Calibri" w:hint="eastAsia"/>
                <w:color w:val="000000"/>
                <w:sz w:val="16"/>
                <w:szCs w:val="16"/>
              </w:rPr>
              <w:t>4,919.33</w:t>
            </w:r>
          </w:p>
        </w:tc>
        <w:tc>
          <w:tcPr>
            <w:tcW w:w="1986"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right"/>
              <w:rPr>
                <w:rFonts w:cs="Calibri"/>
                <w:bCs/>
                <w:sz w:val="16"/>
                <w:szCs w:val="16"/>
              </w:rPr>
            </w:pPr>
            <w:r>
              <w:rPr>
                <w:rFonts w:cs="Calibri" w:hint="eastAsia"/>
                <w:color w:val="000000"/>
                <w:sz w:val="16"/>
                <w:szCs w:val="16"/>
              </w:rPr>
              <w:t>4,919.33</w:t>
            </w:r>
          </w:p>
        </w:tc>
        <w:tc>
          <w:tcPr>
            <w:tcW w:w="1843"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0"/>
              <w:jc w:val="right"/>
              <w:rPr>
                <w:rFonts w:eastAsia="宋体" w:cs="Times New Roman"/>
                <w:kern w:val="0"/>
                <w:sz w:val="18"/>
                <w:szCs w:val="18"/>
              </w:rPr>
            </w:pPr>
            <w:r>
              <w:rPr>
                <w:rFonts w:cs="Calibri" w:hint="eastAsia"/>
                <w:color w:val="000000"/>
                <w:sz w:val="16"/>
                <w:szCs w:val="16"/>
              </w:rPr>
              <w:t>　</w:t>
            </w:r>
          </w:p>
        </w:tc>
      </w:tr>
      <w:tr>
        <w:trPr>
          <w:trHeight w:val="340"/>
        </w:trPr>
        <w:tc>
          <w:tcPr>
            <w:tcW w:w="1066" w:type="dxa"/>
            <w:tcBorders>
              <w:top w:val="nil"/>
              <w:left w:val="single" w:sz="4" w:space="0" w:color="auto"/>
              <w:bottom w:val="single" w:sz="4" w:space="0" w:color="auto"/>
              <w:right w:val="single" w:sz="4" w:space="0" w:color="auto"/>
            </w:tcBorders>
            <w:shd w:val="clear" w:color="auto" w:fill="auto"/>
            <w:noWrap/>
            <w:vAlign w:val="center"/>
          </w:tcPr>
          <w:p>
            <w:pPr>
              <w:widowControl/>
              <w:overflowPunct/>
              <w:spacing w:line="240" w:lineRule="auto"/>
              <w:ind w:firstLineChars="0" w:firstLine="360"/>
              <w:jc w:val="left"/>
              <w:rPr>
                <w:rFonts w:eastAsia="宋体" w:cs="宋体"/>
                <w:kern w:val="0"/>
                <w:sz w:val="18"/>
                <w:szCs w:val="18"/>
              </w:rPr>
            </w:pPr>
            <w:r>
              <w:rPr>
                <w:rFonts w:cs="Calibri" w:hint="eastAsia"/>
                <w:color w:val="000000"/>
                <w:sz w:val="16"/>
                <w:szCs w:val="16"/>
              </w:rPr>
              <w:t>30199</w:t>
            </w:r>
          </w:p>
        </w:tc>
        <w:tc>
          <w:tcPr>
            <w:tcW w:w="3121"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0"/>
              <w:jc w:val="left"/>
              <w:rPr>
                <w:rFonts w:eastAsia="宋体" w:cs="宋体"/>
                <w:kern w:val="0"/>
                <w:sz w:val="18"/>
                <w:szCs w:val="18"/>
              </w:rPr>
            </w:pPr>
            <w:r>
              <w:rPr>
                <w:rFonts w:cs="Calibri" w:hint="eastAsia"/>
                <w:color w:val="000000"/>
                <w:sz w:val="16"/>
                <w:szCs w:val="16"/>
              </w:rPr>
              <w:t>其他工资福利支出</w:t>
            </w:r>
          </w:p>
        </w:tc>
        <w:tc>
          <w:tcPr>
            <w:tcW w:w="2127"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right"/>
              <w:rPr>
                <w:rFonts w:cs="Calibri"/>
                <w:bCs/>
                <w:sz w:val="16"/>
                <w:szCs w:val="16"/>
              </w:rPr>
            </w:pPr>
            <w:r>
              <w:rPr>
                <w:rFonts w:cs="Calibri" w:hint="eastAsia"/>
                <w:color w:val="000000"/>
                <w:sz w:val="16"/>
                <w:szCs w:val="16"/>
              </w:rPr>
              <w:t>54.19</w:t>
            </w:r>
          </w:p>
        </w:tc>
        <w:tc>
          <w:tcPr>
            <w:tcW w:w="1986"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right"/>
              <w:rPr>
                <w:rFonts w:cs="Calibri"/>
                <w:bCs/>
                <w:sz w:val="16"/>
                <w:szCs w:val="16"/>
              </w:rPr>
            </w:pPr>
            <w:r>
              <w:rPr>
                <w:rFonts w:cs="Calibri" w:hint="eastAsia"/>
                <w:color w:val="000000"/>
                <w:sz w:val="16"/>
                <w:szCs w:val="16"/>
              </w:rPr>
              <w:t>54.19</w:t>
            </w:r>
          </w:p>
        </w:tc>
        <w:tc>
          <w:tcPr>
            <w:tcW w:w="1843"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0"/>
              <w:jc w:val="right"/>
              <w:rPr>
                <w:rFonts w:eastAsia="宋体" w:cs="Times New Roman"/>
                <w:kern w:val="0"/>
                <w:sz w:val="18"/>
                <w:szCs w:val="18"/>
              </w:rPr>
            </w:pPr>
            <w:r>
              <w:rPr>
                <w:rFonts w:cs="Calibri" w:hint="eastAsia"/>
                <w:color w:val="000000"/>
                <w:sz w:val="16"/>
                <w:szCs w:val="16"/>
              </w:rPr>
              <w:t>　</w:t>
            </w:r>
          </w:p>
        </w:tc>
      </w:tr>
      <w:tr>
        <w:trPr>
          <w:trHeight w:val="340"/>
        </w:trPr>
        <w:tc>
          <w:tcPr>
            <w:tcW w:w="1066" w:type="dxa"/>
            <w:tcBorders>
              <w:top w:val="nil"/>
              <w:left w:val="single" w:sz="4" w:space="0" w:color="auto"/>
              <w:bottom w:val="single" w:sz="4" w:space="0" w:color="auto"/>
              <w:right w:val="single" w:sz="4" w:space="0" w:color="auto"/>
            </w:tcBorders>
            <w:shd w:val="clear" w:color="auto" w:fill="auto"/>
            <w:noWrap/>
            <w:vAlign w:val="center"/>
          </w:tcPr>
          <w:p>
            <w:pPr>
              <w:widowControl/>
              <w:overflowPunct/>
              <w:spacing w:line="240" w:lineRule="auto"/>
              <w:ind w:firstLineChars="0" w:firstLine="361"/>
              <w:jc w:val="left"/>
              <w:rPr>
                <w:rFonts w:eastAsia="宋体" w:cs="宋体"/>
                <w:b/>
                <w:bCs/>
                <w:kern w:val="0"/>
                <w:sz w:val="18"/>
                <w:szCs w:val="18"/>
              </w:rPr>
            </w:pPr>
            <w:r>
              <w:rPr>
                <w:rFonts w:eastAsia="宋体" w:cs="宋体" w:hint="eastAsia"/>
                <w:b/>
                <w:bCs/>
                <w:kern w:val="0"/>
                <w:sz w:val="18"/>
                <w:szCs w:val="18"/>
              </w:rPr>
              <w:t>302</w:t>
            </w:r>
          </w:p>
        </w:tc>
        <w:tc>
          <w:tcPr>
            <w:tcW w:w="3121"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left"/>
              <w:rPr>
                <w:rFonts w:eastAsia="宋体" w:cs="宋体"/>
                <w:b/>
                <w:bCs/>
                <w:kern w:val="0"/>
                <w:sz w:val="18"/>
                <w:szCs w:val="18"/>
              </w:rPr>
            </w:pPr>
            <w:r>
              <w:rPr>
                <w:rFonts w:eastAsia="宋体" w:cs="宋体" w:hint="eastAsia"/>
                <w:b/>
                <w:bCs/>
                <w:kern w:val="0"/>
                <w:sz w:val="18"/>
                <w:szCs w:val="18"/>
              </w:rPr>
              <w:t>商品和服务支出</w:t>
            </w:r>
          </w:p>
        </w:tc>
        <w:tc>
          <w:tcPr>
            <w:tcW w:w="2127"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right"/>
              <w:rPr>
                <w:rFonts w:cs="Calibri"/>
                <w:b/>
                <w:bCs/>
                <w:sz w:val="16"/>
                <w:szCs w:val="16"/>
              </w:rPr>
            </w:pPr>
            <w:r>
              <w:rPr>
                <w:rFonts w:cs="Calibri" w:hint="eastAsia"/>
                <w:b/>
                <w:bCs/>
                <w:color w:val="000000"/>
                <w:sz w:val="16"/>
                <w:szCs w:val="16"/>
              </w:rPr>
              <w:t>17,113.44</w:t>
            </w:r>
          </w:p>
        </w:tc>
        <w:tc>
          <w:tcPr>
            <w:tcW w:w="1986"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right"/>
              <w:rPr>
                <w:rFonts w:cs="Calibri"/>
                <w:b/>
                <w:bCs/>
                <w:sz w:val="16"/>
                <w:szCs w:val="16"/>
              </w:rPr>
            </w:pPr>
            <w:r>
              <w:rPr>
                <w:rFonts w:cs="Calibri" w:hint="eastAsia"/>
                <w:b/>
                <w:bCs/>
                <w:color w:val="000000"/>
                <w:sz w:val="16"/>
                <w:szCs w:val="16"/>
              </w:rPr>
              <w:t>　</w:t>
            </w:r>
          </w:p>
        </w:tc>
        <w:tc>
          <w:tcPr>
            <w:tcW w:w="1843"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right"/>
              <w:rPr>
                <w:rFonts w:cs="Calibri"/>
                <w:b/>
                <w:bCs/>
                <w:sz w:val="16"/>
                <w:szCs w:val="16"/>
              </w:rPr>
            </w:pPr>
            <w:r>
              <w:rPr>
                <w:rFonts w:cs="Calibri" w:hint="eastAsia"/>
                <w:b/>
                <w:bCs/>
                <w:color w:val="000000"/>
                <w:sz w:val="16"/>
                <w:szCs w:val="16"/>
              </w:rPr>
              <w:t>17,113.44</w:t>
            </w:r>
          </w:p>
        </w:tc>
      </w:tr>
      <w:tr>
        <w:trPr>
          <w:trHeight w:val="340"/>
        </w:trPr>
        <w:tc>
          <w:tcPr>
            <w:tcW w:w="1066" w:type="dxa"/>
            <w:tcBorders>
              <w:top w:val="nil"/>
              <w:left w:val="single" w:sz="4" w:space="0" w:color="auto"/>
              <w:bottom w:val="single" w:sz="4" w:space="0" w:color="auto"/>
              <w:right w:val="single" w:sz="4" w:space="0" w:color="auto"/>
            </w:tcBorders>
            <w:shd w:val="clear" w:color="auto" w:fill="auto"/>
            <w:noWrap/>
            <w:vAlign w:val="center"/>
          </w:tcPr>
          <w:p>
            <w:pPr>
              <w:widowControl/>
              <w:overflowPunct/>
              <w:spacing w:line="240" w:lineRule="auto"/>
              <w:ind w:firstLineChars="0" w:firstLine="360"/>
              <w:jc w:val="left"/>
              <w:rPr>
                <w:rFonts w:eastAsia="宋体" w:cs="宋体"/>
                <w:kern w:val="0"/>
                <w:sz w:val="18"/>
                <w:szCs w:val="18"/>
              </w:rPr>
            </w:pPr>
            <w:r>
              <w:rPr>
                <w:rFonts w:cs="Calibri" w:hint="eastAsia"/>
                <w:color w:val="000000"/>
                <w:sz w:val="16"/>
                <w:szCs w:val="16"/>
              </w:rPr>
              <w:t>30201</w:t>
            </w:r>
          </w:p>
        </w:tc>
        <w:tc>
          <w:tcPr>
            <w:tcW w:w="3121"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0"/>
              <w:jc w:val="left"/>
              <w:rPr>
                <w:rFonts w:eastAsia="宋体" w:cs="宋体"/>
                <w:kern w:val="0"/>
                <w:sz w:val="18"/>
                <w:szCs w:val="18"/>
              </w:rPr>
            </w:pPr>
            <w:r>
              <w:rPr>
                <w:rFonts w:cs="Calibri" w:hint="eastAsia"/>
                <w:color w:val="000000"/>
                <w:sz w:val="16"/>
                <w:szCs w:val="16"/>
              </w:rPr>
              <w:t>办公费</w:t>
            </w:r>
          </w:p>
        </w:tc>
        <w:tc>
          <w:tcPr>
            <w:tcW w:w="2127"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right"/>
              <w:rPr>
                <w:rFonts w:cs="Calibri"/>
                <w:bCs/>
                <w:sz w:val="16"/>
                <w:szCs w:val="16"/>
              </w:rPr>
            </w:pPr>
            <w:r>
              <w:rPr>
                <w:rFonts w:cs="Calibri" w:hint="eastAsia"/>
                <w:color w:val="000000"/>
                <w:sz w:val="16"/>
                <w:szCs w:val="16"/>
              </w:rPr>
              <w:t>647.36</w:t>
            </w:r>
          </w:p>
        </w:tc>
        <w:tc>
          <w:tcPr>
            <w:tcW w:w="1986"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right"/>
              <w:rPr>
                <w:rFonts w:cs="Calibri"/>
                <w:bCs/>
                <w:sz w:val="16"/>
                <w:szCs w:val="16"/>
              </w:rPr>
            </w:pPr>
            <w:r>
              <w:rPr>
                <w:rFonts w:cs="Calibri" w:hint="eastAsia"/>
                <w:color w:val="000000"/>
                <w:sz w:val="16"/>
                <w:szCs w:val="16"/>
              </w:rPr>
              <w:t>　</w:t>
            </w:r>
          </w:p>
        </w:tc>
        <w:tc>
          <w:tcPr>
            <w:tcW w:w="1843"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right"/>
              <w:rPr>
                <w:rFonts w:cs="Calibri"/>
                <w:bCs/>
                <w:sz w:val="16"/>
                <w:szCs w:val="16"/>
              </w:rPr>
            </w:pPr>
            <w:r>
              <w:rPr>
                <w:rFonts w:cs="Calibri" w:hint="eastAsia"/>
                <w:color w:val="000000"/>
                <w:sz w:val="16"/>
                <w:szCs w:val="16"/>
              </w:rPr>
              <w:t>647.36</w:t>
            </w:r>
          </w:p>
        </w:tc>
      </w:tr>
      <w:tr>
        <w:trPr>
          <w:trHeight w:val="340"/>
        </w:trPr>
        <w:tc>
          <w:tcPr>
            <w:tcW w:w="1066" w:type="dxa"/>
            <w:tcBorders>
              <w:top w:val="nil"/>
              <w:left w:val="single" w:sz="4" w:space="0" w:color="auto"/>
              <w:bottom w:val="single" w:sz="4" w:space="0" w:color="auto"/>
              <w:right w:val="single" w:sz="4" w:space="0" w:color="auto"/>
            </w:tcBorders>
            <w:shd w:val="clear" w:color="auto" w:fill="auto"/>
            <w:noWrap/>
            <w:vAlign w:val="center"/>
          </w:tcPr>
          <w:p>
            <w:pPr>
              <w:widowControl/>
              <w:overflowPunct/>
              <w:spacing w:line="240" w:lineRule="auto"/>
              <w:ind w:firstLineChars="0" w:firstLine="360"/>
              <w:jc w:val="left"/>
              <w:rPr>
                <w:rFonts w:eastAsia="宋体" w:cs="宋体"/>
                <w:kern w:val="0"/>
                <w:sz w:val="18"/>
                <w:szCs w:val="18"/>
              </w:rPr>
            </w:pPr>
            <w:r>
              <w:rPr>
                <w:rFonts w:cs="Calibri" w:hint="eastAsia"/>
                <w:color w:val="000000"/>
                <w:sz w:val="16"/>
                <w:szCs w:val="16"/>
              </w:rPr>
              <w:t>30202</w:t>
            </w:r>
          </w:p>
        </w:tc>
        <w:tc>
          <w:tcPr>
            <w:tcW w:w="3121"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0"/>
              <w:jc w:val="left"/>
              <w:rPr>
                <w:rFonts w:eastAsia="宋体" w:cs="宋体"/>
                <w:kern w:val="0"/>
                <w:sz w:val="18"/>
                <w:szCs w:val="18"/>
              </w:rPr>
            </w:pPr>
            <w:r>
              <w:rPr>
                <w:rFonts w:cs="Calibri" w:hint="eastAsia"/>
                <w:color w:val="000000"/>
                <w:sz w:val="16"/>
                <w:szCs w:val="16"/>
              </w:rPr>
              <w:t>印刷费</w:t>
            </w:r>
          </w:p>
        </w:tc>
        <w:tc>
          <w:tcPr>
            <w:tcW w:w="2127"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right"/>
              <w:rPr>
                <w:rFonts w:cs="Calibri"/>
                <w:bCs/>
                <w:sz w:val="16"/>
                <w:szCs w:val="16"/>
              </w:rPr>
            </w:pPr>
            <w:r>
              <w:rPr>
                <w:rFonts w:cs="Calibri" w:hint="eastAsia"/>
                <w:color w:val="000000"/>
                <w:sz w:val="16"/>
                <w:szCs w:val="16"/>
              </w:rPr>
              <w:t>39.52</w:t>
            </w:r>
          </w:p>
        </w:tc>
        <w:tc>
          <w:tcPr>
            <w:tcW w:w="1986"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right"/>
              <w:rPr>
                <w:rFonts w:cs="Calibri"/>
                <w:bCs/>
                <w:sz w:val="16"/>
                <w:szCs w:val="16"/>
              </w:rPr>
            </w:pPr>
            <w:r>
              <w:rPr>
                <w:rFonts w:cs="Calibri" w:hint="eastAsia"/>
                <w:color w:val="000000"/>
                <w:sz w:val="16"/>
                <w:szCs w:val="16"/>
              </w:rPr>
              <w:t>　</w:t>
            </w:r>
          </w:p>
        </w:tc>
        <w:tc>
          <w:tcPr>
            <w:tcW w:w="1843"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right"/>
              <w:rPr>
                <w:rFonts w:cs="Calibri"/>
                <w:bCs/>
                <w:sz w:val="16"/>
                <w:szCs w:val="16"/>
              </w:rPr>
            </w:pPr>
            <w:r>
              <w:rPr>
                <w:rFonts w:cs="Calibri" w:hint="eastAsia"/>
                <w:color w:val="000000"/>
                <w:sz w:val="16"/>
                <w:szCs w:val="16"/>
              </w:rPr>
              <w:t>39.52</w:t>
            </w:r>
          </w:p>
        </w:tc>
      </w:tr>
      <w:tr>
        <w:trPr>
          <w:trHeight w:val="340"/>
        </w:trPr>
        <w:tc>
          <w:tcPr>
            <w:tcW w:w="1066" w:type="dxa"/>
            <w:tcBorders>
              <w:top w:val="nil"/>
              <w:left w:val="single" w:sz="4" w:space="0" w:color="auto"/>
              <w:bottom w:val="single" w:sz="4" w:space="0" w:color="auto"/>
              <w:right w:val="single" w:sz="4" w:space="0" w:color="auto"/>
            </w:tcBorders>
            <w:shd w:val="clear" w:color="auto" w:fill="auto"/>
            <w:noWrap/>
            <w:vAlign w:val="center"/>
          </w:tcPr>
          <w:p>
            <w:pPr>
              <w:widowControl/>
              <w:overflowPunct/>
              <w:spacing w:line="240" w:lineRule="auto"/>
              <w:ind w:firstLineChars="0" w:firstLine="360"/>
              <w:jc w:val="left"/>
              <w:rPr>
                <w:rFonts w:eastAsia="宋体" w:cs="宋体"/>
                <w:kern w:val="0"/>
                <w:sz w:val="18"/>
                <w:szCs w:val="18"/>
              </w:rPr>
            </w:pPr>
            <w:r>
              <w:rPr>
                <w:rFonts w:cs="Calibri" w:hint="eastAsia"/>
                <w:color w:val="000000"/>
                <w:sz w:val="16"/>
                <w:szCs w:val="16"/>
              </w:rPr>
              <w:t>30204</w:t>
            </w:r>
          </w:p>
        </w:tc>
        <w:tc>
          <w:tcPr>
            <w:tcW w:w="3121"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0"/>
              <w:jc w:val="left"/>
              <w:rPr>
                <w:rFonts w:eastAsia="宋体" w:cs="宋体"/>
                <w:kern w:val="0"/>
                <w:sz w:val="18"/>
                <w:szCs w:val="18"/>
              </w:rPr>
            </w:pPr>
            <w:r>
              <w:rPr>
                <w:rFonts w:cs="Calibri" w:hint="eastAsia"/>
                <w:color w:val="000000"/>
                <w:sz w:val="16"/>
                <w:szCs w:val="16"/>
              </w:rPr>
              <w:t>手续费</w:t>
            </w:r>
          </w:p>
        </w:tc>
        <w:tc>
          <w:tcPr>
            <w:tcW w:w="2127"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right"/>
              <w:rPr>
                <w:rFonts w:cs="Calibri"/>
                <w:bCs/>
                <w:sz w:val="16"/>
                <w:szCs w:val="16"/>
              </w:rPr>
            </w:pPr>
            <w:r>
              <w:rPr>
                <w:rFonts w:cs="Calibri" w:hint="eastAsia"/>
                <w:color w:val="000000"/>
                <w:sz w:val="16"/>
                <w:szCs w:val="16"/>
              </w:rPr>
              <w:t>1.75</w:t>
            </w:r>
          </w:p>
        </w:tc>
        <w:tc>
          <w:tcPr>
            <w:tcW w:w="1986"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right"/>
              <w:rPr>
                <w:rFonts w:cs="Calibri"/>
                <w:bCs/>
                <w:sz w:val="16"/>
                <w:szCs w:val="16"/>
              </w:rPr>
            </w:pPr>
            <w:r>
              <w:rPr>
                <w:rFonts w:cs="Calibri" w:hint="eastAsia"/>
                <w:color w:val="000000"/>
                <w:sz w:val="16"/>
                <w:szCs w:val="16"/>
              </w:rPr>
              <w:t>　</w:t>
            </w:r>
          </w:p>
        </w:tc>
        <w:tc>
          <w:tcPr>
            <w:tcW w:w="1843"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right"/>
              <w:rPr>
                <w:rFonts w:cs="Calibri"/>
                <w:bCs/>
                <w:sz w:val="16"/>
                <w:szCs w:val="16"/>
              </w:rPr>
            </w:pPr>
            <w:r>
              <w:rPr>
                <w:rFonts w:cs="Calibri" w:hint="eastAsia"/>
                <w:color w:val="000000"/>
                <w:sz w:val="16"/>
                <w:szCs w:val="16"/>
              </w:rPr>
              <w:t>1.75</w:t>
            </w:r>
          </w:p>
        </w:tc>
      </w:tr>
      <w:tr>
        <w:trPr>
          <w:trHeight w:val="340"/>
        </w:trPr>
        <w:tc>
          <w:tcPr>
            <w:tcW w:w="1066" w:type="dxa"/>
            <w:tcBorders>
              <w:top w:val="nil"/>
              <w:left w:val="single" w:sz="4" w:space="0" w:color="auto"/>
              <w:bottom w:val="single" w:sz="4" w:space="0" w:color="auto"/>
              <w:right w:val="single" w:sz="4" w:space="0" w:color="auto"/>
            </w:tcBorders>
            <w:shd w:val="clear" w:color="auto" w:fill="auto"/>
            <w:noWrap/>
            <w:vAlign w:val="center"/>
          </w:tcPr>
          <w:p>
            <w:pPr>
              <w:widowControl/>
              <w:overflowPunct/>
              <w:spacing w:line="240" w:lineRule="auto"/>
              <w:ind w:firstLineChars="0" w:firstLine="360"/>
              <w:jc w:val="left"/>
              <w:rPr>
                <w:rFonts w:eastAsia="宋体" w:cs="宋体"/>
                <w:kern w:val="0"/>
                <w:sz w:val="18"/>
                <w:szCs w:val="18"/>
              </w:rPr>
            </w:pPr>
            <w:r>
              <w:rPr>
                <w:rFonts w:cs="Calibri" w:hint="eastAsia"/>
                <w:color w:val="000000"/>
                <w:sz w:val="16"/>
                <w:szCs w:val="16"/>
              </w:rPr>
              <w:t>30205</w:t>
            </w:r>
          </w:p>
        </w:tc>
        <w:tc>
          <w:tcPr>
            <w:tcW w:w="3121"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0"/>
              <w:jc w:val="left"/>
              <w:rPr>
                <w:rFonts w:eastAsia="宋体" w:cs="宋体"/>
                <w:kern w:val="0"/>
                <w:sz w:val="18"/>
                <w:szCs w:val="18"/>
              </w:rPr>
            </w:pPr>
            <w:r>
              <w:rPr>
                <w:rFonts w:cs="Calibri" w:hint="eastAsia"/>
                <w:color w:val="000000"/>
                <w:sz w:val="16"/>
                <w:szCs w:val="16"/>
              </w:rPr>
              <w:t>水费</w:t>
            </w:r>
          </w:p>
        </w:tc>
        <w:tc>
          <w:tcPr>
            <w:tcW w:w="2127"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right"/>
              <w:rPr>
                <w:rFonts w:cs="Calibri"/>
                <w:bCs/>
                <w:sz w:val="16"/>
                <w:szCs w:val="16"/>
              </w:rPr>
            </w:pPr>
            <w:r>
              <w:rPr>
                <w:rFonts w:cs="Calibri" w:hint="eastAsia"/>
                <w:color w:val="000000"/>
                <w:sz w:val="16"/>
                <w:szCs w:val="16"/>
              </w:rPr>
              <w:t>83.49</w:t>
            </w:r>
          </w:p>
        </w:tc>
        <w:tc>
          <w:tcPr>
            <w:tcW w:w="1986"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right"/>
              <w:rPr>
                <w:rFonts w:cs="Calibri"/>
                <w:bCs/>
                <w:sz w:val="16"/>
                <w:szCs w:val="16"/>
              </w:rPr>
            </w:pPr>
            <w:r>
              <w:rPr>
                <w:rFonts w:cs="Calibri" w:hint="eastAsia"/>
                <w:color w:val="000000"/>
                <w:sz w:val="16"/>
                <w:szCs w:val="16"/>
              </w:rPr>
              <w:t>　</w:t>
            </w:r>
          </w:p>
        </w:tc>
        <w:tc>
          <w:tcPr>
            <w:tcW w:w="1843"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right"/>
              <w:rPr>
                <w:rFonts w:cs="Calibri"/>
                <w:bCs/>
                <w:sz w:val="16"/>
                <w:szCs w:val="16"/>
              </w:rPr>
            </w:pPr>
            <w:r>
              <w:rPr>
                <w:rFonts w:cs="Calibri" w:hint="eastAsia"/>
                <w:color w:val="000000"/>
                <w:sz w:val="16"/>
                <w:szCs w:val="16"/>
              </w:rPr>
              <w:t>83.49</w:t>
            </w:r>
          </w:p>
        </w:tc>
      </w:tr>
      <w:tr>
        <w:trPr>
          <w:trHeight w:val="340"/>
        </w:trPr>
        <w:tc>
          <w:tcPr>
            <w:tcW w:w="1066" w:type="dxa"/>
            <w:tcBorders>
              <w:top w:val="nil"/>
              <w:left w:val="single" w:sz="4" w:space="0" w:color="auto"/>
              <w:bottom w:val="single" w:sz="4" w:space="0" w:color="auto"/>
              <w:right w:val="single" w:sz="4" w:space="0" w:color="auto"/>
            </w:tcBorders>
            <w:shd w:val="clear" w:color="auto" w:fill="auto"/>
            <w:noWrap/>
            <w:vAlign w:val="center"/>
          </w:tcPr>
          <w:p>
            <w:pPr>
              <w:widowControl/>
              <w:overflowPunct/>
              <w:spacing w:line="240" w:lineRule="auto"/>
              <w:ind w:firstLineChars="0" w:firstLine="360"/>
              <w:jc w:val="left"/>
              <w:rPr>
                <w:rFonts w:eastAsia="宋体" w:cs="宋体"/>
                <w:kern w:val="0"/>
                <w:sz w:val="18"/>
                <w:szCs w:val="18"/>
              </w:rPr>
            </w:pPr>
            <w:r>
              <w:rPr>
                <w:rFonts w:cs="Calibri" w:hint="eastAsia"/>
                <w:color w:val="000000"/>
                <w:sz w:val="16"/>
                <w:szCs w:val="16"/>
              </w:rPr>
              <w:t>30206</w:t>
            </w:r>
          </w:p>
        </w:tc>
        <w:tc>
          <w:tcPr>
            <w:tcW w:w="3121"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0"/>
              <w:jc w:val="left"/>
              <w:rPr>
                <w:rFonts w:eastAsia="宋体" w:cs="宋体"/>
                <w:kern w:val="0"/>
                <w:sz w:val="18"/>
                <w:szCs w:val="18"/>
              </w:rPr>
            </w:pPr>
            <w:r>
              <w:rPr>
                <w:rFonts w:cs="Calibri" w:hint="eastAsia"/>
                <w:color w:val="000000"/>
                <w:sz w:val="16"/>
                <w:szCs w:val="16"/>
              </w:rPr>
              <w:t>电费</w:t>
            </w:r>
          </w:p>
        </w:tc>
        <w:tc>
          <w:tcPr>
            <w:tcW w:w="2127"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right"/>
              <w:rPr>
                <w:rFonts w:cs="Calibri"/>
                <w:bCs/>
                <w:sz w:val="16"/>
                <w:szCs w:val="16"/>
              </w:rPr>
            </w:pPr>
            <w:r>
              <w:rPr>
                <w:rFonts w:cs="Calibri" w:hint="eastAsia"/>
                <w:color w:val="000000"/>
                <w:sz w:val="16"/>
                <w:szCs w:val="16"/>
              </w:rPr>
              <w:t>1,346.13</w:t>
            </w:r>
          </w:p>
        </w:tc>
        <w:tc>
          <w:tcPr>
            <w:tcW w:w="1986"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right"/>
              <w:rPr>
                <w:rFonts w:cs="Calibri"/>
                <w:bCs/>
                <w:sz w:val="16"/>
                <w:szCs w:val="16"/>
              </w:rPr>
            </w:pPr>
            <w:r>
              <w:rPr>
                <w:rFonts w:cs="Calibri" w:hint="eastAsia"/>
                <w:color w:val="000000"/>
                <w:sz w:val="16"/>
                <w:szCs w:val="16"/>
              </w:rPr>
              <w:t>　</w:t>
            </w:r>
          </w:p>
        </w:tc>
        <w:tc>
          <w:tcPr>
            <w:tcW w:w="1843"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right"/>
              <w:rPr>
                <w:rFonts w:cs="Calibri"/>
                <w:bCs/>
                <w:sz w:val="16"/>
                <w:szCs w:val="16"/>
              </w:rPr>
            </w:pPr>
            <w:r>
              <w:rPr>
                <w:rFonts w:cs="Calibri" w:hint="eastAsia"/>
                <w:color w:val="000000"/>
                <w:sz w:val="16"/>
                <w:szCs w:val="16"/>
              </w:rPr>
              <w:t>1,346.13</w:t>
            </w:r>
          </w:p>
        </w:tc>
      </w:tr>
      <w:tr>
        <w:trPr>
          <w:trHeight w:val="340"/>
        </w:trPr>
        <w:tc>
          <w:tcPr>
            <w:tcW w:w="1066" w:type="dxa"/>
            <w:tcBorders>
              <w:top w:val="nil"/>
              <w:left w:val="single" w:sz="4" w:space="0" w:color="auto"/>
              <w:bottom w:val="single" w:sz="4" w:space="0" w:color="auto"/>
              <w:right w:val="single" w:sz="4" w:space="0" w:color="auto"/>
            </w:tcBorders>
            <w:shd w:val="clear" w:color="auto" w:fill="auto"/>
            <w:noWrap/>
            <w:vAlign w:val="center"/>
          </w:tcPr>
          <w:p>
            <w:pPr>
              <w:widowControl/>
              <w:overflowPunct/>
              <w:spacing w:line="240" w:lineRule="auto"/>
              <w:ind w:firstLineChars="0" w:firstLine="360"/>
              <w:jc w:val="left"/>
              <w:rPr>
                <w:rFonts w:eastAsia="宋体" w:cs="宋体"/>
                <w:kern w:val="0"/>
                <w:sz w:val="18"/>
                <w:szCs w:val="18"/>
              </w:rPr>
            </w:pPr>
            <w:r>
              <w:rPr>
                <w:rFonts w:cs="Calibri" w:hint="eastAsia"/>
                <w:color w:val="000000"/>
                <w:sz w:val="16"/>
                <w:szCs w:val="16"/>
              </w:rPr>
              <w:t>30207</w:t>
            </w:r>
          </w:p>
        </w:tc>
        <w:tc>
          <w:tcPr>
            <w:tcW w:w="3121"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0"/>
              <w:jc w:val="left"/>
              <w:rPr>
                <w:rFonts w:eastAsia="宋体" w:cs="宋体"/>
                <w:kern w:val="0"/>
                <w:sz w:val="18"/>
                <w:szCs w:val="18"/>
              </w:rPr>
            </w:pPr>
            <w:r>
              <w:rPr>
                <w:rFonts w:cs="Calibri" w:hint="eastAsia"/>
                <w:color w:val="000000"/>
                <w:sz w:val="16"/>
                <w:szCs w:val="16"/>
              </w:rPr>
              <w:t>邮电费</w:t>
            </w:r>
          </w:p>
        </w:tc>
        <w:tc>
          <w:tcPr>
            <w:tcW w:w="2127"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right"/>
              <w:rPr>
                <w:rFonts w:cs="Calibri"/>
                <w:bCs/>
                <w:sz w:val="16"/>
                <w:szCs w:val="16"/>
              </w:rPr>
            </w:pPr>
            <w:r>
              <w:rPr>
                <w:rFonts w:cs="Calibri" w:hint="eastAsia"/>
                <w:color w:val="000000"/>
                <w:sz w:val="16"/>
                <w:szCs w:val="16"/>
              </w:rPr>
              <w:t>625.48</w:t>
            </w:r>
          </w:p>
        </w:tc>
        <w:tc>
          <w:tcPr>
            <w:tcW w:w="1986"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right"/>
              <w:rPr>
                <w:rFonts w:cs="Calibri"/>
                <w:bCs/>
                <w:sz w:val="16"/>
                <w:szCs w:val="16"/>
              </w:rPr>
            </w:pPr>
            <w:r>
              <w:rPr>
                <w:rFonts w:cs="Calibri" w:hint="eastAsia"/>
                <w:color w:val="000000"/>
                <w:sz w:val="16"/>
                <w:szCs w:val="16"/>
              </w:rPr>
              <w:t>　</w:t>
            </w:r>
          </w:p>
        </w:tc>
        <w:tc>
          <w:tcPr>
            <w:tcW w:w="1843"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right"/>
              <w:rPr>
                <w:rFonts w:cs="Calibri"/>
                <w:bCs/>
                <w:sz w:val="16"/>
                <w:szCs w:val="16"/>
              </w:rPr>
            </w:pPr>
            <w:r>
              <w:rPr>
                <w:rFonts w:cs="Calibri" w:hint="eastAsia"/>
                <w:color w:val="000000"/>
                <w:sz w:val="16"/>
                <w:szCs w:val="16"/>
              </w:rPr>
              <w:t>625.48</w:t>
            </w:r>
          </w:p>
        </w:tc>
      </w:tr>
      <w:tr>
        <w:trPr>
          <w:trHeight w:val="340"/>
        </w:trPr>
        <w:tc>
          <w:tcPr>
            <w:tcW w:w="1066" w:type="dxa"/>
            <w:tcBorders>
              <w:top w:val="nil"/>
              <w:left w:val="single" w:sz="4" w:space="0" w:color="auto"/>
              <w:bottom w:val="single" w:sz="4" w:space="0" w:color="auto"/>
              <w:right w:val="single" w:sz="4" w:space="0" w:color="auto"/>
            </w:tcBorders>
            <w:shd w:val="clear" w:color="auto" w:fill="auto"/>
            <w:noWrap/>
            <w:vAlign w:val="center"/>
          </w:tcPr>
          <w:p>
            <w:pPr>
              <w:widowControl/>
              <w:overflowPunct/>
              <w:spacing w:line="240" w:lineRule="auto"/>
              <w:ind w:firstLineChars="0" w:firstLine="360"/>
              <w:jc w:val="left"/>
              <w:rPr>
                <w:rFonts w:eastAsia="宋体" w:cs="宋体"/>
                <w:kern w:val="0"/>
                <w:sz w:val="18"/>
                <w:szCs w:val="18"/>
              </w:rPr>
            </w:pPr>
            <w:r>
              <w:rPr>
                <w:rFonts w:cs="Calibri" w:hint="eastAsia"/>
                <w:color w:val="000000"/>
                <w:sz w:val="16"/>
                <w:szCs w:val="16"/>
              </w:rPr>
              <w:t>30208</w:t>
            </w:r>
          </w:p>
        </w:tc>
        <w:tc>
          <w:tcPr>
            <w:tcW w:w="3121"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0"/>
              <w:jc w:val="left"/>
              <w:rPr>
                <w:rFonts w:eastAsia="宋体" w:cs="宋体"/>
                <w:kern w:val="0"/>
                <w:sz w:val="18"/>
                <w:szCs w:val="18"/>
              </w:rPr>
            </w:pPr>
            <w:r>
              <w:rPr>
                <w:rFonts w:cs="Calibri" w:hint="eastAsia"/>
                <w:color w:val="000000"/>
                <w:sz w:val="16"/>
                <w:szCs w:val="16"/>
              </w:rPr>
              <w:t>取暖费</w:t>
            </w:r>
          </w:p>
        </w:tc>
        <w:tc>
          <w:tcPr>
            <w:tcW w:w="2127"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right"/>
              <w:rPr>
                <w:rFonts w:cs="Calibri"/>
                <w:bCs/>
                <w:sz w:val="16"/>
                <w:szCs w:val="16"/>
              </w:rPr>
            </w:pPr>
            <w:r>
              <w:rPr>
                <w:rFonts w:cs="Calibri" w:hint="eastAsia"/>
                <w:color w:val="000000"/>
                <w:sz w:val="16"/>
                <w:szCs w:val="16"/>
              </w:rPr>
              <w:t>1,137.19</w:t>
            </w:r>
          </w:p>
        </w:tc>
        <w:tc>
          <w:tcPr>
            <w:tcW w:w="1986"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right"/>
              <w:rPr>
                <w:rFonts w:cs="Calibri"/>
                <w:bCs/>
                <w:sz w:val="16"/>
                <w:szCs w:val="16"/>
              </w:rPr>
            </w:pPr>
            <w:r>
              <w:rPr>
                <w:rFonts w:cs="Calibri" w:hint="eastAsia"/>
                <w:color w:val="000000"/>
                <w:sz w:val="16"/>
                <w:szCs w:val="16"/>
              </w:rPr>
              <w:t>　</w:t>
            </w:r>
          </w:p>
        </w:tc>
        <w:tc>
          <w:tcPr>
            <w:tcW w:w="1843"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right"/>
              <w:rPr>
                <w:rFonts w:cs="Calibri"/>
                <w:bCs/>
                <w:sz w:val="16"/>
                <w:szCs w:val="16"/>
              </w:rPr>
            </w:pPr>
            <w:r>
              <w:rPr>
                <w:rFonts w:cs="Calibri" w:hint="eastAsia"/>
                <w:color w:val="000000"/>
                <w:sz w:val="16"/>
                <w:szCs w:val="16"/>
              </w:rPr>
              <w:t>1,137.19</w:t>
            </w:r>
          </w:p>
        </w:tc>
      </w:tr>
      <w:tr>
        <w:trPr>
          <w:trHeight w:val="340"/>
        </w:trPr>
        <w:tc>
          <w:tcPr>
            <w:tcW w:w="1066" w:type="dxa"/>
            <w:tcBorders>
              <w:top w:val="nil"/>
              <w:left w:val="single" w:sz="4" w:space="0" w:color="auto"/>
              <w:bottom w:val="single" w:sz="4" w:space="0" w:color="auto"/>
              <w:right w:val="single" w:sz="4" w:space="0" w:color="auto"/>
            </w:tcBorders>
            <w:shd w:val="clear" w:color="auto" w:fill="auto"/>
            <w:noWrap/>
            <w:vAlign w:val="center"/>
          </w:tcPr>
          <w:p>
            <w:pPr>
              <w:widowControl/>
              <w:overflowPunct/>
              <w:spacing w:line="240" w:lineRule="auto"/>
              <w:ind w:firstLineChars="0" w:firstLine="360"/>
              <w:jc w:val="left"/>
              <w:rPr>
                <w:rFonts w:eastAsia="宋体" w:cs="宋体"/>
                <w:kern w:val="0"/>
                <w:sz w:val="18"/>
                <w:szCs w:val="18"/>
              </w:rPr>
            </w:pPr>
            <w:r>
              <w:rPr>
                <w:rFonts w:cs="Calibri" w:hint="eastAsia"/>
                <w:color w:val="000000"/>
                <w:sz w:val="16"/>
                <w:szCs w:val="16"/>
              </w:rPr>
              <w:t>30209</w:t>
            </w:r>
          </w:p>
        </w:tc>
        <w:tc>
          <w:tcPr>
            <w:tcW w:w="3121"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0"/>
              <w:jc w:val="left"/>
              <w:rPr>
                <w:rFonts w:eastAsia="宋体" w:cs="宋体"/>
                <w:kern w:val="0"/>
                <w:sz w:val="18"/>
                <w:szCs w:val="18"/>
              </w:rPr>
            </w:pPr>
            <w:r>
              <w:rPr>
                <w:rFonts w:cs="Calibri" w:hint="eastAsia"/>
                <w:color w:val="000000"/>
                <w:sz w:val="16"/>
                <w:szCs w:val="16"/>
              </w:rPr>
              <w:t>物业管理费</w:t>
            </w:r>
          </w:p>
        </w:tc>
        <w:tc>
          <w:tcPr>
            <w:tcW w:w="2127"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right"/>
              <w:rPr>
                <w:rFonts w:cs="Calibri"/>
                <w:bCs/>
                <w:sz w:val="16"/>
                <w:szCs w:val="16"/>
              </w:rPr>
            </w:pPr>
            <w:r>
              <w:rPr>
                <w:rFonts w:cs="Calibri" w:hint="eastAsia"/>
                <w:color w:val="000000"/>
                <w:sz w:val="16"/>
                <w:szCs w:val="16"/>
              </w:rPr>
              <w:t>4,649.41</w:t>
            </w:r>
          </w:p>
        </w:tc>
        <w:tc>
          <w:tcPr>
            <w:tcW w:w="1986"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right"/>
              <w:rPr>
                <w:rFonts w:cs="Calibri"/>
                <w:bCs/>
                <w:sz w:val="16"/>
                <w:szCs w:val="16"/>
              </w:rPr>
            </w:pPr>
            <w:r>
              <w:rPr>
                <w:rFonts w:cs="Calibri" w:hint="eastAsia"/>
                <w:color w:val="000000"/>
                <w:sz w:val="16"/>
                <w:szCs w:val="16"/>
              </w:rPr>
              <w:t>　</w:t>
            </w:r>
          </w:p>
        </w:tc>
        <w:tc>
          <w:tcPr>
            <w:tcW w:w="1843"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right"/>
              <w:rPr>
                <w:rFonts w:cs="Calibri"/>
                <w:bCs/>
                <w:sz w:val="16"/>
                <w:szCs w:val="16"/>
              </w:rPr>
            </w:pPr>
            <w:r>
              <w:rPr>
                <w:rFonts w:cs="Calibri" w:hint="eastAsia"/>
                <w:color w:val="000000"/>
                <w:sz w:val="16"/>
                <w:szCs w:val="16"/>
              </w:rPr>
              <w:t>4,649.41</w:t>
            </w:r>
          </w:p>
        </w:tc>
      </w:tr>
      <w:tr>
        <w:trPr>
          <w:trHeight w:val="340"/>
        </w:trPr>
        <w:tc>
          <w:tcPr>
            <w:tcW w:w="1066" w:type="dxa"/>
            <w:tcBorders>
              <w:top w:val="nil"/>
              <w:left w:val="single" w:sz="4" w:space="0" w:color="auto"/>
              <w:bottom w:val="single" w:sz="4" w:space="0" w:color="auto"/>
              <w:right w:val="single" w:sz="4" w:space="0" w:color="auto"/>
            </w:tcBorders>
            <w:shd w:val="clear" w:color="auto" w:fill="auto"/>
            <w:noWrap/>
            <w:vAlign w:val="center"/>
          </w:tcPr>
          <w:p>
            <w:pPr>
              <w:widowControl/>
              <w:overflowPunct/>
              <w:spacing w:line="240" w:lineRule="auto"/>
              <w:ind w:firstLineChars="0" w:firstLine="360"/>
              <w:jc w:val="left"/>
              <w:rPr>
                <w:rFonts w:eastAsia="宋体" w:cs="宋体"/>
                <w:kern w:val="0"/>
                <w:sz w:val="18"/>
                <w:szCs w:val="18"/>
              </w:rPr>
            </w:pPr>
            <w:r>
              <w:rPr>
                <w:rFonts w:cs="Calibri" w:hint="eastAsia"/>
                <w:color w:val="000000"/>
                <w:sz w:val="16"/>
                <w:szCs w:val="16"/>
              </w:rPr>
              <w:t>30211</w:t>
            </w:r>
          </w:p>
        </w:tc>
        <w:tc>
          <w:tcPr>
            <w:tcW w:w="3121"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0"/>
              <w:jc w:val="left"/>
              <w:rPr>
                <w:rFonts w:eastAsia="宋体" w:cs="宋体"/>
                <w:kern w:val="0"/>
                <w:sz w:val="18"/>
                <w:szCs w:val="18"/>
              </w:rPr>
            </w:pPr>
            <w:r>
              <w:rPr>
                <w:rFonts w:cs="Calibri" w:hint="eastAsia"/>
                <w:color w:val="000000"/>
                <w:sz w:val="16"/>
                <w:szCs w:val="16"/>
              </w:rPr>
              <w:t>差旅费</w:t>
            </w:r>
          </w:p>
        </w:tc>
        <w:tc>
          <w:tcPr>
            <w:tcW w:w="2127"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right"/>
              <w:rPr>
                <w:rFonts w:cs="Calibri"/>
                <w:bCs/>
                <w:sz w:val="16"/>
                <w:szCs w:val="16"/>
              </w:rPr>
            </w:pPr>
            <w:r>
              <w:rPr>
                <w:rFonts w:cs="Calibri" w:hint="eastAsia"/>
                <w:color w:val="000000"/>
                <w:sz w:val="16"/>
                <w:szCs w:val="16"/>
              </w:rPr>
              <w:t>312.78</w:t>
            </w:r>
          </w:p>
        </w:tc>
        <w:tc>
          <w:tcPr>
            <w:tcW w:w="1986"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right"/>
              <w:rPr>
                <w:rFonts w:cs="Calibri"/>
                <w:bCs/>
                <w:sz w:val="16"/>
                <w:szCs w:val="16"/>
              </w:rPr>
            </w:pPr>
            <w:r>
              <w:rPr>
                <w:rFonts w:cs="Calibri" w:hint="eastAsia"/>
                <w:color w:val="000000"/>
                <w:sz w:val="16"/>
                <w:szCs w:val="16"/>
              </w:rPr>
              <w:t>　</w:t>
            </w:r>
          </w:p>
        </w:tc>
        <w:tc>
          <w:tcPr>
            <w:tcW w:w="1843"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right"/>
              <w:rPr>
                <w:rFonts w:cs="Calibri"/>
                <w:bCs/>
                <w:sz w:val="16"/>
                <w:szCs w:val="16"/>
              </w:rPr>
            </w:pPr>
            <w:r>
              <w:rPr>
                <w:rFonts w:cs="Calibri" w:hint="eastAsia"/>
                <w:color w:val="000000"/>
                <w:sz w:val="16"/>
                <w:szCs w:val="16"/>
              </w:rPr>
              <w:t>312.78</w:t>
            </w:r>
          </w:p>
        </w:tc>
      </w:tr>
      <w:tr>
        <w:trPr>
          <w:trHeight w:val="340"/>
        </w:trPr>
        <w:tc>
          <w:tcPr>
            <w:tcW w:w="1066" w:type="dxa"/>
            <w:tcBorders>
              <w:top w:val="nil"/>
              <w:left w:val="single" w:sz="4" w:space="0" w:color="auto"/>
              <w:bottom w:val="single" w:sz="4" w:space="0" w:color="auto"/>
              <w:right w:val="single" w:sz="4" w:space="0" w:color="auto"/>
            </w:tcBorders>
            <w:shd w:val="clear" w:color="auto" w:fill="auto"/>
            <w:noWrap/>
            <w:vAlign w:val="center"/>
          </w:tcPr>
          <w:p>
            <w:pPr>
              <w:widowControl/>
              <w:overflowPunct/>
              <w:spacing w:line="240" w:lineRule="auto"/>
              <w:ind w:firstLineChars="0" w:firstLine="360"/>
              <w:jc w:val="left"/>
              <w:rPr>
                <w:rFonts w:eastAsia="宋体" w:cs="宋体"/>
                <w:kern w:val="0"/>
                <w:sz w:val="18"/>
                <w:szCs w:val="18"/>
              </w:rPr>
            </w:pPr>
            <w:r>
              <w:rPr>
                <w:rFonts w:cs="Calibri" w:hint="eastAsia"/>
                <w:color w:val="000000"/>
                <w:sz w:val="16"/>
                <w:szCs w:val="16"/>
              </w:rPr>
              <w:t>30213</w:t>
            </w:r>
          </w:p>
        </w:tc>
        <w:tc>
          <w:tcPr>
            <w:tcW w:w="3121"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0"/>
              <w:jc w:val="left"/>
              <w:rPr>
                <w:rFonts w:eastAsia="宋体" w:cs="宋体"/>
                <w:kern w:val="0"/>
                <w:sz w:val="18"/>
                <w:szCs w:val="18"/>
              </w:rPr>
            </w:pPr>
            <w:r>
              <w:rPr>
                <w:rFonts w:cs="Calibri" w:hint="eastAsia"/>
                <w:color w:val="000000"/>
                <w:sz w:val="16"/>
                <w:szCs w:val="16"/>
              </w:rPr>
              <w:t>维修（护）费</w:t>
            </w:r>
          </w:p>
        </w:tc>
        <w:tc>
          <w:tcPr>
            <w:tcW w:w="2127"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right"/>
              <w:rPr>
                <w:rFonts w:cs="Calibri"/>
                <w:bCs/>
                <w:sz w:val="16"/>
                <w:szCs w:val="16"/>
              </w:rPr>
            </w:pPr>
            <w:r>
              <w:rPr>
                <w:rFonts w:cs="Calibri" w:hint="eastAsia"/>
                <w:color w:val="000000"/>
                <w:sz w:val="16"/>
                <w:szCs w:val="16"/>
              </w:rPr>
              <w:t>738.95</w:t>
            </w:r>
          </w:p>
        </w:tc>
        <w:tc>
          <w:tcPr>
            <w:tcW w:w="1986"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right"/>
              <w:rPr>
                <w:rFonts w:cs="Calibri"/>
                <w:bCs/>
                <w:sz w:val="16"/>
                <w:szCs w:val="16"/>
              </w:rPr>
            </w:pPr>
            <w:r>
              <w:rPr>
                <w:rFonts w:cs="Calibri" w:hint="eastAsia"/>
                <w:color w:val="000000"/>
                <w:sz w:val="16"/>
                <w:szCs w:val="16"/>
              </w:rPr>
              <w:t>　</w:t>
            </w:r>
          </w:p>
        </w:tc>
        <w:tc>
          <w:tcPr>
            <w:tcW w:w="1843"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right"/>
              <w:rPr>
                <w:rFonts w:cs="Calibri"/>
                <w:bCs/>
                <w:sz w:val="16"/>
                <w:szCs w:val="16"/>
              </w:rPr>
            </w:pPr>
            <w:r>
              <w:rPr>
                <w:rFonts w:cs="Calibri" w:hint="eastAsia"/>
                <w:color w:val="000000"/>
                <w:sz w:val="16"/>
                <w:szCs w:val="16"/>
              </w:rPr>
              <w:t>738.95</w:t>
            </w:r>
          </w:p>
        </w:tc>
      </w:tr>
      <w:tr>
        <w:trPr>
          <w:trHeight w:val="340"/>
        </w:trPr>
        <w:tc>
          <w:tcPr>
            <w:tcW w:w="1066" w:type="dxa"/>
            <w:tcBorders>
              <w:top w:val="nil"/>
              <w:left w:val="single" w:sz="4" w:space="0" w:color="auto"/>
              <w:bottom w:val="single" w:sz="4" w:space="0" w:color="auto"/>
              <w:right w:val="single" w:sz="4" w:space="0" w:color="auto"/>
            </w:tcBorders>
            <w:shd w:val="clear" w:color="auto" w:fill="auto"/>
            <w:noWrap/>
            <w:vAlign w:val="center"/>
          </w:tcPr>
          <w:p>
            <w:pPr>
              <w:widowControl/>
              <w:overflowPunct/>
              <w:spacing w:line="240" w:lineRule="auto"/>
              <w:ind w:firstLineChars="0" w:firstLine="360"/>
              <w:jc w:val="left"/>
              <w:rPr>
                <w:rFonts w:eastAsia="宋体" w:cs="宋体"/>
                <w:kern w:val="0"/>
                <w:sz w:val="18"/>
                <w:szCs w:val="18"/>
              </w:rPr>
            </w:pPr>
            <w:r>
              <w:rPr>
                <w:rFonts w:cs="Calibri" w:hint="eastAsia"/>
                <w:color w:val="000000"/>
                <w:sz w:val="16"/>
                <w:szCs w:val="16"/>
              </w:rPr>
              <w:t>30214</w:t>
            </w:r>
          </w:p>
        </w:tc>
        <w:tc>
          <w:tcPr>
            <w:tcW w:w="3121"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0"/>
              <w:jc w:val="left"/>
              <w:rPr>
                <w:rFonts w:eastAsia="宋体" w:cs="宋体"/>
                <w:kern w:val="0"/>
                <w:sz w:val="18"/>
                <w:szCs w:val="18"/>
              </w:rPr>
            </w:pPr>
            <w:r>
              <w:rPr>
                <w:rFonts w:cs="Calibri" w:hint="eastAsia"/>
                <w:color w:val="000000"/>
                <w:sz w:val="16"/>
                <w:szCs w:val="16"/>
              </w:rPr>
              <w:t>租赁费</w:t>
            </w:r>
          </w:p>
        </w:tc>
        <w:tc>
          <w:tcPr>
            <w:tcW w:w="2127"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right"/>
              <w:rPr>
                <w:rFonts w:cs="Calibri"/>
                <w:bCs/>
                <w:sz w:val="16"/>
                <w:szCs w:val="16"/>
              </w:rPr>
            </w:pPr>
            <w:r>
              <w:rPr>
                <w:rFonts w:cs="Calibri" w:hint="eastAsia"/>
                <w:color w:val="000000"/>
                <w:sz w:val="16"/>
                <w:szCs w:val="16"/>
              </w:rPr>
              <w:t>122.05</w:t>
            </w:r>
          </w:p>
        </w:tc>
        <w:tc>
          <w:tcPr>
            <w:tcW w:w="1986"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right"/>
              <w:rPr>
                <w:rFonts w:cs="Calibri"/>
                <w:bCs/>
                <w:sz w:val="16"/>
                <w:szCs w:val="16"/>
              </w:rPr>
            </w:pPr>
            <w:r>
              <w:rPr>
                <w:rFonts w:cs="Calibri" w:hint="eastAsia"/>
                <w:color w:val="000000"/>
                <w:sz w:val="16"/>
                <w:szCs w:val="16"/>
              </w:rPr>
              <w:t>　</w:t>
            </w:r>
          </w:p>
        </w:tc>
        <w:tc>
          <w:tcPr>
            <w:tcW w:w="1843"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right"/>
              <w:rPr>
                <w:rFonts w:cs="Calibri"/>
                <w:bCs/>
                <w:sz w:val="16"/>
                <w:szCs w:val="16"/>
              </w:rPr>
            </w:pPr>
            <w:r>
              <w:rPr>
                <w:rFonts w:cs="Calibri" w:hint="eastAsia"/>
                <w:color w:val="000000"/>
                <w:sz w:val="16"/>
                <w:szCs w:val="16"/>
              </w:rPr>
              <w:t>122.05</w:t>
            </w:r>
          </w:p>
        </w:tc>
      </w:tr>
      <w:tr>
        <w:trPr>
          <w:trHeight w:val="340"/>
        </w:trPr>
        <w:tc>
          <w:tcPr>
            <w:tcW w:w="1066" w:type="dxa"/>
            <w:tcBorders>
              <w:top w:val="nil"/>
              <w:left w:val="single" w:sz="4" w:space="0" w:color="auto"/>
              <w:bottom w:val="single" w:sz="4" w:space="0" w:color="auto"/>
              <w:right w:val="single" w:sz="4" w:space="0" w:color="auto"/>
            </w:tcBorders>
            <w:shd w:val="clear" w:color="auto" w:fill="auto"/>
            <w:noWrap/>
            <w:vAlign w:val="center"/>
          </w:tcPr>
          <w:p>
            <w:pPr>
              <w:widowControl/>
              <w:overflowPunct/>
              <w:spacing w:line="240" w:lineRule="auto"/>
              <w:ind w:firstLineChars="0" w:firstLine="360"/>
              <w:jc w:val="left"/>
              <w:rPr>
                <w:rFonts w:eastAsia="宋体" w:cs="宋体"/>
                <w:kern w:val="0"/>
                <w:sz w:val="18"/>
                <w:szCs w:val="18"/>
              </w:rPr>
            </w:pPr>
            <w:r>
              <w:rPr>
                <w:rFonts w:cs="Calibri" w:hint="eastAsia"/>
                <w:color w:val="000000"/>
                <w:sz w:val="16"/>
                <w:szCs w:val="16"/>
              </w:rPr>
              <w:t>30215</w:t>
            </w:r>
          </w:p>
        </w:tc>
        <w:tc>
          <w:tcPr>
            <w:tcW w:w="3121"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0"/>
              <w:jc w:val="left"/>
              <w:rPr>
                <w:rFonts w:eastAsia="宋体" w:cs="宋体"/>
                <w:kern w:val="0"/>
                <w:sz w:val="18"/>
                <w:szCs w:val="18"/>
              </w:rPr>
            </w:pPr>
            <w:r>
              <w:rPr>
                <w:rFonts w:cs="Calibri" w:hint="eastAsia"/>
                <w:color w:val="000000"/>
                <w:sz w:val="16"/>
                <w:szCs w:val="16"/>
              </w:rPr>
              <w:t>会议费</w:t>
            </w:r>
          </w:p>
        </w:tc>
        <w:tc>
          <w:tcPr>
            <w:tcW w:w="2127"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right"/>
              <w:rPr>
                <w:rFonts w:cs="Calibri"/>
                <w:bCs/>
                <w:sz w:val="16"/>
                <w:szCs w:val="16"/>
              </w:rPr>
            </w:pPr>
            <w:r>
              <w:rPr>
                <w:rFonts w:cs="Calibri" w:hint="eastAsia"/>
                <w:color w:val="000000"/>
                <w:sz w:val="16"/>
                <w:szCs w:val="16"/>
              </w:rPr>
              <w:t>2.15</w:t>
            </w:r>
          </w:p>
        </w:tc>
        <w:tc>
          <w:tcPr>
            <w:tcW w:w="1986"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right"/>
              <w:rPr>
                <w:rFonts w:cs="Calibri"/>
                <w:bCs/>
                <w:sz w:val="16"/>
                <w:szCs w:val="16"/>
              </w:rPr>
            </w:pPr>
            <w:r>
              <w:rPr>
                <w:rFonts w:cs="Calibri" w:hint="eastAsia"/>
                <w:color w:val="000000"/>
                <w:sz w:val="16"/>
                <w:szCs w:val="16"/>
              </w:rPr>
              <w:t>　</w:t>
            </w:r>
          </w:p>
        </w:tc>
        <w:tc>
          <w:tcPr>
            <w:tcW w:w="1843"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right"/>
              <w:rPr>
                <w:rFonts w:cs="Calibri"/>
                <w:bCs/>
                <w:sz w:val="16"/>
                <w:szCs w:val="16"/>
              </w:rPr>
            </w:pPr>
            <w:r>
              <w:rPr>
                <w:rFonts w:cs="Calibri" w:hint="eastAsia"/>
                <w:color w:val="000000"/>
                <w:sz w:val="16"/>
                <w:szCs w:val="16"/>
              </w:rPr>
              <w:t>2.15</w:t>
            </w:r>
          </w:p>
        </w:tc>
      </w:tr>
      <w:tr>
        <w:trPr>
          <w:trHeight w:val="340"/>
        </w:trPr>
        <w:tc>
          <w:tcPr>
            <w:tcW w:w="1066" w:type="dxa"/>
            <w:tcBorders>
              <w:top w:val="nil"/>
              <w:left w:val="single" w:sz="4" w:space="0" w:color="auto"/>
              <w:bottom w:val="single" w:sz="4" w:space="0" w:color="auto"/>
              <w:right w:val="single" w:sz="4" w:space="0" w:color="auto"/>
            </w:tcBorders>
            <w:shd w:val="clear" w:color="auto" w:fill="auto"/>
            <w:noWrap/>
            <w:vAlign w:val="center"/>
          </w:tcPr>
          <w:p>
            <w:pPr>
              <w:widowControl/>
              <w:overflowPunct/>
              <w:spacing w:line="240" w:lineRule="auto"/>
              <w:ind w:firstLineChars="0" w:firstLine="360"/>
              <w:jc w:val="left"/>
              <w:rPr>
                <w:rFonts w:eastAsia="宋体" w:cs="宋体"/>
                <w:kern w:val="0"/>
                <w:sz w:val="18"/>
                <w:szCs w:val="18"/>
              </w:rPr>
            </w:pPr>
            <w:r>
              <w:rPr>
                <w:rFonts w:cs="Calibri" w:hint="eastAsia"/>
                <w:color w:val="000000"/>
                <w:sz w:val="16"/>
                <w:szCs w:val="16"/>
              </w:rPr>
              <w:t>30216</w:t>
            </w:r>
          </w:p>
        </w:tc>
        <w:tc>
          <w:tcPr>
            <w:tcW w:w="3121"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0"/>
              <w:jc w:val="left"/>
              <w:rPr>
                <w:rFonts w:eastAsia="宋体" w:cs="宋体"/>
                <w:kern w:val="0"/>
                <w:sz w:val="18"/>
                <w:szCs w:val="18"/>
              </w:rPr>
            </w:pPr>
            <w:r>
              <w:rPr>
                <w:rFonts w:cs="Calibri" w:hint="eastAsia"/>
                <w:color w:val="000000"/>
                <w:sz w:val="16"/>
                <w:szCs w:val="16"/>
              </w:rPr>
              <w:t>培训费</w:t>
            </w:r>
          </w:p>
        </w:tc>
        <w:tc>
          <w:tcPr>
            <w:tcW w:w="2127"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right"/>
              <w:rPr>
                <w:rFonts w:cs="Calibri"/>
                <w:bCs/>
                <w:sz w:val="16"/>
                <w:szCs w:val="16"/>
              </w:rPr>
            </w:pPr>
            <w:r>
              <w:rPr>
                <w:rFonts w:cs="Calibri" w:hint="eastAsia"/>
                <w:color w:val="000000"/>
                <w:sz w:val="16"/>
                <w:szCs w:val="16"/>
              </w:rPr>
              <w:t>24.08</w:t>
            </w:r>
          </w:p>
        </w:tc>
        <w:tc>
          <w:tcPr>
            <w:tcW w:w="1986"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right"/>
              <w:rPr>
                <w:rFonts w:cs="Calibri"/>
                <w:bCs/>
                <w:sz w:val="16"/>
                <w:szCs w:val="16"/>
              </w:rPr>
            </w:pPr>
            <w:r>
              <w:rPr>
                <w:rFonts w:cs="Calibri" w:hint="eastAsia"/>
                <w:color w:val="000000"/>
                <w:sz w:val="16"/>
                <w:szCs w:val="16"/>
              </w:rPr>
              <w:t>　</w:t>
            </w:r>
          </w:p>
        </w:tc>
        <w:tc>
          <w:tcPr>
            <w:tcW w:w="1843"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right"/>
              <w:rPr>
                <w:rFonts w:cs="Calibri"/>
                <w:bCs/>
                <w:sz w:val="16"/>
                <w:szCs w:val="16"/>
              </w:rPr>
            </w:pPr>
            <w:r>
              <w:rPr>
                <w:rFonts w:cs="Calibri" w:hint="eastAsia"/>
                <w:color w:val="000000"/>
                <w:sz w:val="16"/>
                <w:szCs w:val="16"/>
              </w:rPr>
              <w:t>24.08</w:t>
            </w:r>
          </w:p>
        </w:tc>
      </w:tr>
      <w:tr>
        <w:trPr>
          <w:trHeight w:val="340"/>
        </w:trPr>
        <w:tc>
          <w:tcPr>
            <w:tcW w:w="1066" w:type="dxa"/>
            <w:tcBorders>
              <w:top w:val="nil"/>
              <w:left w:val="single" w:sz="4" w:space="0" w:color="auto"/>
              <w:bottom w:val="single" w:sz="4" w:space="0" w:color="auto"/>
              <w:right w:val="single" w:sz="4" w:space="0" w:color="auto"/>
            </w:tcBorders>
            <w:shd w:val="clear" w:color="auto" w:fill="auto"/>
            <w:noWrap/>
            <w:vAlign w:val="center"/>
          </w:tcPr>
          <w:p>
            <w:pPr>
              <w:widowControl/>
              <w:overflowPunct/>
              <w:spacing w:line="240" w:lineRule="auto"/>
              <w:ind w:firstLineChars="0" w:firstLine="360"/>
              <w:jc w:val="left"/>
              <w:rPr>
                <w:rFonts w:eastAsia="宋体" w:cs="宋体"/>
                <w:kern w:val="0"/>
                <w:sz w:val="18"/>
                <w:szCs w:val="18"/>
              </w:rPr>
            </w:pPr>
            <w:r>
              <w:rPr>
                <w:rFonts w:cs="Calibri" w:hint="eastAsia"/>
                <w:color w:val="000000"/>
                <w:sz w:val="16"/>
                <w:szCs w:val="16"/>
              </w:rPr>
              <w:t>30217</w:t>
            </w:r>
          </w:p>
        </w:tc>
        <w:tc>
          <w:tcPr>
            <w:tcW w:w="3121"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0"/>
              <w:jc w:val="left"/>
              <w:rPr>
                <w:rFonts w:eastAsia="宋体" w:cs="宋体"/>
                <w:kern w:val="0"/>
                <w:sz w:val="18"/>
                <w:szCs w:val="18"/>
              </w:rPr>
            </w:pPr>
            <w:r>
              <w:rPr>
                <w:rFonts w:cs="Calibri" w:hint="eastAsia"/>
                <w:color w:val="000000"/>
                <w:sz w:val="16"/>
                <w:szCs w:val="16"/>
              </w:rPr>
              <w:t>公务接待费</w:t>
            </w:r>
          </w:p>
        </w:tc>
        <w:tc>
          <w:tcPr>
            <w:tcW w:w="2127"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right"/>
              <w:rPr>
                <w:rFonts w:cs="Calibri"/>
                <w:bCs/>
                <w:sz w:val="16"/>
                <w:szCs w:val="16"/>
              </w:rPr>
            </w:pPr>
            <w:r>
              <w:rPr>
                <w:rFonts w:cs="Calibri" w:hint="eastAsia"/>
                <w:color w:val="000000"/>
                <w:sz w:val="16"/>
                <w:szCs w:val="16"/>
              </w:rPr>
              <w:t>46.27</w:t>
            </w:r>
          </w:p>
        </w:tc>
        <w:tc>
          <w:tcPr>
            <w:tcW w:w="1986"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right"/>
              <w:rPr>
                <w:rFonts w:cs="Calibri"/>
                <w:bCs/>
                <w:sz w:val="16"/>
                <w:szCs w:val="16"/>
              </w:rPr>
            </w:pPr>
            <w:r>
              <w:rPr>
                <w:rFonts w:cs="Calibri" w:hint="eastAsia"/>
                <w:color w:val="000000"/>
                <w:sz w:val="16"/>
                <w:szCs w:val="16"/>
              </w:rPr>
              <w:t>　</w:t>
            </w:r>
          </w:p>
        </w:tc>
        <w:tc>
          <w:tcPr>
            <w:tcW w:w="1843"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right"/>
              <w:rPr>
                <w:rFonts w:cs="Calibri"/>
                <w:bCs/>
                <w:sz w:val="16"/>
                <w:szCs w:val="16"/>
              </w:rPr>
            </w:pPr>
            <w:r>
              <w:rPr>
                <w:rFonts w:cs="Calibri" w:hint="eastAsia"/>
                <w:color w:val="000000"/>
                <w:sz w:val="16"/>
                <w:szCs w:val="16"/>
              </w:rPr>
              <w:t>46.27</w:t>
            </w:r>
          </w:p>
        </w:tc>
      </w:tr>
      <w:tr>
        <w:trPr>
          <w:trHeight w:val="340"/>
        </w:trPr>
        <w:tc>
          <w:tcPr>
            <w:tcW w:w="1066" w:type="dxa"/>
            <w:tcBorders>
              <w:top w:val="nil"/>
              <w:left w:val="single" w:sz="4" w:space="0" w:color="auto"/>
              <w:bottom w:val="single" w:sz="4" w:space="0" w:color="auto"/>
              <w:right w:val="single" w:sz="4" w:space="0" w:color="auto"/>
            </w:tcBorders>
            <w:shd w:val="clear" w:color="auto" w:fill="auto"/>
            <w:noWrap/>
            <w:vAlign w:val="center"/>
          </w:tcPr>
          <w:p>
            <w:pPr>
              <w:widowControl/>
              <w:overflowPunct/>
              <w:spacing w:line="240" w:lineRule="auto"/>
              <w:ind w:firstLineChars="0" w:firstLine="360"/>
              <w:jc w:val="left"/>
              <w:rPr>
                <w:rFonts w:eastAsia="宋体" w:cs="宋体"/>
                <w:kern w:val="0"/>
                <w:sz w:val="18"/>
                <w:szCs w:val="18"/>
              </w:rPr>
            </w:pPr>
            <w:r>
              <w:rPr>
                <w:rFonts w:cs="Calibri" w:hint="eastAsia"/>
                <w:color w:val="000000"/>
                <w:sz w:val="16"/>
                <w:szCs w:val="16"/>
              </w:rPr>
              <w:t>30218</w:t>
            </w:r>
          </w:p>
        </w:tc>
        <w:tc>
          <w:tcPr>
            <w:tcW w:w="3121"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0"/>
              <w:jc w:val="left"/>
              <w:rPr>
                <w:rFonts w:eastAsia="宋体" w:cs="宋体"/>
                <w:kern w:val="0"/>
                <w:sz w:val="18"/>
                <w:szCs w:val="18"/>
              </w:rPr>
            </w:pPr>
            <w:r>
              <w:rPr>
                <w:rFonts w:cs="Calibri" w:hint="eastAsia"/>
                <w:color w:val="000000"/>
                <w:sz w:val="16"/>
                <w:szCs w:val="16"/>
              </w:rPr>
              <w:t>专用材料费</w:t>
            </w:r>
          </w:p>
        </w:tc>
        <w:tc>
          <w:tcPr>
            <w:tcW w:w="2127"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right"/>
              <w:rPr>
                <w:rFonts w:cs="Calibri"/>
                <w:bCs/>
                <w:sz w:val="16"/>
                <w:szCs w:val="16"/>
              </w:rPr>
            </w:pPr>
            <w:r>
              <w:rPr>
                <w:rFonts w:cs="Calibri" w:hint="eastAsia"/>
                <w:color w:val="000000"/>
                <w:sz w:val="16"/>
                <w:szCs w:val="16"/>
              </w:rPr>
              <w:t>100.24</w:t>
            </w:r>
          </w:p>
        </w:tc>
        <w:tc>
          <w:tcPr>
            <w:tcW w:w="1986"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right"/>
              <w:rPr>
                <w:rFonts w:cs="Calibri"/>
                <w:bCs/>
                <w:sz w:val="16"/>
                <w:szCs w:val="16"/>
              </w:rPr>
            </w:pPr>
            <w:r>
              <w:rPr>
                <w:rFonts w:cs="Calibri" w:hint="eastAsia"/>
                <w:color w:val="000000"/>
                <w:sz w:val="16"/>
                <w:szCs w:val="16"/>
              </w:rPr>
              <w:t>　</w:t>
            </w:r>
          </w:p>
        </w:tc>
        <w:tc>
          <w:tcPr>
            <w:tcW w:w="1843"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right"/>
              <w:rPr>
                <w:rFonts w:cs="Calibri"/>
                <w:bCs/>
                <w:sz w:val="16"/>
                <w:szCs w:val="16"/>
              </w:rPr>
            </w:pPr>
            <w:r>
              <w:rPr>
                <w:rFonts w:cs="Calibri" w:hint="eastAsia"/>
                <w:color w:val="000000"/>
                <w:sz w:val="16"/>
                <w:szCs w:val="16"/>
              </w:rPr>
              <w:t>100.24</w:t>
            </w:r>
          </w:p>
        </w:tc>
      </w:tr>
      <w:tr>
        <w:trPr>
          <w:trHeight w:val="340"/>
        </w:trPr>
        <w:tc>
          <w:tcPr>
            <w:tcW w:w="1066" w:type="dxa"/>
            <w:tcBorders>
              <w:top w:val="nil"/>
              <w:left w:val="single" w:sz="4" w:space="0" w:color="auto"/>
              <w:bottom w:val="single" w:sz="4" w:space="0" w:color="auto"/>
              <w:right w:val="single" w:sz="4" w:space="0" w:color="auto"/>
            </w:tcBorders>
            <w:shd w:val="clear" w:color="auto" w:fill="auto"/>
            <w:noWrap/>
            <w:vAlign w:val="center"/>
          </w:tcPr>
          <w:p>
            <w:pPr>
              <w:widowControl/>
              <w:overflowPunct/>
              <w:spacing w:line="240" w:lineRule="auto"/>
              <w:ind w:firstLineChars="0" w:firstLine="360"/>
              <w:jc w:val="left"/>
              <w:rPr>
                <w:rFonts w:eastAsia="宋体" w:cs="宋体"/>
                <w:kern w:val="0"/>
                <w:sz w:val="18"/>
                <w:szCs w:val="18"/>
              </w:rPr>
            </w:pPr>
            <w:r>
              <w:rPr>
                <w:rFonts w:cs="Calibri" w:hint="eastAsia"/>
                <w:color w:val="000000"/>
                <w:sz w:val="16"/>
                <w:szCs w:val="16"/>
              </w:rPr>
              <w:t>30224</w:t>
            </w:r>
          </w:p>
        </w:tc>
        <w:tc>
          <w:tcPr>
            <w:tcW w:w="3121"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0"/>
              <w:jc w:val="left"/>
              <w:rPr>
                <w:rFonts w:eastAsia="宋体" w:cs="宋体"/>
                <w:kern w:val="0"/>
                <w:sz w:val="18"/>
                <w:szCs w:val="18"/>
              </w:rPr>
            </w:pPr>
            <w:r>
              <w:rPr>
                <w:rFonts w:cs="Calibri" w:hint="eastAsia"/>
                <w:color w:val="000000"/>
                <w:sz w:val="16"/>
                <w:szCs w:val="16"/>
              </w:rPr>
              <w:t>被装购置费</w:t>
            </w:r>
          </w:p>
        </w:tc>
        <w:tc>
          <w:tcPr>
            <w:tcW w:w="2127"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right"/>
              <w:rPr>
                <w:rFonts w:cs="Calibri"/>
                <w:bCs/>
                <w:sz w:val="16"/>
                <w:szCs w:val="16"/>
              </w:rPr>
            </w:pPr>
            <w:r>
              <w:rPr>
                <w:rFonts w:cs="Calibri" w:hint="eastAsia"/>
                <w:color w:val="000000"/>
                <w:sz w:val="16"/>
                <w:szCs w:val="16"/>
              </w:rPr>
              <w:t>41.00</w:t>
            </w:r>
          </w:p>
        </w:tc>
        <w:tc>
          <w:tcPr>
            <w:tcW w:w="1986"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right"/>
              <w:rPr>
                <w:rFonts w:cs="Calibri"/>
                <w:bCs/>
                <w:sz w:val="16"/>
                <w:szCs w:val="16"/>
              </w:rPr>
            </w:pPr>
            <w:r>
              <w:rPr>
                <w:rFonts w:cs="Calibri" w:hint="eastAsia"/>
                <w:color w:val="000000"/>
                <w:sz w:val="16"/>
                <w:szCs w:val="16"/>
              </w:rPr>
              <w:t>　</w:t>
            </w:r>
          </w:p>
        </w:tc>
        <w:tc>
          <w:tcPr>
            <w:tcW w:w="1843"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right"/>
              <w:rPr>
                <w:rFonts w:cs="Calibri"/>
                <w:bCs/>
                <w:sz w:val="16"/>
                <w:szCs w:val="16"/>
              </w:rPr>
            </w:pPr>
            <w:r>
              <w:rPr>
                <w:rFonts w:cs="Calibri" w:hint="eastAsia"/>
                <w:color w:val="000000"/>
                <w:sz w:val="16"/>
                <w:szCs w:val="16"/>
              </w:rPr>
              <w:t>41.00</w:t>
            </w:r>
          </w:p>
        </w:tc>
      </w:tr>
      <w:tr>
        <w:trPr>
          <w:trHeight w:val="340"/>
        </w:trPr>
        <w:tc>
          <w:tcPr>
            <w:tcW w:w="1066" w:type="dxa"/>
            <w:tcBorders>
              <w:top w:val="nil"/>
              <w:left w:val="single" w:sz="4" w:space="0" w:color="auto"/>
              <w:bottom w:val="single" w:sz="4" w:space="0" w:color="auto"/>
              <w:right w:val="single" w:sz="4" w:space="0" w:color="auto"/>
            </w:tcBorders>
            <w:shd w:val="clear" w:color="auto" w:fill="auto"/>
            <w:noWrap/>
            <w:vAlign w:val="center"/>
          </w:tcPr>
          <w:p>
            <w:pPr>
              <w:widowControl/>
              <w:overflowPunct/>
              <w:spacing w:line="240" w:lineRule="auto"/>
              <w:ind w:firstLineChars="0" w:firstLine="360"/>
              <w:jc w:val="left"/>
              <w:rPr>
                <w:rFonts w:eastAsia="宋体" w:cs="宋体"/>
                <w:kern w:val="0"/>
                <w:sz w:val="18"/>
                <w:szCs w:val="18"/>
              </w:rPr>
            </w:pPr>
            <w:r>
              <w:rPr>
                <w:rFonts w:cs="Calibri" w:hint="eastAsia"/>
                <w:color w:val="000000"/>
                <w:sz w:val="16"/>
                <w:szCs w:val="16"/>
              </w:rPr>
              <w:t>30225</w:t>
            </w:r>
          </w:p>
        </w:tc>
        <w:tc>
          <w:tcPr>
            <w:tcW w:w="3121"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0"/>
              <w:jc w:val="left"/>
              <w:rPr>
                <w:rFonts w:eastAsia="宋体" w:cs="宋体"/>
                <w:kern w:val="0"/>
                <w:sz w:val="18"/>
                <w:szCs w:val="18"/>
              </w:rPr>
            </w:pPr>
            <w:r>
              <w:rPr>
                <w:rFonts w:cs="Calibri" w:hint="eastAsia"/>
                <w:color w:val="000000"/>
                <w:sz w:val="16"/>
                <w:szCs w:val="16"/>
              </w:rPr>
              <w:t>专用燃料费</w:t>
            </w:r>
          </w:p>
        </w:tc>
        <w:tc>
          <w:tcPr>
            <w:tcW w:w="2127"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right"/>
              <w:rPr>
                <w:rFonts w:cs="Calibri"/>
                <w:bCs/>
                <w:sz w:val="16"/>
                <w:szCs w:val="16"/>
              </w:rPr>
            </w:pPr>
            <w:r>
              <w:rPr>
                <w:rFonts w:cs="Calibri" w:hint="eastAsia"/>
                <w:color w:val="000000"/>
                <w:sz w:val="16"/>
                <w:szCs w:val="16"/>
              </w:rPr>
              <w:t>4.44</w:t>
            </w:r>
          </w:p>
        </w:tc>
        <w:tc>
          <w:tcPr>
            <w:tcW w:w="1986"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right"/>
              <w:rPr>
                <w:rFonts w:cs="Calibri"/>
                <w:bCs/>
                <w:sz w:val="16"/>
                <w:szCs w:val="16"/>
              </w:rPr>
            </w:pPr>
            <w:r>
              <w:rPr>
                <w:rFonts w:cs="Calibri" w:hint="eastAsia"/>
                <w:color w:val="000000"/>
                <w:sz w:val="16"/>
                <w:szCs w:val="16"/>
              </w:rPr>
              <w:t>　</w:t>
            </w:r>
          </w:p>
        </w:tc>
        <w:tc>
          <w:tcPr>
            <w:tcW w:w="1843"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right"/>
              <w:rPr>
                <w:rFonts w:cs="Calibri"/>
                <w:bCs/>
                <w:sz w:val="16"/>
                <w:szCs w:val="16"/>
              </w:rPr>
            </w:pPr>
            <w:r>
              <w:rPr>
                <w:rFonts w:cs="Calibri" w:hint="eastAsia"/>
                <w:color w:val="000000"/>
                <w:sz w:val="16"/>
                <w:szCs w:val="16"/>
              </w:rPr>
              <w:t>4.44</w:t>
            </w:r>
          </w:p>
        </w:tc>
      </w:tr>
      <w:tr>
        <w:trPr>
          <w:trHeight w:val="340"/>
        </w:trPr>
        <w:tc>
          <w:tcPr>
            <w:tcW w:w="1066" w:type="dxa"/>
            <w:tcBorders>
              <w:top w:val="nil"/>
              <w:left w:val="single" w:sz="4" w:space="0" w:color="auto"/>
              <w:bottom w:val="single" w:sz="4" w:space="0" w:color="auto"/>
              <w:right w:val="single" w:sz="4" w:space="0" w:color="auto"/>
            </w:tcBorders>
            <w:shd w:val="clear" w:color="auto" w:fill="auto"/>
            <w:noWrap/>
            <w:vAlign w:val="center"/>
          </w:tcPr>
          <w:p>
            <w:pPr>
              <w:widowControl/>
              <w:overflowPunct/>
              <w:spacing w:line="240" w:lineRule="auto"/>
              <w:ind w:firstLineChars="0" w:firstLine="360"/>
              <w:jc w:val="left"/>
              <w:rPr>
                <w:rFonts w:eastAsia="宋体" w:cs="宋体"/>
                <w:kern w:val="0"/>
                <w:sz w:val="18"/>
                <w:szCs w:val="18"/>
              </w:rPr>
            </w:pPr>
            <w:r>
              <w:rPr>
                <w:rFonts w:cs="Calibri" w:hint="eastAsia"/>
                <w:color w:val="000000"/>
                <w:sz w:val="16"/>
                <w:szCs w:val="16"/>
              </w:rPr>
              <w:t>30226</w:t>
            </w:r>
          </w:p>
        </w:tc>
        <w:tc>
          <w:tcPr>
            <w:tcW w:w="3121"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0"/>
              <w:jc w:val="left"/>
              <w:rPr>
                <w:rFonts w:eastAsia="宋体" w:cs="宋体"/>
                <w:kern w:val="0"/>
                <w:sz w:val="18"/>
                <w:szCs w:val="18"/>
              </w:rPr>
            </w:pPr>
            <w:r>
              <w:rPr>
                <w:rFonts w:cs="Calibri" w:hint="eastAsia"/>
                <w:color w:val="000000"/>
                <w:sz w:val="16"/>
                <w:szCs w:val="16"/>
              </w:rPr>
              <w:t>劳务费</w:t>
            </w:r>
          </w:p>
        </w:tc>
        <w:tc>
          <w:tcPr>
            <w:tcW w:w="2127"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right"/>
              <w:rPr>
                <w:rFonts w:cs="Calibri"/>
                <w:bCs/>
                <w:sz w:val="16"/>
                <w:szCs w:val="16"/>
              </w:rPr>
            </w:pPr>
            <w:r>
              <w:rPr>
                <w:rFonts w:cs="Calibri" w:hint="eastAsia"/>
                <w:color w:val="000000"/>
                <w:sz w:val="16"/>
                <w:szCs w:val="16"/>
              </w:rPr>
              <w:t>837.42</w:t>
            </w:r>
          </w:p>
        </w:tc>
        <w:tc>
          <w:tcPr>
            <w:tcW w:w="1986"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right"/>
              <w:rPr>
                <w:rFonts w:cs="Calibri"/>
                <w:bCs/>
                <w:sz w:val="16"/>
                <w:szCs w:val="16"/>
              </w:rPr>
            </w:pPr>
            <w:r>
              <w:rPr>
                <w:rFonts w:cs="Calibri" w:hint="eastAsia"/>
                <w:color w:val="000000"/>
                <w:sz w:val="16"/>
                <w:szCs w:val="16"/>
              </w:rPr>
              <w:t>　</w:t>
            </w:r>
          </w:p>
        </w:tc>
        <w:tc>
          <w:tcPr>
            <w:tcW w:w="1843"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right"/>
              <w:rPr>
                <w:rFonts w:cs="Calibri"/>
                <w:bCs/>
                <w:sz w:val="16"/>
                <w:szCs w:val="16"/>
              </w:rPr>
            </w:pPr>
            <w:r>
              <w:rPr>
                <w:rFonts w:cs="Calibri" w:hint="eastAsia"/>
                <w:color w:val="000000"/>
                <w:sz w:val="16"/>
                <w:szCs w:val="16"/>
              </w:rPr>
              <w:t>837.42</w:t>
            </w:r>
          </w:p>
        </w:tc>
      </w:tr>
      <w:tr>
        <w:trPr>
          <w:trHeight w:val="340"/>
        </w:trPr>
        <w:tc>
          <w:tcPr>
            <w:tcW w:w="1066" w:type="dxa"/>
            <w:tcBorders>
              <w:top w:val="nil"/>
              <w:left w:val="single" w:sz="4" w:space="0" w:color="auto"/>
              <w:bottom w:val="single" w:sz="4" w:space="0" w:color="auto"/>
              <w:right w:val="single" w:sz="4" w:space="0" w:color="auto"/>
            </w:tcBorders>
            <w:shd w:val="clear" w:color="auto" w:fill="auto"/>
            <w:noWrap/>
            <w:vAlign w:val="center"/>
          </w:tcPr>
          <w:p>
            <w:pPr>
              <w:widowControl/>
              <w:overflowPunct/>
              <w:spacing w:line="240" w:lineRule="auto"/>
              <w:ind w:firstLineChars="0" w:firstLine="360"/>
              <w:jc w:val="left"/>
              <w:rPr>
                <w:rFonts w:eastAsia="宋体" w:cs="宋体"/>
                <w:kern w:val="0"/>
                <w:sz w:val="18"/>
                <w:szCs w:val="18"/>
              </w:rPr>
            </w:pPr>
            <w:r>
              <w:rPr>
                <w:rFonts w:cs="Calibri" w:hint="eastAsia"/>
                <w:color w:val="000000"/>
                <w:sz w:val="16"/>
                <w:szCs w:val="16"/>
              </w:rPr>
              <w:t>30227</w:t>
            </w:r>
          </w:p>
        </w:tc>
        <w:tc>
          <w:tcPr>
            <w:tcW w:w="3121"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0"/>
              <w:jc w:val="left"/>
              <w:rPr>
                <w:rFonts w:eastAsia="宋体" w:cs="宋体"/>
                <w:kern w:val="0"/>
                <w:sz w:val="18"/>
                <w:szCs w:val="18"/>
              </w:rPr>
            </w:pPr>
            <w:r>
              <w:rPr>
                <w:rFonts w:cs="Calibri" w:hint="eastAsia"/>
                <w:color w:val="000000"/>
                <w:sz w:val="16"/>
                <w:szCs w:val="16"/>
              </w:rPr>
              <w:t>委托业务费</w:t>
            </w:r>
          </w:p>
        </w:tc>
        <w:tc>
          <w:tcPr>
            <w:tcW w:w="2127"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right"/>
              <w:rPr>
                <w:rFonts w:cs="Calibri"/>
                <w:bCs/>
                <w:sz w:val="16"/>
                <w:szCs w:val="16"/>
              </w:rPr>
            </w:pPr>
            <w:r>
              <w:rPr>
                <w:rFonts w:cs="Calibri" w:hint="eastAsia"/>
                <w:color w:val="000000"/>
                <w:sz w:val="16"/>
                <w:szCs w:val="16"/>
              </w:rPr>
              <w:t>274.15</w:t>
            </w:r>
          </w:p>
        </w:tc>
        <w:tc>
          <w:tcPr>
            <w:tcW w:w="1986"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right"/>
              <w:rPr>
                <w:rFonts w:cs="Calibri"/>
                <w:bCs/>
                <w:sz w:val="16"/>
                <w:szCs w:val="16"/>
              </w:rPr>
            </w:pPr>
            <w:r>
              <w:rPr>
                <w:rFonts w:cs="Calibri" w:hint="eastAsia"/>
                <w:color w:val="000000"/>
                <w:sz w:val="16"/>
                <w:szCs w:val="16"/>
              </w:rPr>
              <w:t>　</w:t>
            </w:r>
          </w:p>
        </w:tc>
        <w:tc>
          <w:tcPr>
            <w:tcW w:w="1843"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right"/>
              <w:rPr>
                <w:rFonts w:cs="Calibri"/>
                <w:bCs/>
                <w:sz w:val="16"/>
                <w:szCs w:val="16"/>
              </w:rPr>
            </w:pPr>
            <w:r>
              <w:rPr>
                <w:rFonts w:cs="Calibri" w:hint="eastAsia"/>
                <w:color w:val="000000"/>
                <w:sz w:val="16"/>
                <w:szCs w:val="16"/>
              </w:rPr>
              <w:t>274.15</w:t>
            </w:r>
          </w:p>
        </w:tc>
      </w:tr>
      <w:tr>
        <w:trPr>
          <w:trHeight w:val="340"/>
        </w:trPr>
        <w:tc>
          <w:tcPr>
            <w:tcW w:w="1066" w:type="dxa"/>
            <w:tcBorders>
              <w:top w:val="nil"/>
              <w:left w:val="single" w:sz="4" w:space="0" w:color="auto"/>
              <w:bottom w:val="single" w:sz="4" w:space="0" w:color="auto"/>
              <w:right w:val="single" w:sz="4" w:space="0" w:color="auto"/>
            </w:tcBorders>
            <w:shd w:val="clear" w:color="auto" w:fill="auto"/>
            <w:noWrap/>
            <w:vAlign w:val="center"/>
          </w:tcPr>
          <w:p>
            <w:pPr>
              <w:widowControl/>
              <w:overflowPunct/>
              <w:spacing w:line="240" w:lineRule="auto"/>
              <w:ind w:firstLineChars="0" w:firstLine="360"/>
              <w:jc w:val="left"/>
              <w:rPr>
                <w:rFonts w:eastAsia="宋体" w:cs="宋体"/>
                <w:kern w:val="0"/>
                <w:sz w:val="18"/>
                <w:szCs w:val="18"/>
              </w:rPr>
            </w:pPr>
            <w:r>
              <w:rPr>
                <w:rFonts w:cs="Calibri" w:hint="eastAsia"/>
                <w:color w:val="000000"/>
                <w:sz w:val="16"/>
                <w:szCs w:val="16"/>
              </w:rPr>
              <w:t>30228</w:t>
            </w:r>
          </w:p>
        </w:tc>
        <w:tc>
          <w:tcPr>
            <w:tcW w:w="3121"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0"/>
              <w:jc w:val="left"/>
              <w:rPr>
                <w:rFonts w:eastAsia="宋体" w:cs="宋体"/>
                <w:kern w:val="0"/>
                <w:sz w:val="18"/>
                <w:szCs w:val="18"/>
              </w:rPr>
            </w:pPr>
            <w:r>
              <w:rPr>
                <w:rFonts w:cs="Calibri" w:hint="eastAsia"/>
                <w:color w:val="000000"/>
                <w:sz w:val="16"/>
                <w:szCs w:val="16"/>
              </w:rPr>
              <w:t>工会经费</w:t>
            </w:r>
          </w:p>
        </w:tc>
        <w:tc>
          <w:tcPr>
            <w:tcW w:w="2127"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right"/>
              <w:rPr>
                <w:rFonts w:cs="Calibri"/>
                <w:bCs/>
                <w:sz w:val="16"/>
                <w:szCs w:val="16"/>
              </w:rPr>
            </w:pPr>
            <w:r>
              <w:rPr>
                <w:rFonts w:cs="Calibri" w:hint="eastAsia"/>
                <w:color w:val="000000"/>
                <w:sz w:val="16"/>
                <w:szCs w:val="16"/>
              </w:rPr>
              <w:t>1,057.63</w:t>
            </w:r>
          </w:p>
        </w:tc>
        <w:tc>
          <w:tcPr>
            <w:tcW w:w="1986"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right"/>
              <w:rPr>
                <w:rFonts w:cs="Calibri"/>
                <w:bCs/>
                <w:sz w:val="16"/>
                <w:szCs w:val="16"/>
              </w:rPr>
            </w:pPr>
            <w:r>
              <w:rPr>
                <w:rFonts w:cs="Calibri" w:hint="eastAsia"/>
                <w:color w:val="000000"/>
                <w:sz w:val="16"/>
                <w:szCs w:val="16"/>
              </w:rPr>
              <w:t>　</w:t>
            </w:r>
          </w:p>
        </w:tc>
        <w:tc>
          <w:tcPr>
            <w:tcW w:w="1843"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right"/>
              <w:rPr>
                <w:rFonts w:cs="Calibri"/>
                <w:bCs/>
                <w:sz w:val="16"/>
                <w:szCs w:val="16"/>
              </w:rPr>
            </w:pPr>
            <w:r>
              <w:rPr>
                <w:rFonts w:cs="Calibri" w:hint="eastAsia"/>
                <w:color w:val="000000"/>
                <w:sz w:val="16"/>
                <w:szCs w:val="16"/>
              </w:rPr>
              <w:t>1,057.63</w:t>
            </w:r>
          </w:p>
        </w:tc>
      </w:tr>
      <w:tr>
        <w:trPr>
          <w:trHeight w:val="340"/>
        </w:trPr>
        <w:tc>
          <w:tcPr>
            <w:tcW w:w="1066" w:type="dxa"/>
            <w:tcBorders>
              <w:top w:val="nil"/>
              <w:left w:val="single" w:sz="4" w:space="0" w:color="auto"/>
              <w:bottom w:val="single" w:sz="4" w:space="0" w:color="auto"/>
              <w:right w:val="single" w:sz="4" w:space="0" w:color="auto"/>
            </w:tcBorders>
            <w:shd w:val="clear" w:color="auto" w:fill="auto"/>
            <w:noWrap/>
            <w:vAlign w:val="center"/>
          </w:tcPr>
          <w:p>
            <w:pPr>
              <w:widowControl/>
              <w:overflowPunct/>
              <w:spacing w:line="240" w:lineRule="auto"/>
              <w:ind w:firstLineChars="0" w:firstLine="360"/>
              <w:jc w:val="left"/>
              <w:rPr>
                <w:rFonts w:eastAsia="宋体" w:cs="宋体"/>
                <w:kern w:val="0"/>
                <w:sz w:val="18"/>
                <w:szCs w:val="18"/>
              </w:rPr>
            </w:pPr>
            <w:r>
              <w:rPr>
                <w:rFonts w:cs="Calibri" w:hint="eastAsia"/>
                <w:color w:val="000000"/>
                <w:sz w:val="16"/>
                <w:szCs w:val="16"/>
              </w:rPr>
              <w:t>30229</w:t>
            </w:r>
          </w:p>
        </w:tc>
        <w:tc>
          <w:tcPr>
            <w:tcW w:w="3121"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0"/>
              <w:jc w:val="left"/>
              <w:rPr>
                <w:rFonts w:eastAsia="宋体" w:cs="宋体"/>
                <w:kern w:val="0"/>
                <w:sz w:val="18"/>
                <w:szCs w:val="18"/>
              </w:rPr>
            </w:pPr>
            <w:r>
              <w:rPr>
                <w:rFonts w:cs="Calibri" w:hint="eastAsia"/>
                <w:color w:val="000000"/>
                <w:sz w:val="16"/>
                <w:szCs w:val="16"/>
              </w:rPr>
              <w:t>福利费</w:t>
            </w:r>
          </w:p>
        </w:tc>
        <w:tc>
          <w:tcPr>
            <w:tcW w:w="2127"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right"/>
              <w:rPr>
                <w:rFonts w:cs="Calibri"/>
                <w:bCs/>
                <w:sz w:val="16"/>
                <w:szCs w:val="16"/>
              </w:rPr>
            </w:pPr>
            <w:r>
              <w:rPr>
                <w:rFonts w:cs="Calibri" w:hint="eastAsia"/>
                <w:color w:val="000000"/>
                <w:sz w:val="16"/>
                <w:szCs w:val="16"/>
              </w:rPr>
              <w:t>1,712.51</w:t>
            </w:r>
          </w:p>
        </w:tc>
        <w:tc>
          <w:tcPr>
            <w:tcW w:w="1986"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right"/>
              <w:rPr>
                <w:rFonts w:cs="Calibri"/>
                <w:bCs/>
                <w:sz w:val="16"/>
                <w:szCs w:val="16"/>
              </w:rPr>
            </w:pPr>
            <w:r>
              <w:rPr>
                <w:rFonts w:cs="Calibri" w:hint="eastAsia"/>
                <w:color w:val="000000"/>
                <w:sz w:val="16"/>
                <w:szCs w:val="16"/>
              </w:rPr>
              <w:t>　</w:t>
            </w:r>
          </w:p>
        </w:tc>
        <w:tc>
          <w:tcPr>
            <w:tcW w:w="1843"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right"/>
              <w:rPr>
                <w:rFonts w:cs="Calibri"/>
                <w:bCs/>
                <w:sz w:val="16"/>
                <w:szCs w:val="16"/>
              </w:rPr>
            </w:pPr>
            <w:r>
              <w:rPr>
                <w:rFonts w:cs="Calibri" w:hint="eastAsia"/>
                <w:color w:val="000000"/>
                <w:sz w:val="16"/>
                <w:szCs w:val="16"/>
              </w:rPr>
              <w:t>1,712.51</w:t>
            </w:r>
          </w:p>
        </w:tc>
      </w:tr>
      <w:tr>
        <w:trPr>
          <w:trHeight w:val="340"/>
        </w:trPr>
        <w:tc>
          <w:tcPr>
            <w:tcW w:w="1066" w:type="dxa"/>
            <w:tcBorders>
              <w:top w:val="nil"/>
              <w:left w:val="single" w:sz="4" w:space="0" w:color="auto"/>
              <w:bottom w:val="single" w:sz="4" w:space="0" w:color="auto"/>
              <w:right w:val="single" w:sz="4" w:space="0" w:color="auto"/>
            </w:tcBorders>
            <w:shd w:val="clear" w:color="auto" w:fill="auto"/>
            <w:noWrap/>
            <w:vAlign w:val="center"/>
          </w:tcPr>
          <w:p>
            <w:pPr>
              <w:widowControl/>
              <w:overflowPunct/>
              <w:spacing w:line="240" w:lineRule="auto"/>
              <w:ind w:firstLineChars="0" w:firstLine="360"/>
              <w:jc w:val="left"/>
              <w:rPr>
                <w:rFonts w:eastAsia="宋体" w:cs="宋体"/>
                <w:kern w:val="0"/>
                <w:sz w:val="18"/>
                <w:szCs w:val="18"/>
              </w:rPr>
            </w:pPr>
            <w:r>
              <w:rPr>
                <w:rFonts w:cs="Calibri" w:hint="eastAsia"/>
                <w:color w:val="000000"/>
                <w:sz w:val="16"/>
                <w:szCs w:val="16"/>
              </w:rPr>
              <w:t>30231</w:t>
            </w:r>
          </w:p>
        </w:tc>
        <w:tc>
          <w:tcPr>
            <w:tcW w:w="3121"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0"/>
              <w:jc w:val="left"/>
              <w:rPr>
                <w:rFonts w:eastAsia="宋体" w:cs="宋体"/>
                <w:kern w:val="0"/>
                <w:sz w:val="18"/>
                <w:szCs w:val="18"/>
              </w:rPr>
            </w:pPr>
            <w:r>
              <w:rPr>
                <w:rFonts w:cs="Calibri" w:hint="eastAsia"/>
                <w:color w:val="000000"/>
                <w:sz w:val="16"/>
                <w:szCs w:val="16"/>
              </w:rPr>
              <w:t>公务用车运行维护费</w:t>
            </w:r>
          </w:p>
        </w:tc>
        <w:tc>
          <w:tcPr>
            <w:tcW w:w="2127"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right"/>
              <w:rPr>
                <w:rFonts w:cs="Calibri"/>
                <w:bCs/>
                <w:sz w:val="16"/>
                <w:szCs w:val="16"/>
              </w:rPr>
            </w:pPr>
            <w:r>
              <w:rPr>
                <w:rFonts w:cs="Calibri" w:hint="eastAsia"/>
                <w:color w:val="000000"/>
                <w:sz w:val="16"/>
                <w:szCs w:val="16"/>
              </w:rPr>
              <w:t>434.78</w:t>
            </w:r>
          </w:p>
        </w:tc>
        <w:tc>
          <w:tcPr>
            <w:tcW w:w="1986"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right"/>
              <w:rPr>
                <w:rFonts w:cs="Calibri"/>
                <w:bCs/>
                <w:sz w:val="16"/>
                <w:szCs w:val="16"/>
              </w:rPr>
            </w:pPr>
            <w:r>
              <w:rPr>
                <w:rFonts w:cs="Calibri" w:hint="eastAsia"/>
                <w:color w:val="000000"/>
                <w:sz w:val="16"/>
                <w:szCs w:val="16"/>
              </w:rPr>
              <w:t>　</w:t>
            </w:r>
          </w:p>
        </w:tc>
        <w:tc>
          <w:tcPr>
            <w:tcW w:w="1843"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right"/>
              <w:rPr>
                <w:rFonts w:cs="Calibri"/>
                <w:bCs/>
                <w:sz w:val="16"/>
                <w:szCs w:val="16"/>
              </w:rPr>
            </w:pPr>
            <w:r>
              <w:rPr>
                <w:rFonts w:cs="Calibri" w:hint="eastAsia"/>
                <w:color w:val="000000"/>
                <w:sz w:val="16"/>
                <w:szCs w:val="16"/>
              </w:rPr>
              <w:t>434.78</w:t>
            </w:r>
          </w:p>
        </w:tc>
      </w:tr>
      <w:tr>
        <w:trPr>
          <w:trHeight w:val="340"/>
        </w:trPr>
        <w:tc>
          <w:tcPr>
            <w:tcW w:w="1066" w:type="dxa"/>
            <w:tcBorders>
              <w:top w:val="nil"/>
              <w:left w:val="single" w:sz="4" w:space="0" w:color="auto"/>
              <w:bottom w:val="single" w:sz="4" w:space="0" w:color="auto"/>
              <w:right w:val="single" w:sz="4" w:space="0" w:color="auto"/>
            </w:tcBorders>
            <w:shd w:val="clear" w:color="auto" w:fill="auto"/>
            <w:noWrap/>
            <w:vAlign w:val="center"/>
          </w:tcPr>
          <w:p>
            <w:pPr>
              <w:widowControl/>
              <w:overflowPunct/>
              <w:spacing w:line="240" w:lineRule="auto"/>
              <w:ind w:firstLineChars="0" w:firstLine="360"/>
              <w:jc w:val="left"/>
              <w:rPr>
                <w:rFonts w:eastAsia="宋体" w:cs="宋体"/>
                <w:kern w:val="0"/>
                <w:sz w:val="18"/>
                <w:szCs w:val="18"/>
              </w:rPr>
            </w:pPr>
            <w:r>
              <w:rPr>
                <w:rFonts w:cs="Calibri" w:hint="eastAsia"/>
                <w:color w:val="000000"/>
                <w:sz w:val="16"/>
                <w:szCs w:val="16"/>
              </w:rPr>
              <w:t>30239</w:t>
            </w:r>
          </w:p>
        </w:tc>
        <w:tc>
          <w:tcPr>
            <w:tcW w:w="3121"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0"/>
              <w:jc w:val="left"/>
              <w:rPr>
                <w:rFonts w:eastAsia="宋体" w:cs="宋体"/>
                <w:kern w:val="0"/>
                <w:sz w:val="18"/>
                <w:szCs w:val="18"/>
              </w:rPr>
            </w:pPr>
            <w:r>
              <w:rPr>
                <w:rFonts w:cs="Calibri" w:hint="eastAsia"/>
                <w:color w:val="000000"/>
                <w:sz w:val="16"/>
                <w:szCs w:val="16"/>
              </w:rPr>
              <w:t>其他交通费用</w:t>
            </w:r>
          </w:p>
        </w:tc>
        <w:tc>
          <w:tcPr>
            <w:tcW w:w="2127"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right"/>
              <w:rPr>
                <w:rFonts w:cs="Calibri"/>
                <w:bCs/>
                <w:sz w:val="16"/>
                <w:szCs w:val="16"/>
              </w:rPr>
            </w:pPr>
            <w:r>
              <w:rPr>
                <w:rFonts w:cs="Calibri" w:hint="eastAsia"/>
                <w:color w:val="000000"/>
                <w:sz w:val="16"/>
                <w:szCs w:val="16"/>
              </w:rPr>
              <w:t>2,491.68</w:t>
            </w:r>
          </w:p>
        </w:tc>
        <w:tc>
          <w:tcPr>
            <w:tcW w:w="1986"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right"/>
              <w:rPr>
                <w:rFonts w:cs="Calibri"/>
                <w:bCs/>
                <w:sz w:val="16"/>
                <w:szCs w:val="16"/>
              </w:rPr>
            </w:pPr>
            <w:r>
              <w:rPr>
                <w:rFonts w:cs="Calibri" w:hint="eastAsia"/>
                <w:color w:val="000000"/>
                <w:sz w:val="16"/>
                <w:szCs w:val="16"/>
              </w:rPr>
              <w:t>　</w:t>
            </w:r>
          </w:p>
        </w:tc>
        <w:tc>
          <w:tcPr>
            <w:tcW w:w="1843"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right"/>
              <w:rPr>
                <w:rFonts w:cs="Calibri"/>
                <w:bCs/>
                <w:sz w:val="16"/>
                <w:szCs w:val="16"/>
              </w:rPr>
            </w:pPr>
            <w:r>
              <w:rPr>
                <w:rFonts w:cs="Calibri" w:hint="eastAsia"/>
                <w:color w:val="000000"/>
                <w:sz w:val="16"/>
                <w:szCs w:val="16"/>
              </w:rPr>
              <w:t>2,491.68</w:t>
            </w:r>
          </w:p>
        </w:tc>
      </w:tr>
      <w:tr>
        <w:trPr>
          <w:trHeight w:val="340"/>
        </w:trPr>
        <w:tc>
          <w:tcPr>
            <w:tcW w:w="1066" w:type="dxa"/>
            <w:tcBorders>
              <w:top w:val="nil"/>
              <w:left w:val="single" w:sz="4" w:space="0" w:color="auto"/>
              <w:bottom w:val="single" w:sz="4" w:space="0" w:color="auto"/>
              <w:right w:val="single" w:sz="4" w:space="0" w:color="auto"/>
            </w:tcBorders>
            <w:shd w:val="clear" w:color="auto" w:fill="auto"/>
            <w:noWrap/>
            <w:vAlign w:val="center"/>
          </w:tcPr>
          <w:p>
            <w:pPr>
              <w:widowControl/>
              <w:overflowPunct/>
              <w:spacing w:line="240" w:lineRule="auto"/>
              <w:ind w:firstLineChars="0" w:firstLine="360"/>
              <w:jc w:val="left"/>
              <w:rPr>
                <w:rFonts w:eastAsia="宋体" w:cs="宋体"/>
                <w:kern w:val="0"/>
                <w:sz w:val="18"/>
                <w:szCs w:val="18"/>
              </w:rPr>
            </w:pPr>
            <w:r>
              <w:rPr>
                <w:rFonts w:cs="Calibri" w:hint="eastAsia"/>
                <w:color w:val="000000"/>
                <w:sz w:val="16"/>
                <w:szCs w:val="16"/>
              </w:rPr>
              <w:t>30240</w:t>
            </w:r>
          </w:p>
        </w:tc>
        <w:tc>
          <w:tcPr>
            <w:tcW w:w="3121"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0"/>
              <w:jc w:val="left"/>
              <w:rPr>
                <w:rFonts w:eastAsia="宋体" w:cs="宋体"/>
                <w:kern w:val="0"/>
                <w:sz w:val="18"/>
                <w:szCs w:val="18"/>
              </w:rPr>
            </w:pPr>
            <w:r>
              <w:rPr>
                <w:rFonts w:cs="Calibri" w:hint="eastAsia"/>
                <w:color w:val="000000"/>
                <w:sz w:val="16"/>
                <w:szCs w:val="16"/>
              </w:rPr>
              <w:t>税金及附加费用</w:t>
            </w:r>
          </w:p>
        </w:tc>
        <w:tc>
          <w:tcPr>
            <w:tcW w:w="2127"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right"/>
              <w:rPr>
                <w:rFonts w:cs="Calibri"/>
                <w:bCs/>
                <w:sz w:val="16"/>
                <w:szCs w:val="16"/>
              </w:rPr>
            </w:pPr>
            <w:r>
              <w:rPr>
                <w:rFonts w:cs="Calibri" w:hint="eastAsia"/>
                <w:color w:val="000000"/>
                <w:sz w:val="16"/>
                <w:szCs w:val="16"/>
              </w:rPr>
              <w:t>21.59</w:t>
            </w:r>
          </w:p>
        </w:tc>
        <w:tc>
          <w:tcPr>
            <w:tcW w:w="1986"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right"/>
              <w:rPr>
                <w:rFonts w:cs="Calibri"/>
                <w:bCs/>
                <w:sz w:val="16"/>
                <w:szCs w:val="16"/>
              </w:rPr>
            </w:pPr>
            <w:r>
              <w:rPr>
                <w:rFonts w:cs="Calibri" w:hint="eastAsia"/>
                <w:color w:val="000000"/>
                <w:sz w:val="16"/>
                <w:szCs w:val="16"/>
              </w:rPr>
              <w:t>　</w:t>
            </w:r>
          </w:p>
        </w:tc>
        <w:tc>
          <w:tcPr>
            <w:tcW w:w="1843"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right"/>
              <w:rPr>
                <w:rFonts w:cs="Calibri"/>
                <w:bCs/>
                <w:sz w:val="16"/>
                <w:szCs w:val="16"/>
              </w:rPr>
            </w:pPr>
            <w:r>
              <w:rPr>
                <w:rFonts w:cs="Calibri" w:hint="eastAsia"/>
                <w:color w:val="000000"/>
                <w:sz w:val="16"/>
                <w:szCs w:val="16"/>
              </w:rPr>
              <w:t>21.59</w:t>
            </w:r>
          </w:p>
        </w:tc>
      </w:tr>
      <w:tr>
        <w:trPr>
          <w:trHeight w:val="340"/>
        </w:trPr>
        <w:tc>
          <w:tcPr>
            <w:tcW w:w="1066" w:type="dxa"/>
            <w:tcBorders>
              <w:top w:val="nil"/>
              <w:left w:val="single" w:sz="4" w:space="0" w:color="auto"/>
              <w:bottom w:val="single" w:sz="4" w:space="0" w:color="auto"/>
              <w:right w:val="single" w:sz="4" w:space="0" w:color="auto"/>
            </w:tcBorders>
            <w:shd w:val="clear" w:color="auto" w:fill="auto"/>
            <w:noWrap/>
            <w:vAlign w:val="center"/>
          </w:tcPr>
          <w:p>
            <w:pPr>
              <w:widowControl/>
              <w:overflowPunct/>
              <w:spacing w:line="240" w:lineRule="auto"/>
              <w:ind w:firstLineChars="0" w:firstLine="360"/>
              <w:jc w:val="left"/>
              <w:rPr>
                <w:rFonts w:eastAsia="宋体" w:cs="宋体"/>
                <w:kern w:val="0"/>
                <w:sz w:val="18"/>
                <w:szCs w:val="18"/>
              </w:rPr>
            </w:pPr>
            <w:r>
              <w:rPr>
                <w:rFonts w:cs="Calibri" w:hint="eastAsia"/>
                <w:color w:val="000000"/>
                <w:sz w:val="16"/>
                <w:szCs w:val="16"/>
              </w:rPr>
              <w:t>30299</w:t>
            </w:r>
          </w:p>
        </w:tc>
        <w:tc>
          <w:tcPr>
            <w:tcW w:w="3121"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0"/>
              <w:jc w:val="left"/>
              <w:rPr>
                <w:rFonts w:eastAsia="宋体" w:cs="宋体"/>
                <w:kern w:val="0"/>
                <w:sz w:val="18"/>
                <w:szCs w:val="18"/>
              </w:rPr>
            </w:pPr>
            <w:r>
              <w:rPr>
                <w:rFonts w:cs="Calibri" w:hint="eastAsia"/>
                <w:color w:val="000000"/>
                <w:sz w:val="16"/>
                <w:szCs w:val="16"/>
              </w:rPr>
              <w:t>其他商品和服务支出</w:t>
            </w:r>
          </w:p>
        </w:tc>
        <w:tc>
          <w:tcPr>
            <w:tcW w:w="2127"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right"/>
              <w:rPr>
                <w:rFonts w:cs="Calibri"/>
                <w:bCs/>
                <w:sz w:val="16"/>
                <w:szCs w:val="16"/>
              </w:rPr>
            </w:pPr>
            <w:r>
              <w:rPr>
                <w:rFonts w:cs="Calibri" w:hint="eastAsia"/>
                <w:color w:val="000000"/>
                <w:sz w:val="16"/>
                <w:szCs w:val="16"/>
              </w:rPr>
              <w:t>361.39</w:t>
            </w:r>
          </w:p>
        </w:tc>
        <w:tc>
          <w:tcPr>
            <w:tcW w:w="1986"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right"/>
              <w:rPr>
                <w:rFonts w:cs="Calibri"/>
                <w:bCs/>
                <w:sz w:val="16"/>
                <w:szCs w:val="16"/>
              </w:rPr>
            </w:pPr>
            <w:r>
              <w:rPr>
                <w:rFonts w:cs="Calibri" w:hint="eastAsia"/>
                <w:color w:val="000000"/>
                <w:sz w:val="16"/>
                <w:szCs w:val="16"/>
              </w:rPr>
              <w:t>　</w:t>
            </w:r>
          </w:p>
        </w:tc>
        <w:tc>
          <w:tcPr>
            <w:tcW w:w="1843"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right"/>
              <w:rPr>
                <w:rFonts w:cs="Calibri"/>
                <w:bCs/>
                <w:sz w:val="16"/>
                <w:szCs w:val="16"/>
              </w:rPr>
            </w:pPr>
            <w:r>
              <w:rPr>
                <w:rFonts w:cs="Calibri" w:hint="eastAsia"/>
                <w:color w:val="000000"/>
                <w:sz w:val="16"/>
                <w:szCs w:val="16"/>
              </w:rPr>
              <w:t>361.39</w:t>
            </w:r>
          </w:p>
        </w:tc>
      </w:tr>
      <w:tr>
        <w:trPr>
          <w:trHeight w:val="340"/>
        </w:trPr>
        <w:tc>
          <w:tcPr>
            <w:tcW w:w="1066" w:type="dxa"/>
            <w:tcBorders>
              <w:top w:val="nil"/>
              <w:left w:val="single" w:sz="4" w:space="0" w:color="auto"/>
              <w:bottom w:val="single" w:sz="4" w:space="0" w:color="auto"/>
              <w:right w:val="single" w:sz="4" w:space="0" w:color="auto"/>
            </w:tcBorders>
            <w:shd w:val="clear" w:color="auto" w:fill="auto"/>
            <w:noWrap/>
            <w:vAlign w:val="center"/>
          </w:tcPr>
          <w:p>
            <w:pPr>
              <w:widowControl/>
              <w:overflowPunct/>
              <w:spacing w:line="240" w:lineRule="auto"/>
              <w:ind w:firstLineChars="0" w:firstLine="361"/>
              <w:jc w:val="left"/>
              <w:rPr>
                <w:rFonts w:eastAsia="宋体" w:cs="宋体"/>
                <w:b/>
                <w:bCs/>
                <w:kern w:val="0"/>
                <w:sz w:val="18"/>
                <w:szCs w:val="18"/>
              </w:rPr>
            </w:pPr>
            <w:r>
              <w:rPr>
                <w:rFonts w:eastAsia="宋体" w:cs="宋体" w:hint="eastAsia"/>
                <w:b/>
                <w:bCs/>
                <w:kern w:val="0"/>
                <w:sz w:val="18"/>
                <w:szCs w:val="18"/>
              </w:rPr>
              <w:t>303</w:t>
            </w:r>
          </w:p>
        </w:tc>
        <w:tc>
          <w:tcPr>
            <w:tcW w:w="3121"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left"/>
              <w:rPr>
                <w:rFonts w:eastAsia="宋体" w:cs="宋体"/>
                <w:b/>
                <w:bCs/>
                <w:kern w:val="0"/>
                <w:sz w:val="18"/>
                <w:szCs w:val="18"/>
              </w:rPr>
            </w:pPr>
            <w:r>
              <w:rPr>
                <w:rFonts w:eastAsia="宋体" w:cs="宋体" w:hint="eastAsia"/>
                <w:b/>
                <w:bCs/>
                <w:kern w:val="0"/>
                <w:sz w:val="18"/>
                <w:szCs w:val="18"/>
              </w:rPr>
              <w:t>对个人和家庭的补助</w:t>
            </w:r>
          </w:p>
        </w:tc>
        <w:tc>
          <w:tcPr>
            <w:tcW w:w="2127"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right"/>
              <w:rPr>
                <w:rFonts w:cs="Calibri"/>
                <w:b/>
                <w:bCs/>
                <w:sz w:val="16"/>
                <w:szCs w:val="16"/>
              </w:rPr>
            </w:pPr>
            <w:r>
              <w:rPr>
                <w:rFonts w:cs="Calibri" w:hint="eastAsia"/>
                <w:b/>
                <w:bCs/>
                <w:color w:val="000000"/>
                <w:sz w:val="16"/>
                <w:szCs w:val="16"/>
              </w:rPr>
              <w:t>516.43</w:t>
            </w:r>
          </w:p>
        </w:tc>
        <w:tc>
          <w:tcPr>
            <w:tcW w:w="1986"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right"/>
              <w:rPr>
                <w:rFonts w:cs="Calibri"/>
                <w:b/>
                <w:bCs/>
                <w:sz w:val="16"/>
                <w:szCs w:val="16"/>
              </w:rPr>
            </w:pPr>
            <w:r>
              <w:rPr>
                <w:rFonts w:cs="Calibri" w:hint="eastAsia"/>
                <w:b/>
                <w:bCs/>
                <w:color w:val="000000"/>
                <w:sz w:val="16"/>
                <w:szCs w:val="16"/>
              </w:rPr>
              <w:t>516.43</w:t>
            </w:r>
          </w:p>
        </w:tc>
        <w:tc>
          <w:tcPr>
            <w:tcW w:w="1843"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right"/>
              <w:rPr>
                <w:rFonts w:eastAsia="宋体" w:cs="Times New Roman"/>
                <w:b/>
                <w:bCs/>
                <w:kern w:val="0"/>
                <w:sz w:val="18"/>
                <w:szCs w:val="18"/>
              </w:rPr>
            </w:pPr>
            <w:r>
              <w:rPr>
                <w:rFonts w:cs="Calibri" w:hint="eastAsia"/>
                <w:b/>
                <w:bCs/>
                <w:color w:val="000000"/>
                <w:sz w:val="16"/>
                <w:szCs w:val="16"/>
              </w:rPr>
              <w:t>　</w:t>
            </w:r>
          </w:p>
        </w:tc>
      </w:tr>
      <w:tr>
        <w:trPr>
          <w:trHeight w:val="340"/>
        </w:trPr>
        <w:tc>
          <w:tcPr>
            <w:tcW w:w="1066" w:type="dxa"/>
            <w:tcBorders>
              <w:top w:val="nil"/>
              <w:left w:val="single" w:sz="4" w:space="0" w:color="auto"/>
              <w:bottom w:val="single" w:sz="4" w:space="0" w:color="auto"/>
              <w:right w:val="single" w:sz="4" w:space="0" w:color="auto"/>
            </w:tcBorders>
            <w:shd w:val="clear" w:color="auto" w:fill="auto"/>
            <w:noWrap/>
            <w:vAlign w:val="center"/>
          </w:tcPr>
          <w:p>
            <w:pPr>
              <w:widowControl/>
              <w:overflowPunct/>
              <w:spacing w:line="240" w:lineRule="auto"/>
              <w:ind w:firstLineChars="0" w:firstLine="360"/>
              <w:jc w:val="left"/>
              <w:rPr>
                <w:rFonts w:eastAsia="宋体" w:cs="宋体"/>
                <w:kern w:val="0"/>
                <w:sz w:val="18"/>
                <w:szCs w:val="18"/>
              </w:rPr>
            </w:pPr>
            <w:r>
              <w:rPr>
                <w:rFonts w:cs="Calibri" w:hint="eastAsia"/>
                <w:color w:val="000000"/>
                <w:sz w:val="16"/>
                <w:szCs w:val="16"/>
              </w:rPr>
              <w:t>30301</w:t>
            </w:r>
          </w:p>
        </w:tc>
        <w:tc>
          <w:tcPr>
            <w:tcW w:w="3121"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0"/>
              <w:jc w:val="left"/>
              <w:rPr>
                <w:rFonts w:eastAsia="宋体" w:cs="宋体"/>
                <w:kern w:val="0"/>
                <w:sz w:val="18"/>
                <w:szCs w:val="18"/>
              </w:rPr>
            </w:pPr>
            <w:r>
              <w:rPr>
                <w:rFonts w:cs="Calibri" w:hint="eastAsia"/>
                <w:color w:val="000000"/>
                <w:sz w:val="16"/>
                <w:szCs w:val="16"/>
              </w:rPr>
              <w:t>离休费</w:t>
            </w:r>
          </w:p>
        </w:tc>
        <w:tc>
          <w:tcPr>
            <w:tcW w:w="2127"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right"/>
              <w:rPr>
                <w:rFonts w:cs="Calibri"/>
                <w:bCs/>
                <w:sz w:val="16"/>
                <w:szCs w:val="16"/>
              </w:rPr>
            </w:pPr>
            <w:r>
              <w:rPr>
                <w:rFonts w:cs="Calibri" w:hint="eastAsia"/>
                <w:color w:val="000000"/>
                <w:sz w:val="16"/>
                <w:szCs w:val="16"/>
              </w:rPr>
              <w:t>169.71</w:t>
            </w:r>
          </w:p>
        </w:tc>
        <w:tc>
          <w:tcPr>
            <w:tcW w:w="1986"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right"/>
              <w:rPr>
                <w:rFonts w:cs="Calibri"/>
                <w:bCs/>
                <w:sz w:val="16"/>
                <w:szCs w:val="16"/>
              </w:rPr>
            </w:pPr>
            <w:r>
              <w:rPr>
                <w:rFonts w:cs="Calibri" w:hint="eastAsia"/>
                <w:color w:val="000000"/>
                <w:sz w:val="16"/>
                <w:szCs w:val="16"/>
              </w:rPr>
              <w:t>169.71</w:t>
            </w:r>
          </w:p>
        </w:tc>
        <w:tc>
          <w:tcPr>
            <w:tcW w:w="1843"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0"/>
              <w:jc w:val="right"/>
              <w:rPr>
                <w:rFonts w:eastAsia="宋体" w:cs="Times New Roman"/>
                <w:kern w:val="0"/>
                <w:sz w:val="18"/>
                <w:szCs w:val="18"/>
              </w:rPr>
            </w:pPr>
            <w:r>
              <w:rPr>
                <w:rFonts w:cs="Calibri" w:hint="eastAsia"/>
                <w:color w:val="000000"/>
                <w:sz w:val="16"/>
                <w:szCs w:val="16"/>
              </w:rPr>
              <w:t>　</w:t>
            </w:r>
          </w:p>
        </w:tc>
      </w:tr>
      <w:tr>
        <w:trPr>
          <w:trHeight w:val="340"/>
        </w:trPr>
        <w:tc>
          <w:tcPr>
            <w:tcW w:w="1066" w:type="dxa"/>
            <w:tcBorders>
              <w:top w:val="nil"/>
              <w:left w:val="single" w:sz="4" w:space="0" w:color="auto"/>
              <w:bottom w:val="single" w:sz="4" w:space="0" w:color="auto"/>
              <w:right w:val="single" w:sz="4" w:space="0" w:color="auto"/>
            </w:tcBorders>
            <w:shd w:val="clear" w:color="auto" w:fill="auto"/>
            <w:noWrap/>
            <w:vAlign w:val="center"/>
          </w:tcPr>
          <w:p>
            <w:pPr>
              <w:widowControl/>
              <w:overflowPunct/>
              <w:spacing w:line="240" w:lineRule="auto"/>
              <w:ind w:firstLineChars="0" w:firstLine="360"/>
              <w:jc w:val="left"/>
              <w:rPr>
                <w:rFonts w:eastAsia="宋体" w:cs="宋体"/>
                <w:kern w:val="0"/>
                <w:sz w:val="18"/>
                <w:szCs w:val="18"/>
              </w:rPr>
            </w:pPr>
            <w:r>
              <w:rPr>
                <w:rFonts w:cs="Calibri" w:hint="eastAsia"/>
                <w:color w:val="000000"/>
                <w:sz w:val="16"/>
                <w:szCs w:val="16"/>
              </w:rPr>
              <w:t>30302</w:t>
            </w:r>
          </w:p>
        </w:tc>
        <w:tc>
          <w:tcPr>
            <w:tcW w:w="3121"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0"/>
              <w:jc w:val="left"/>
              <w:rPr>
                <w:rFonts w:eastAsia="宋体" w:cs="宋体"/>
                <w:kern w:val="0"/>
                <w:sz w:val="18"/>
                <w:szCs w:val="18"/>
              </w:rPr>
            </w:pPr>
            <w:r>
              <w:rPr>
                <w:rFonts w:cs="Calibri" w:hint="eastAsia"/>
                <w:color w:val="000000"/>
                <w:sz w:val="16"/>
                <w:szCs w:val="16"/>
              </w:rPr>
              <w:t>退休费</w:t>
            </w:r>
          </w:p>
        </w:tc>
        <w:tc>
          <w:tcPr>
            <w:tcW w:w="2127"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right"/>
              <w:rPr>
                <w:rFonts w:cs="Calibri"/>
                <w:bCs/>
                <w:sz w:val="16"/>
                <w:szCs w:val="16"/>
              </w:rPr>
            </w:pPr>
            <w:r>
              <w:rPr>
                <w:rFonts w:cs="Calibri" w:hint="eastAsia"/>
                <w:color w:val="000000"/>
                <w:sz w:val="16"/>
                <w:szCs w:val="16"/>
              </w:rPr>
              <w:t>176.67</w:t>
            </w:r>
          </w:p>
        </w:tc>
        <w:tc>
          <w:tcPr>
            <w:tcW w:w="1986"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right"/>
              <w:rPr>
                <w:rFonts w:cs="Calibri"/>
                <w:bCs/>
                <w:sz w:val="16"/>
                <w:szCs w:val="16"/>
              </w:rPr>
            </w:pPr>
            <w:r>
              <w:rPr>
                <w:rFonts w:cs="Calibri" w:hint="eastAsia"/>
                <w:color w:val="000000"/>
                <w:sz w:val="16"/>
                <w:szCs w:val="16"/>
              </w:rPr>
              <w:t>176.67</w:t>
            </w:r>
          </w:p>
        </w:tc>
        <w:tc>
          <w:tcPr>
            <w:tcW w:w="1843"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0"/>
              <w:jc w:val="right"/>
              <w:rPr>
                <w:rFonts w:eastAsia="宋体" w:cs="Times New Roman"/>
                <w:kern w:val="0"/>
                <w:sz w:val="18"/>
                <w:szCs w:val="18"/>
              </w:rPr>
            </w:pPr>
            <w:r>
              <w:rPr>
                <w:rFonts w:cs="Calibri" w:hint="eastAsia"/>
                <w:color w:val="000000"/>
                <w:sz w:val="16"/>
                <w:szCs w:val="16"/>
              </w:rPr>
              <w:t>　</w:t>
            </w:r>
          </w:p>
        </w:tc>
      </w:tr>
      <w:tr>
        <w:trPr>
          <w:trHeight w:val="340"/>
        </w:trPr>
        <w:tc>
          <w:tcPr>
            <w:tcW w:w="1066" w:type="dxa"/>
            <w:tcBorders>
              <w:top w:val="nil"/>
              <w:left w:val="single" w:sz="4" w:space="0" w:color="auto"/>
              <w:bottom w:val="single" w:sz="4" w:space="0" w:color="auto"/>
              <w:right w:val="single" w:sz="4" w:space="0" w:color="auto"/>
            </w:tcBorders>
            <w:shd w:val="clear" w:color="auto" w:fill="auto"/>
            <w:noWrap/>
            <w:vAlign w:val="center"/>
          </w:tcPr>
          <w:p>
            <w:pPr>
              <w:widowControl/>
              <w:overflowPunct/>
              <w:spacing w:line="240" w:lineRule="auto"/>
              <w:ind w:firstLineChars="0" w:firstLine="360"/>
              <w:jc w:val="left"/>
              <w:rPr>
                <w:rFonts w:eastAsia="宋体" w:cs="宋体"/>
                <w:kern w:val="0"/>
                <w:sz w:val="18"/>
                <w:szCs w:val="18"/>
              </w:rPr>
            </w:pPr>
            <w:r>
              <w:rPr>
                <w:rFonts w:cs="Calibri" w:hint="eastAsia"/>
                <w:color w:val="000000"/>
                <w:sz w:val="16"/>
                <w:szCs w:val="16"/>
              </w:rPr>
              <w:t>30304</w:t>
            </w:r>
          </w:p>
        </w:tc>
        <w:tc>
          <w:tcPr>
            <w:tcW w:w="3121"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0"/>
              <w:jc w:val="left"/>
              <w:rPr>
                <w:rFonts w:eastAsia="宋体" w:cs="宋体"/>
                <w:kern w:val="0"/>
                <w:sz w:val="18"/>
                <w:szCs w:val="18"/>
              </w:rPr>
            </w:pPr>
            <w:r>
              <w:rPr>
                <w:rFonts w:cs="Calibri" w:hint="eastAsia"/>
                <w:color w:val="000000"/>
                <w:sz w:val="16"/>
                <w:szCs w:val="16"/>
              </w:rPr>
              <w:t>抚恤金</w:t>
            </w:r>
          </w:p>
        </w:tc>
        <w:tc>
          <w:tcPr>
            <w:tcW w:w="2127"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right"/>
              <w:rPr>
                <w:rFonts w:cs="Calibri"/>
                <w:bCs/>
                <w:sz w:val="16"/>
                <w:szCs w:val="16"/>
              </w:rPr>
            </w:pPr>
            <w:r>
              <w:rPr>
                <w:rFonts w:cs="Calibri" w:hint="eastAsia"/>
                <w:color w:val="000000"/>
                <w:sz w:val="16"/>
                <w:szCs w:val="16"/>
              </w:rPr>
              <w:t>129.28</w:t>
            </w:r>
          </w:p>
        </w:tc>
        <w:tc>
          <w:tcPr>
            <w:tcW w:w="1986"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right"/>
              <w:rPr>
                <w:rFonts w:cs="Calibri"/>
                <w:bCs/>
                <w:sz w:val="16"/>
                <w:szCs w:val="16"/>
              </w:rPr>
            </w:pPr>
            <w:r>
              <w:rPr>
                <w:rFonts w:cs="Calibri" w:hint="eastAsia"/>
                <w:color w:val="000000"/>
                <w:sz w:val="16"/>
                <w:szCs w:val="16"/>
              </w:rPr>
              <w:t>129.28</w:t>
            </w:r>
          </w:p>
        </w:tc>
        <w:tc>
          <w:tcPr>
            <w:tcW w:w="1843"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0"/>
              <w:jc w:val="right"/>
              <w:rPr>
                <w:rFonts w:eastAsia="宋体" w:cs="Times New Roman"/>
                <w:kern w:val="0"/>
                <w:sz w:val="18"/>
                <w:szCs w:val="18"/>
              </w:rPr>
            </w:pPr>
            <w:r>
              <w:rPr>
                <w:rFonts w:cs="Calibri" w:hint="eastAsia"/>
                <w:color w:val="000000"/>
                <w:sz w:val="16"/>
                <w:szCs w:val="16"/>
              </w:rPr>
              <w:t>　</w:t>
            </w:r>
          </w:p>
        </w:tc>
      </w:tr>
      <w:tr>
        <w:trPr>
          <w:trHeight w:val="340"/>
        </w:trPr>
        <w:tc>
          <w:tcPr>
            <w:tcW w:w="1066" w:type="dxa"/>
            <w:tcBorders>
              <w:top w:val="nil"/>
              <w:left w:val="single" w:sz="4" w:space="0" w:color="auto"/>
              <w:bottom w:val="single" w:sz="4" w:space="0" w:color="auto"/>
              <w:right w:val="single" w:sz="4" w:space="0" w:color="auto"/>
            </w:tcBorders>
            <w:shd w:val="clear" w:color="auto" w:fill="auto"/>
            <w:noWrap/>
            <w:vAlign w:val="center"/>
          </w:tcPr>
          <w:p>
            <w:pPr>
              <w:widowControl/>
              <w:overflowPunct/>
              <w:spacing w:line="240" w:lineRule="auto"/>
              <w:ind w:firstLineChars="0" w:firstLine="360"/>
              <w:jc w:val="left"/>
              <w:rPr>
                <w:rFonts w:eastAsia="宋体" w:cs="宋体"/>
                <w:kern w:val="0"/>
                <w:sz w:val="18"/>
                <w:szCs w:val="18"/>
              </w:rPr>
            </w:pPr>
            <w:r>
              <w:rPr>
                <w:rFonts w:cs="Calibri" w:hint="eastAsia"/>
                <w:color w:val="000000"/>
                <w:sz w:val="16"/>
                <w:szCs w:val="16"/>
              </w:rPr>
              <w:t>30305</w:t>
            </w:r>
          </w:p>
        </w:tc>
        <w:tc>
          <w:tcPr>
            <w:tcW w:w="3121"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0"/>
              <w:jc w:val="left"/>
              <w:rPr>
                <w:rFonts w:eastAsia="宋体" w:cs="宋体"/>
                <w:kern w:val="0"/>
                <w:sz w:val="18"/>
                <w:szCs w:val="18"/>
              </w:rPr>
            </w:pPr>
            <w:r>
              <w:rPr>
                <w:rFonts w:cs="Calibri" w:hint="eastAsia"/>
                <w:color w:val="000000"/>
                <w:sz w:val="16"/>
                <w:szCs w:val="16"/>
              </w:rPr>
              <w:t>生活补助</w:t>
            </w:r>
          </w:p>
        </w:tc>
        <w:tc>
          <w:tcPr>
            <w:tcW w:w="2127"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right"/>
              <w:rPr>
                <w:rFonts w:cs="Calibri"/>
                <w:bCs/>
                <w:sz w:val="16"/>
                <w:szCs w:val="16"/>
              </w:rPr>
            </w:pPr>
            <w:r>
              <w:rPr>
                <w:rFonts w:cs="Calibri" w:hint="eastAsia"/>
                <w:color w:val="000000"/>
                <w:sz w:val="16"/>
                <w:szCs w:val="16"/>
              </w:rPr>
              <w:t>17.25</w:t>
            </w:r>
          </w:p>
        </w:tc>
        <w:tc>
          <w:tcPr>
            <w:tcW w:w="1986"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right"/>
              <w:rPr>
                <w:rFonts w:cs="Calibri"/>
                <w:bCs/>
                <w:sz w:val="16"/>
                <w:szCs w:val="16"/>
              </w:rPr>
            </w:pPr>
            <w:r>
              <w:rPr>
                <w:rFonts w:cs="Calibri" w:hint="eastAsia"/>
                <w:color w:val="000000"/>
                <w:sz w:val="16"/>
                <w:szCs w:val="16"/>
              </w:rPr>
              <w:t>17.25</w:t>
            </w:r>
          </w:p>
        </w:tc>
        <w:tc>
          <w:tcPr>
            <w:tcW w:w="1843"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0"/>
              <w:jc w:val="right"/>
              <w:rPr>
                <w:rFonts w:eastAsia="宋体" w:cs="Times New Roman"/>
                <w:kern w:val="0"/>
                <w:sz w:val="18"/>
                <w:szCs w:val="18"/>
              </w:rPr>
            </w:pPr>
            <w:r>
              <w:rPr>
                <w:rFonts w:cs="Calibri" w:hint="eastAsia"/>
                <w:color w:val="000000"/>
                <w:sz w:val="16"/>
                <w:szCs w:val="16"/>
              </w:rPr>
              <w:t>　</w:t>
            </w:r>
          </w:p>
        </w:tc>
      </w:tr>
      <w:tr>
        <w:trPr>
          <w:trHeight w:val="340"/>
        </w:trPr>
        <w:tc>
          <w:tcPr>
            <w:tcW w:w="1066" w:type="dxa"/>
            <w:tcBorders>
              <w:top w:val="nil"/>
              <w:left w:val="single" w:sz="4" w:space="0" w:color="auto"/>
              <w:bottom w:val="single" w:sz="4" w:space="0" w:color="auto"/>
              <w:right w:val="single" w:sz="4" w:space="0" w:color="auto"/>
            </w:tcBorders>
            <w:shd w:val="clear" w:color="auto" w:fill="auto"/>
            <w:noWrap/>
            <w:vAlign w:val="center"/>
          </w:tcPr>
          <w:p>
            <w:pPr>
              <w:widowControl/>
              <w:overflowPunct/>
              <w:spacing w:line="240" w:lineRule="auto"/>
              <w:ind w:firstLineChars="0" w:firstLine="360"/>
              <w:jc w:val="left"/>
              <w:rPr>
                <w:rFonts w:eastAsia="宋体" w:cs="宋体"/>
                <w:kern w:val="0"/>
                <w:sz w:val="18"/>
                <w:szCs w:val="18"/>
              </w:rPr>
            </w:pPr>
            <w:r>
              <w:rPr>
                <w:rFonts w:cs="Calibri" w:hint="eastAsia"/>
                <w:color w:val="000000"/>
                <w:sz w:val="16"/>
                <w:szCs w:val="16"/>
              </w:rPr>
              <w:t>30309</w:t>
            </w:r>
          </w:p>
        </w:tc>
        <w:tc>
          <w:tcPr>
            <w:tcW w:w="3121"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0"/>
              <w:jc w:val="left"/>
              <w:rPr>
                <w:rFonts w:eastAsia="宋体" w:cs="宋体"/>
                <w:kern w:val="0"/>
                <w:sz w:val="18"/>
                <w:szCs w:val="18"/>
              </w:rPr>
            </w:pPr>
            <w:r>
              <w:rPr>
                <w:rFonts w:cs="Calibri" w:hint="eastAsia"/>
                <w:color w:val="000000"/>
                <w:sz w:val="16"/>
                <w:szCs w:val="16"/>
              </w:rPr>
              <w:t>奖励金</w:t>
            </w:r>
          </w:p>
        </w:tc>
        <w:tc>
          <w:tcPr>
            <w:tcW w:w="2127"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right"/>
              <w:rPr>
                <w:rFonts w:cs="Calibri"/>
                <w:bCs/>
                <w:sz w:val="16"/>
                <w:szCs w:val="16"/>
              </w:rPr>
            </w:pPr>
            <w:r>
              <w:rPr>
                <w:rFonts w:cs="Calibri" w:hint="eastAsia"/>
                <w:color w:val="000000"/>
                <w:sz w:val="16"/>
                <w:szCs w:val="16"/>
              </w:rPr>
              <w:t>19.50</w:t>
            </w:r>
          </w:p>
        </w:tc>
        <w:tc>
          <w:tcPr>
            <w:tcW w:w="1986"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right"/>
              <w:rPr>
                <w:rFonts w:cs="Calibri"/>
                <w:bCs/>
                <w:sz w:val="16"/>
                <w:szCs w:val="16"/>
              </w:rPr>
            </w:pPr>
            <w:r>
              <w:rPr>
                <w:rFonts w:cs="Calibri" w:hint="eastAsia"/>
                <w:color w:val="000000"/>
                <w:sz w:val="16"/>
                <w:szCs w:val="16"/>
              </w:rPr>
              <w:t>19.50</w:t>
            </w:r>
          </w:p>
        </w:tc>
        <w:tc>
          <w:tcPr>
            <w:tcW w:w="1843"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0"/>
              <w:jc w:val="right"/>
              <w:rPr>
                <w:rFonts w:eastAsia="宋体" w:cs="Times New Roman"/>
                <w:kern w:val="0"/>
                <w:sz w:val="18"/>
                <w:szCs w:val="18"/>
              </w:rPr>
            </w:pPr>
          </w:p>
        </w:tc>
      </w:tr>
      <w:tr>
        <w:trPr>
          <w:trHeight w:val="340"/>
        </w:trPr>
        <w:tc>
          <w:tcPr>
            <w:tcW w:w="1066" w:type="dxa"/>
            <w:tcBorders>
              <w:top w:val="nil"/>
              <w:left w:val="single" w:sz="4" w:space="0" w:color="auto"/>
              <w:bottom w:val="single" w:sz="4" w:space="0" w:color="auto"/>
              <w:right w:val="single" w:sz="4" w:space="0" w:color="auto"/>
            </w:tcBorders>
            <w:shd w:val="clear" w:color="auto" w:fill="auto"/>
            <w:noWrap/>
            <w:vAlign w:val="center"/>
          </w:tcPr>
          <w:p>
            <w:pPr>
              <w:widowControl/>
              <w:overflowPunct/>
              <w:spacing w:line="240" w:lineRule="auto"/>
              <w:ind w:firstLineChars="0" w:firstLine="360"/>
              <w:jc w:val="left"/>
              <w:rPr>
                <w:rFonts w:eastAsia="宋体" w:cs="宋体"/>
                <w:kern w:val="0"/>
                <w:sz w:val="18"/>
                <w:szCs w:val="18"/>
              </w:rPr>
            </w:pPr>
            <w:r>
              <w:rPr>
                <w:rFonts w:cs="Calibri" w:hint="eastAsia"/>
                <w:color w:val="000000"/>
                <w:sz w:val="16"/>
                <w:szCs w:val="16"/>
              </w:rPr>
              <w:t>30399</w:t>
            </w:r>
          </w:p>
        </w:tc>
        <w:tc>
          <w:tcPr>
            <w:tcW w:w="3121"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0"/>
              <w:jc w:val="left"/>
              <w:rPr>
                <w:rFonts w:eastAsia="宋体" w:cs="宋体"/>
                <w:kern w:val="0"/>
                <w:sz w:val="18"/>
                <w:szCs w:val="18"/>
              </w:rPr>
            </w:pPr>
            <w:r>
              <w:rPr>
                <w:rFonts w:cs="Calibri" w:hint="eastAsia"/>
                <w:color w:val="000000"/>
                <w:sz w:val="16"/>
                <w:szCs w:val="16"/>
              </w:rPr>
              <w:t>其他对个人和家庭的补助</w:t>
            </w:r>
          </w:p>
        </w:tc>
        <w:tc>
          <w:tcPr>
            <w:tcW w:w="2127"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right"/>
              <w:rPr>
                <w:rFonts w:cs="Calibri"/>
                <w:bCs/>
                <w:sz w:val="16"/>
                <w:szCs w:val="16"/>
              </w:rPr>
            </w:pPr>
            <w:r>
              <w:rPr>
                <w:rFonts w:cs="Calibri" w:hint="eastAsia"/>
                <w:color w:val="000000"/>
                <w:sz w:val="16"/>
                <w:szCs w:val="16"/>
              </w:rPr>
              <w:t>4.02</w:t>
            </w:r>
          </w:p>
        </w:tc>
        <w:tc>
          <w:tcPr>
            <w:tcW w:w="1986"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right"/>
              <w:rPr>
                <w:rFonts w:cs="Calibri"/>
                <w:bCs/>
                <w:sz w:val="16"/>
                <w:szCs w:val="16"/>
              </w:rPr>
            </w:pPr>
            <w:r>
              <w:rPr>
                <w:rFonts w:cs="Calibri" w:hint="eastAsia"/>
                <w:color w:val="000000"/>
                <w:sz w:val="16"/>
                <w:szCs w:val="16"/>
              </w:rPr>
              <w:t>4.02</w:t>
            </w:r>
          </w:p>
        </w:tc>
        <w:tc>
          <w:tcPr>
            <w:tcW w:w="1843"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right"/>
              <w:rPr>
                <w:rFonts w:eastAsia="宋体" w:cs="Times New Roman"/>
                <w:b/>
                <w:bCs/>
                <w:kern w:val="0"/>
                <w:sz w:val="18"/>
                <w:szCs w:val="18"/>
              </w:rPr>
            </w:pPr>
          </w:p>
        </w:tc>
      </w:tr>
      <w:tr>
        <w:trPr>
          <w:trHeight w:val="340"/>
        </w:trPr>
        <w:tc>
          <w:tcPr>
            <w:tcW w:w="1066" w:type="dxa"/>
            <w:tcBorders>
              <w:top w:val="nil"/>
              <w:left w:val="single" w:sz="4" w:space="0" w:color="auto"/>
              <w:bottom w:val="single" w:sz="4" w:space="0" w:color="auto"/>
              <w:right w:val="single" w:sz="4" w:space="0" w:color="auto"/>
            </w:tcBorders>
            <w:shd w:val="clear" w:color="auto" w:fill="auto"/>
            <w:noWrap/>
            <w:vAlign w:val="center"/>
          </w:tcPr>
          <w:p>
            <w:pPr>
              <w:widowControl/>
              <w:overflowPunct/>
              <w:spacing w:line="240" w:lineRule="auto"/>
              <w:ind w:firstLineChars="0" w:firstLine="361"/>
              <w:jc w:val="left"/>
              <w:rPr>
                <w:rFonts w:eastAsia="宋体" w:cs="宋体"/>
                <w:b/>
                <w:bCs/>
                <w:kern w:val="0"/>
                <w:sz w:val="18"/>
                <w:szCs w:val="18"/>
              </w:rPr>
            </w:pPr>
            <w:r>
              <w:rPr>
                <w:rFonts w:eastAsia="宋体" w:cs="宋体" w:hint="eastAsia"/>
                <w:b/>
                <w:bCs/>
                <w:kern w:val="0"/>
                <w:sz w:val="18"/>
                <w:szCs w:val="18"/>
              </w:rPr>
              <w:t>310</w:t>
            </w:r>
          </w:p>
        </w:tc>
        <w:tc>
          <w:tcPr>
            <w:tcW w:w="3121"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left"/>
              <w:rPr>
                <w:rFonts w:eastAsia="宋体" w:cs="宋体"/>
                <w:b/>
                <w:bCs/>
                <w:kern w:val="0"/>
                <w:sz w:val="18"/>
                <w:szCs w:val="18"/>
              </w:rPr>
            </w:pPr>
            <w:r>
              <w:rPr>
                <w:rFonts w:eastAsia="宋体" w:cs="宋体" w:hint="eastAsia"/>
                <w:b/>
                <w:bCs/>
                <w:kern w:val="0"/>
                <w:sz w:val="18"/>
                <w:szCs w:val="18"/>
              </w:rPr>
              <w:t>资本性支出</w:t>
            </w:r>
          </w:p>
        </w:tc>
        <w:tc>
          <w:tcPr>
            <w:tcW w:w="2127"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right"/>
              <w:rPr>
                <w:rFonts w:cs="Calibri"/>
                <w:b/>
                <w:bCs/>
                <w:sz w:val="16"/>
                <w:szCs w:val="16"/>
              </w:rPr>
            </w:pPr>
            <w:r>
              <w:rPr>
                <w:rFonts w:cs="Calibri" w:hint="eastAsia"/>
                <w:b/>
                <w:bCs/>
                <w:color w:val="000000"/>
                <w:sz w:val="16"/>
                <w:szCs w:val="16"/>
              </w:rPr>
              <w:t>364.90</w:t>
            </w:r>
          </w:p>
        </w:tc>
        <w:tc>
          <w:tcPr>
            <w:tcW w:w="1986"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right"/>
              <w:rPr>
                <w:rFonts w:cs="Calibri"/>
                <w:b/>
                <w:bCs/>
                <w:sz w:val="16"/>
                <w:szCs w:val="16"/>
              </w:rPr>
            </w:pPr>
            <w:r>
              <w:rPr>
                <w:rFonts w:cs="Calibri" w:hint="eastAsia"/>
                <w:b/>
                <w:bCs/>
                <w:color w:val="000000"/>
                <w:sz w:val="16"/>
                <w:szCs w:val="16"/>
              </w:rPr>
              <w:t>　</w:t>
            </w:r>
          </w:p>
        </w:tc>
        <w:tc>
          <w:tcPr>
            <w:tcW w:w="1843"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right"/>
              <w:rPr>
                <w:rFonts w:cs="Calibri"/>
                <w:b/>
                <w:bCs/>
                <w:sz w:val="16"/>
                <w:szCs w:val="16"/>
              </w:rPr>
            </w:pPr>
            <w:r>
              <w:rPr>
                <w:rFonts w:cs="Calibri" w:hint="eastAsia"/>
                <w:b/>
                <w:bCs/>
                <w:color w:val="000000"/>
                <w:sz w:val="16"/>
                <w:szCs w:val="16"/>
              </w:rPr>
              <w:t>364.90</w:t>
            </w:r>
          </w:p>
        </w:tc>
      </w:tr>
      <w:tr>
        <w:trPr>
          <w:trHeight w:val="340"/>
        </w:trPr>
        <w:tc>
          <w:tcPr>
            <w:tcW w:w="1066" w:type="dxa"/>
            <w:tcBorders>
              <w:top w:val="nil"/>
              <w:left w:val="single" w:sz="4" w:space="0" w:color="auto"/>
              <w:bottom w:val="single" w:sz="4" w:space="0" w:color="auto"/>
              <w:right w:val="single" w:sz="4" w:space="0" w:color="auto"/>
            </w:tcBorders>
            <w:shd w:val="clear" w:color="auto" w:fill="auto"/>
            <w:noWrap/>
            <w:vAlign w:val="center"/>
          </w:tcPr>
          <w:p>
            <w:pPr>
              <w:widowControl/>
              <w:overflowPunct/>
              <w:spacing w:line="240" w:lineRule="auto"/>
              <w:ind w:firstLineChars="0" w:firstLine="360"/>
              <w:jc w:val="left"/>
              <w:rPr>
                <w:rFonts w:eastAsia="宋体" w:cs="宋体"/>
                <w:kern w:val="0"/>
                <w:sz w:val="18"/>
                <w:szCs w:val="18"/>
              </w:rPr>
            </w:pPr>
            <w:r>
              <w:rPr>
                <w:rFonts w:cs="Calibri" w:hint="eastAsia"/>
                <w:color w:val="000000"/>
                <w:sz w:val="16"/>
                <w:szCs w:val="16"/>
              </w:rPr>
              <w:t>31002</w:t>
            </w:r>
          </w:p>
        </w:tc>
        <w:tc>
          <w:tcPr>
            <w:tcW w:w="3121"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0"/>
              <w:jc w:val="left"/>
              <w:rPr>
                <w:rFonts w:eastAsia="宋体" w:cs="宋体"/>
                <w:kern w:val="0"/>
                <w:sz w:val="18"/>
                <w:szCs w:val="18"/>
              </w:rPr>
            </w:pPr>
            <w:r>
              <w:rPr>
                <w:rFonts w:cs="Calibri" w:hint="eastAsia"/>
                <w:color w:val="000000"/>
                <w:sz w:val="16"/>
                <w:szCs w:val="16"/>
              </w:rPr>
              <w:t>办公设备购置</w:t>
            </w:r>
          </w:p>
        </w:tc>
        <w:tc>
          <w:tcPr>
            <w:tcW w:w="2127"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right"/>
              <w:rPr>
                <w:rFonts w:cs="Calibri"/>
                <w:bCs/>
                <w:sz w:val="16"/>
                <w:szCs w:val="16"/>
              </w:rPr>
            </w:pPr>
            <w:r>
              <w:rPr>
                <w:rFonts w:cs="Calibri" w:hint="eastAsia"/>
                <w:color w:val="000000"/>
                <w:sz w:val="16"/>
                <w:szCs w:val="16"/>
              </w:rPr>
              <w:t>274.40</w:t>
            </w:r>
          </w:p>
        </w:tc>
        <w:tc>
          <w:tcPr>
            <w:tcW w:w="1986"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right"/>
              <w:rPr>
                <w:rFonts w:cs="Calibri"/>
                <w:bCs/>
                <w:sz w:val="16"/>
                <w:szCs w:val="16"/>
              </w:rPr>
            </w:pPr>
            <w:r>
              <w:rPr>
                <w:rFonts w:cs="Calibri" w:hint="eastAsia"/>
                <w:color w:val="000000"/>
                <w:sz w:val="16"/>
                <w:szCs w:val="16"/>
              </w:rPr>
              <w:t>　</w:t>
            </w:r>
          </w:p>
        </w:tc>
        <w:tc>
          <w:tcPr>
            <w:tcW w:w="1843"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right"/>
              <w:rPr>
                <w:rFonts w:cs="Calibri"/>
                <w:bCs/>
                <w:sz w:val="16"/>
                <w:szCs w:val="16"/>
              </w:rPr>
            </w:pPr>
            <w:r>
              <w:rPr>
                <w:rFonts w:cs="Calibri" w:hint="eastAsia"/>
                <w:color w:val="000000"/>
                <w:sz w:val="16"/>
                <w:szCs w:val="16"/>
              </w:rPr>
              <w:t>274.40</w:t>
            </w:r>
          </w:p>
        </w:tc>
      </w:tr>
      <w:tr>
        <w:trPr>
          <w:trHeight w:val="340"/>
        </w:trPr>
        <w:tc>
          <w:tcPr>
            <w:tcW w:w="1066" w:type="dxa"/>
            <w:tcBorders>
              <w:top w:val="nil"/>
              <w:left w:val="single" w:sz="4" w:space="0" w:color="auto"/>
              <w:bottom w:val="single" w:sz="4" w:space="0" w:color="auto"/>
              <w:right w:val="single" w:sz="4" w:space="0" w:color="auto"/>
            </w:tcBorders>
            <w:shd w:val="clear" w:color="auto" w:fill="auto"/>
            <w:noWrap/>
            <w:vAlign w:val="center"/>
          </w:tcPr>
          <w:p>
            <w:pPr>
              <w:widowControl/>
              <w:overflowPunct/>
              <w:spacing w:line="240" w:lineRule="auto"/>
              <w:ind w:firstLineChars="0" w:firstLine="360"/>
              <w:jc w:val="left"/>
              <w:rPr>
                <w:rFonts w:eastAsia="宋体" w:cs="宋体"/>
                <w:kern w:val="0"/>
                <w:sz w:val="18"/>
                <w:szCs w:val="18"/>
              </w:rPr>
            </w:pPr>
            <w:r>
              <w:rPr>
                <w:rFonts w:cs="Calibri" w:hint="eastAsia"/>
                <w:color w:val="000000"/>
                <w:sz w:val="16"/>
                <w:szCs w:val="16"/>
              </w:rPr>
              <w:t>31003</w:t>
            </w:r>
          </w:p>
        </w:tc>
        <w:tc>
          <w:tcPr>
            <w:tcW w:w="3121"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0"/>
              <w:jc w:val="left"/>
              <w:rPr>
                <w:rFonts w:eastAsia="宋体" w:cs="宋体"/>
                <w:kern w:val="0"/>
                <w:sz w:val="18"/>
                <w:szCs w:val="18"/>
              </w:rPr>
            </w:pPr>
            <w:r>
              <w:rPr>
                <w:rFonts w:cs="Calibri" w:hint="eastAsia"/>
                <w:color w:val="000000"/>
                <w:sz w:val="16"/>
                <w:szCs w:val="16"/>
              </w:rPr>
              <w:t>专用设备购置</w:t>
            </w:r>
          </w:p>
        </w:tc>
        <w:tc>
          <w:tcPr>
            <w:tcW w:w="2127"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right"/>
              <w:rPr>
                <w:rFonts w:cs="Calibri"/>
                <w:bCs/>
                <w:sz w:val="16"/>
                <w:szCs w:val="16"/>
              </w:rPr>
            </w:pPr>
            <w:r>
              <w:rPr>
                <w:rFonts w:cs="Calibri" w:hint="eastAsia"/>
                <w:color w:val="000000"/>
                <w:sz w:val="16"/>
                <w:szCs w:val="16"/>
              </w:rPr>
              <w:t>3.50</w:t>
            </w:r>
          </w:p>
        </w:tc>
        <w:tc>
          <w:tcPr>
            <w:tcW w:w="1986"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right"/>
              <w:rPr>
                <w:rFonts w:cs="Calibri"/>
                <w:bCs/>
                <w:sz w:val="16"/>
                <w:szCs w:val="16"/>
              </w:rPr>
            </w:pPr>
            <w:r>
              <w:rPr>
                <w:rFonts w:cs="Calibri" w:hint="eastAsia"/>
                <w:color w:val="000000"/>
                <w:sz w:val="16"/>
                <w:szCs w:val="16"/>
              </w:rPr>
              <w:t>　</w:t>
            </w:r>
          </w:p>
        </w:tc>
        <w:tc>
          <w:tcPr>
            <w:tcW w:w="1843"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right"/>
              <w:rPr>
                <w:rFonts w:cs="Calibri"/>
                <w:bCs/>
                <w:sz w:val="16"/>
                <w:szCs w:val="16"/>
              </w:rPr>
            </w:pPr>
            <w:r>
              <w:rPr>
                <w:rFonts w:cs="Calibri" w:hint="eastAsia"/>
                <w:color w:val="000000"/>
                <w:sz w:val="16"/>
                <w:szCs w:val="16"/>
              </w:rPr>
              <w:t>3.50</w:t>
            </w:r>
          </w:p>
        </w:tc>
      </w:tr>
      <w:tr>
        <w:trPr>
          <w:trHeight w:val="340"/>
        </w:trPr>
        <w:tc>
          <w:tcPr>
            <w:tcW w:w="1066" w:type="dxa"/>
            <w:tcBorders>
              <w:top w:val="nil"/>
              <w:left w:val="single" w:sz="4" w:space="0" w:color="auto"/>
              <w:bottom w:val="single" w:sz="4" w:space="0" w:color="auto"/>
              <w:right w:val="single" w:sz="4" w:space="0" w:color="auto"/>
            </w:tcBorders>
            <w:shd w:val="clear" w:color="auto" w:fill="auto"/>
            <w:noWrap/>
            <w:vAlign w:val="center"/>
          </w:tcPr>
          <w:p>
            <w:pPr>
              <w:widowControl/>
              <w:overflowPunct/>
              <w:spacing w:line="240" w:lineRule="auto"/>
              <w:ind w:firstLineChars="0" w:firstLine="360"/>
              <w:jc w:val="left"/>
              <w:rPr>
                <w:rFonts w:eastAsia="宋体" w:cs="宋体"/>
                <w:kern w:val="0"/>
                <w:sz w:val="18"/>
                <w:szCs w:val="18"/>
              </w:rPr>
            </w:pPr>
            <w:r>
              <w:rPr>
                <w:rFonts w:cs="Calibri" w:hint="eastAsia"/>
                <w:color w:val="000000"/>
                <w:sz w:val="16"/>
                <w:szCs w:val="16"/>
              </w:rPr>
              <w:t>31007</w:t>
            </w:r>
          </w:p>
        </w:tc>
        <w:tc>
          <w:tcPr>
            <w:tcW w:w="3121"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0"/>
              <w:jc w:val="left"/>
              <w:rPr>
                <w:rFonts w:eastAsia="宋体" w:cs="宋体"/>
                <w:kern w:val="0"/>
                <w:sz w:val="18"/>
                <w:szCs w:val="18"/>
              </w:rPr>
            </w:pPr>
            <w:r>
              <w:rPr>
                <w:rFonts w:cs="Calibri" w:hint="eastAsia"/>
                <w:color w:val="000000"/>
                <w:sz w:val="16"/>
                <w:szCs w:val="16"/>
              </w:rPr>
              <w:t>信息网络及软件购置更新</w:t>
            </w:r>
          </w:p>
        </w:tc>
        <w:tc>
          <w:tcPr>
            <w:tcW w:w="2127"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right"/>
              <w:rPr>
                <w:rFonts w:cs="Calibri"/>
                <w:bCs/>
                <w:sz w:val="16"/>
                <w:szCs w:val="16"/>
              </w:rPr>
            </w:pPr>
            <w:r>
              <w:rPr>
                <w:rFonts w:cs="Calibri" w:hint="eastAsia"/>
                <w:color w:val="000000"/>
                <w:sz w:val="16"/>
                <w:szCs w:val="16"/>
              </w:rPr>
              <w:t>45.00</w:t>
            </w:r>
          </w:p>
        </w:tc>
        <w:tc>
          <w:tcPr>
            <w:tcW w:w="1986"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right"/>
              <w:rPr>
                <w:rFonts w:cs="Calibri"/>
                <w:bCs/>
                <w:sz w:val="16"/>
                <w:szCs w:val="16"/>
              </w:rPr>
            </w:pPr>
            <w:r>
              <w:rPr>
                <w:rFonts w:cs="Calibri" w:hint="eastAsia"/>
                <w:color w:val="000000"/>
                <w:sz w:val="16"/>
                <w:szCs w:val="16"/>
              </w:rPr>
              <w:t>　</w:t>
            </w:r>
          </w:p>
        </w:tc>
        <w:tc>
          <w:tcPr>
            <w:tcW w:w="1843"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right"/>
              <w:rPr>
                <w:rFonts w:cs="Calibri"/>
                <w:bCs/>
                <w:sz w:val="16"/>
                <w:szCs w:val="16"/>
              </w:rPr>
            </w:pPr>
            <w:r>
              <w:rPr>
                <w:rFonts w:cs="Calibri" w:hint="eastAsia"/>
                <w:color w:val="000000"/>
                <w:sz w:val="16"/>
                <w:szCs w:val="16"/>
              </w:rPr>
              <w:t>45.00</w:t>
            </w:r>
          </w:p>
        </w:tc>
      </w:tr>
      <w:tr>
        <w:trPr>
          <w:trHeight w:val="340"/>
        </w:trPr>
        <w:tc>
          <w:tcPr>
            <w:tcW w:w="1066" w:type="dxa"/>
            <w:tcBorders>
              <w:top w:val="nil"/>
              <w:left w:val="single" w:sz="4" w:space="0" w:color="auto"/>
              <w:bottom w:val="single" w:sz="4" w:space="0" w:color="auto"/>
              <w:right w:val="single" w:sz="4" w:space="0" w:color="auto"/>
            </w:tcBorders>
            <w:shd w:val="clear" w:color="auto" w:fill="auto"/>
            <w:noWrap/>
            <w:vAlign w:val="center"/>
          </w:tcPr>
          <w:p>
            <w:pPr>
              <w:widowControl/>
              <w:overflowPunct/>
              <w:spacing w:line="240" w:lineRule="auto"/>
              <w:ind w:firstLineChars="0" w:firstLine="360"/>
              <w:jc w:val="left"/>
              <w:rPr>
                <w:rFonts w:eastAsia="宋体" w:cs="宋体"/>
                <w:kern w:val="0"/>
                <w:sz w:val="18"/>
                <w:szCs w:val="18"/>
              </w:rPr>
            </w:pPr>
            <w:r>
              <w:rPr>
                <w:rFonts w:cs="Calibri" w:hint="eastAsia"/>
                <w:color w:val="000000"/>
                <w:sz w:val="16"/>
                <w:szCs w:val="16"/>
              </w:rPr>
              <w:t>31013</w:t>
            </w:r>
          </w:p>
        </w:tc>
        <w:tc>
          <w:tcPr>
            <w:tcW w:w="3121"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0"/>
              <w:jc w:val="left"/>
              <w:rPr>
                <w:rFonts w:eastAsia="宋体" w:cs="宋体"/>
                <w:kern w:val="0"/>
                <w:sz w:val="18"/>
                <w:szCs w:val="18"/>
              </w:rPr>
            </w:pPr>
            <w:r>
              <w:rPr>
                <w:rFonts w:cs="Calibri" w:hint="eastAsia"/>
                <w:color w:val="000000"/>
                <w:sz w:val="16"/>
                <w:szCs w:val="16"/>
              </w:rPr>
              <w:t>公务用车购置</w:t>
            </w:r>
          </w:p>
        </w:tc>
        <w:tc>
          <w:tcPr>
            <w:tcW w:w="2127"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right"/>
              <w:rPr>
                <w:rFonts w:cs="Calibri"/>
                <w:bCs/>
                <w:sz w:val="16"/>
                <w:szCs w:val="16"/>
              </w:rPr>
            </w:pPr>
            <w:r>
              <w:rPr>
                <w:rFonts w:cs="Calibri" w:hint="eastAsia"/>
                <w:color w:val="000000"/>
                <w:sz w:val="16"/>
                <w:szCs w:val="16"/>
              </w:rPr>
              <w:t>42.00</w:t>
            </w:r>
          </w:p>
        </w:tc>
        <w:tc>
          <w:tcPr>
            <w:tcW w:w="1986"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right"/>
              <w:rPr>
                <w:rFonts w:cs="Calibri"/>
                <w:bCs/>
                <w:sz w:val="16"/>
                <w:szCs w:val="16"/>
              </w:rPr>
            </w:pPr>
            <w:r>
              <w:rPr>
                <w:rFonts w:cs="Calibri" w:hint="eastAsia"/>
                <w:color w:val="000000"/>
                <w:sz w:val="16"/>
                <w:szCs w:val="16"/>
              </w:rPr>
              <w:t>　</w:t>
            </w:r>
          </w:p>
        </w:tc>
        <w:tc>
          <w:tcPr>
            <w:tcW w:w="1843"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right"/>
              <w:rPr>
                <w:rFonts w:cs="Calibri"/>
                <w:bCs/>
                <w:sz w:val="16"/>
                <w:szCs w:val="16"/>
              </w:rPr>
            </w:pPr>
            <w:r>
              <w:rPr>
                <w:rFonts w:cs="Calibri" w:hint="eastAsia"/>
                <w:color w:val="000000"/>
                <w:sz w:val="16"/>
                <w:szCs w:val="16"/>
              </w:rPr>
              <w:t>42.00</w:t>
            </w:r>
          </w:p>
        </w:tc>
      </w:tr>
      <w:tr>
        <w:trPr>
          <w:trHeight w:val="340"/>
        </w:trPr>
        <w:tc>
          <w:tcPr>
            <w:tcW w:w="4187" w:type="dxa"/>
            <w:gridSpan w:val="2"/>
            <w:tcBorders>
              <w:top w:val="nil"/>
              <w:left w:val="single" w:sz="4" w:space="0" w:color="auto"/>
              <w:bottom w:val="single" w:sz="4" w:space="0" w:color="auto"/>
              <w:right w:val="single" w:sz="4" w:space="0" w:color="auto"/>
            </w:tcBorders>
            <w:shd w:val="clear" w:color="auto" w:fill="auto"/>
            <w:noWrap/>
            <w:vAlign w:val="center"/>
          </w:tcPr>
          <w:p>
            <w:pPr>
              <w:widowControl/>
              <w:overflowPunct/>
              <w:spacing w:line="240" w:lineRule="auto"/>
              <w:ind w:firstLineChars="0" w:firstLine="361"/>
              <w:jc w:val="center"/>
              <w:rPr>
                <w:rFonts w:eastAsia="宋体" w:cs="宋体"/>
                <w:b/>
                <w:bCs/>
                <w:kern w:val="0"/>
                <w:sz w:val="18"/>
                <w:szCs w:val="18"/>
              </w:rPr>
            </w:pPr>
            <w:r>
              <w:rPr>
                <w:rFonts w:eastAsia="宋体" w:cs="宋体" w:hint="eastAsia"/>
                <w:b/>
                <w:bCs/>
                <w:kern w:val="0"/>
                <w:sz w:val="18"/>
                <w:szCs w:val="18"/>
              </w:rPr>
              <w:t>合  计</w:t>
            </w:r>
          </w:p>
        </w:tc>
        <w:tc>
          <w:tcPr>
            <w:tcW w:w="2127"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right"/>
              <w:rPr>
                <w:rFonts w:cs="Calibri"/>
                <w:b/>
                <w:bCs/>
                <w:sz w:val="16"/>
                <w:szCs w:val="16"/>
              </w:rPr>
            </w:pPr>
            <w:r>
              <w:rPr>
                <w:rFonts w:cs="Calibri" w:hint="eastAsia"/>
                <w:b/>
                <w:bCs/>
                <w:sz w:val="16"/>
                <w:szCs w:val="16"/>
              </w:rPr>
              <w:t>76,954.21</w:t>
            </w:r>
          </w:p>
        </w:tc>
        <w:tc>
          <w:tcPr>
            <w:tcW w:w="1986"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right"/>
              <w:rPr>
                <w:rFonts w:cs="Calibri"/>
                <w:b/>
                <w:bCs/>
                <w:sz w:val="16"/>
                <w:szCs w:val="16"/>
              </w:rPr>
            </w:pPr>
            <w:r>
              <w:rPr>
                <w:rFonts w:cs="Calibri" w:hint="eastAsia"/>
                <w:b/>
                <w:bCs/>
                <w:sz w:val="16"/>
                <w:szCs w:val="16"/>
              </w:rPr>
              <w:t>59,475.87</w:t>
            </w:r>
          </w:p>
        </w:tc>
        <w:tc>
          <w:tcPr>
            <w:tcW w:w="1843"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361"/>
              <w:jc w:val="right"/>
              <w:rPr>
                <w:rFonts w:cs="Calibri"/>
                <w:b/>
                <w:bCs/>
                <w:sz w:val="16"/>
                <w:szCs w:val="16"/>
              </w:rPr>
            </w:pPr>
            <w:r>
              <w:rPr>
                <w:rFonts w:cs="Calibri" w:hint="eastAsia"/>
                <w:b/>
                <w:bCs/>
                <w:sz w:val="16"/>
                <w:szCs w:val="16"/>
              </w:rPr>
              <w:t>17,478.34</w:t>
            </w:r>
          </w:p>
        </w:tc>
      </w:tr>
    </w:tbl>
    <w:p>
      <w:pPr>
        <w:widowControl/>
        <w:overflowPunct/>
        <w:spacing w:line="240" w:lineRule="auto"/>
        <w:ind w:firstLineChars="0" w:firstLine="0"/>
        <w:jc w:val="left"/>
      </w:pPr>
      <w:r>
        <w:br w:type="page"/>
      </w:r>
    </w:p>
    <w:p>
      <w:pPr>
        <w:pStyle w:val="22"/>
        <w:outlineLvl w:val="1"/>
        <w:sectPr>
          <w:pgSz w:w="11906" w:h="16838"/>
          <w:pgMar w:top="1440" w:right="1797" w:bottom="1440" w:left="1797" w:header="851" w:footer="992" w:gutter="0"/>
          <w:docGrid w:type="lines" w:linePitch="312" w:charSpace="0"/>
        </w:sectPr>
      </w:pPr>
    </w:p>
    <w:p>
      <w:pPr>
        <w:pStyle w:val="22"/>
        <w:outlineLvl w:val="1"/>
      </w:pPr>
      <w:r>
        <w:rPr>
          <w:rFonts w:hint="eastAsia"/>
        </w:rPr>
        <w:t>七、政府性基金预算支出表</w:t>
      </w:r>
    </w:p>
    <w:tbl>
      <w:tblPr>
        <w:jc w:val="center"/>
        <w:tblW w:w="13892"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2977"/>
        <w:gridCol w:w="3402"/>
        <w:gridCol w:w="2552"/>
        <w:gridCol w:w="2551"/>
        <w:gridCol w:w="2410"/>
      </w:tblGrid>
      <w:tr>
        <w:trPr>
          <w:trHeight w:val="315"/>
        </w:trPr>
        <w:tc>
          <w:tcPr>
            <w:tcW w:w="2977" w:type="dxa"/>
            <w:tcBorders>
              <w:top w:val="nil"/>
              <w:left w:val="nil"/>
              <w:bottom w:val="nil"/>
              <w:right w:val="nil"/>
            </w:tcBorders>
            <w:shd w:val="clear" w:color="auto" w:fill="auto"/>
            <w:vAlign w:val="center"/>
          </w:tcPr>
          <w:p>
            <w:pPr>
              <w:widowControl/>
              <w:overflowPunct/>
              <w:spacing w:line="240" w:lineRule="auto"/>
              <w:ind w:firstLineChars="0" w:firstLine="480"/>
              <w:jc w:val="left"/>
              <w:rPr>
                <w:rFonts w:eastAsia="宋体" w:cs="宋体"/>
                <w:kern w:val="0"/>
                <w:sz w:val="24"/>
                <w:szCs w:val="24"/>
              </w:rPr>
            </w:pPr>
          </w:p>
        </w:tc>
        <w:tc>
          <w:tcPr>
            <w:tcW w:w="3402" w:type="dxa"/>
            <w:tcBorders>
              <w:top w:val="nil"/>
              <w:left w:val="nil"/>
              <w:bottom w:val="nil"/>
              <w:right w:val="nil"/>
            </w:tcBorders>
            <w:shd w:val="clear" w:color="auto" w:fill="auto"/>
            <w:vAlign w:val="center"/>
          </w:tcPr>
          <w:p>
            <w:pPr>
              <w:widowControl/>
              <w:overflowPunct/>
              <w:spacing w:line="240" w:lineRule="auto"/>
              <w:ind w:firstLineChars="0" w:firstLine="400"/>
              <w:jc w:val="left"/>
              <w:rPr>
                <w:rFonts w:eastAsia="Times New Roman" w:cs="Times New Roman"/>
                <w:kern w:val="0"/>
                <w:sz w:val="20"/>
                <w:szCs w:val="20"/>
              </w:rPr>
            </w:pPr>
          </w:p>
        </w:tc>
        <w:tc>
          <w:tcPr>
            <w:tcW w:w="2552" w:type="dxa"/>
            <w:tcBorders>
              <w:top w:val="nil"/>
              <w:left w:val="nil"/>
              <w:bottom w:val="nil"/>
              <w:right w:val="nil"/>
            </w:tcBorders>
            <w:shd w:val="clear" w:color="auto" w:fill="auto"/>
            <w:vAlign w:val="center"/>
          </w:tcPr>
          <w:p>
            <w:pPr>
              <w:widowControl/>
              <w:overflowPunct/>
              <w:spacing w:line="240" w:lineRule="auto"/>
              <w:ind w:firstLineChars="0" w:firstLine="400"/>
              <w:jc w:val="left"/>
              <w:rPr>
                <w:rFonts w:eastAsia="Times New Roman" w:cs="Times New Roman"/>
                <w:kern w:val="0"/>
                <w:sz w:val="20"/>
                <w:szCs w:val="20"/>
              </w:rPr>
            </w:pPr>
          </w:p>
        </w:tc>
        <w:tc>
          <w:tcPr>
            <w:tcW w:w="2551" w:type="dxa"/>
            <w:tcBorders>
              <w:top w:val="nil"/>
              <w:left w:val="nil"/>
              <w:bottom w:val="nil"/>
              <w:right w:val="nil"/>
            </w:tcBorders>
            <w:shd w:val="clear" w:color="auto" w:fill="auto"/>
            <w:vAlign w:val="center"/>
          </w:tcPr>
          <w:p>
            <w:pPr>
              <w:widowControl/>
              <w:overflowPunct/>
              <w:spacing w:line="240" w:lineRule="auto"/>
              <w:ind w:firstLineChars="0" w:firstLine="400"/>
              <w:jc w:val="left"/>
              <w:rPr>
                <w:rFonts w:eastAsia="Times New Roman" w:cs="Times New Roman"/>
                <w:kern w:val="0"/>
                <w:sz w:val="20"/>
                <w:szCs w:val="20"/>
              </w:rPr>
            </w:pPr>
          </w:p>
        </w:tc>
        <w:tc>
          <w:tcPr>
            <w:tcW w:w="2410" w:type="dxa"/>
            <w:tcBorders>
              <w:top w:val="nil"/>
              <w:left w:val="nil"/>
              <w:bottom w:val="nil"/>
              <w:right w:val="nil"/>
            </w:tcBorders>
            <w:shd w:val="clear" w:color="auto" w:fill="auto"/>
            <w:noWrap/>
            <w:vAlign w:val="center"/>
          </w:tcPr>
          <w:p>
            <w:pPr>
              <w:widowControl/>
              <w:overflowPunct/>
              <w:spacing w:line="240" w:lineRule="auto"/>
              <w:ind w:firstLineChars="0" w:firstLine="400"/>
              <w:jc w:val="right"/>
              <w:rPr>
                <w:rFonts w:eastAsia="黑体" w:cs="宋体"/>
                <w:kern w:val="0"/>
                <w:sz w:val="20"/>
                <w:szCs w:val="20"/>
              </w:rPr>
            </w:pPr>
            <w:r>
              <w:rPr>
                <w:rFonts w:eastAsia="黑体" w:cs="宋体" w:hint="eastAsia"/>
                <w:kern w:val="0"/>
                <w:sz w:val="20"/>
                <w:szCs w:val="20"/>
              </w:rPr>
              <w:t>部门公开表7</w:t>
            </w:r>
          </w:p>
        </w:tc>
      </w:tr>
      <w:tr>
        <w:trPr>
          <w:trHeight w:val="645"/>
        </w:trPr>
        <w:tc>
          <w:tcPr>
            <w:tcW w:w="13892" w:type="dxa"/>
            <w:gridSpan w:val="5"/>
            <w:tcBorders>
              <w:top w:val="nil"/>
              <w:left w:val="nil"/>
              <w:bottom w:val="nil"/>
              <w:right w:val="nil"/>
            </w:tcBorders>
            <w:shd w:val="clear" w:color="auto" w:fill="auto"/>
            <w:vAlign w:val="center"/>
          </w:tcPr>
          <w:p>
            <w:pPr>
              <w:widowControl/>
              <w:overflowPunct/>
              <w:spacing w:line="240" w:lineRule="auto"/>
              <w:ind w:firstLineChars="0" w:firstLine="0"/>
              <w:jc w:val="center"/>
              <w:rPr>
                <w:rFonts w:eastAsia="宋体" w:cs="宋体"/>
                <w:kern w:val="0"/>
                <w:sz w:val="36"/>
                <w:szCs w:val="36"/>
              </w:rPr>
            </w:pPr>
            <w:r>
              <w:rPr>
                <w:rFonts w:eastAsia="宋体" w:cs="宋体" w:hint="eastAsia"/>
                <w:kern w:val="0"/>
                <w:sz w:val="36"/>
                <w:szCs w:val="36"/>
              </w:rPr>
              <w:t>政府性基金预算支出表</w:t>
            </w:r>
          </w:p>
        </w:tc>
      </w:tr>
      <w:tr>
        <w:trPr>
          <w:trHeight w:val="435"/>
        </w:trPr>
        <w:tc>
          <w:tcPr>
            <w:tcW w:w="2977" w:type="dxa"/>
            <w:tcBorders>
              <w:top w:val="nil"/>
              <w:left w:val="nil"/>
              <w:bottom w:val="nil"/>
              <w:right w:val="nil"/>
            </w:tcBorders>
            <w:shd w:val="clear" w:color="auto" w:fill="auto"/>
            <w:noWrap/>
            <w:vAlign w:val="center"/>
          </w:tcPr>
          <w:p>
            <w:pPr>
              <w:widowControl/>
              <w:overflowPunct/>
              <w:spacing w:line="240" w:lineRule="auto"/>
              <w:ind w:firstLineChars="0" w:firstLine="720"/>
              <w:jc w:val="center"/>
              <w:rPr>
                <w:rFonts w:eastAsia="宋体" w:cs="宋体"/>
                <w:kern w:val="0"/>
                <w:sz w:val="36"/>
                <w:szCs w:val="36"/>
              </w:rPr>
            </w:pPr>
          </w:p>
        </w:tc>
        <w:tc>
          <w:tcPr>
            <w:tcW w:w="3402" w:type="dxa"/>
            <w:tcBorders>
              <w:top w:val="nil"/>
              <w:left w:val="nil"/>
              <w:bottom w:val="single" w:sz="4" w:space="0" w:color="auto"/>
              <w:right w:val="nil"/>
            </w:tcBorders>
            <w:shd w:val="clear" w:color="auto" w:fill="auto"/>
            <w:vAlign w:val="center"/>
          </w:tcPr>
          <w:p>
            <w:pPr>
              <w:widowControl/>
              <w:overflowPunct/>
              <w:spacing w:line="240" w:lineRule="auto"/>
              <w:ind w:firstLineChars="0" w:firstLine="400"/>
              <w:jc w:val="left"/>
              <w:rPr>
                <w:rFonts w:eastAsia="宋体" w:cs="宋体"/>
                <w:kern w:val="0"/>
                <w:sz w:val="20"/>
                <w:szCs w:val="20"/>
              </w:rPr>
            </w:pPr>
            <w:r>
              <w:rPr>
                <w:rFonts w:eastAsia="宋体" w:cs="宋体" w:hint="eastAsia"/>
                <w:kern w:val="0"/>
                <w:sz w:val="20"/>
                <w:szCs w:val="20"/>
              </w:rPr>
              <w:t>　</w:t>
            </w:r>
          </w:p>
        </w:tc>
        <w:tc>
          <w:tcPr>
            <w:tcW w:w="2552" w:type="dxa"/>
            <w:tcBorders>
              <w:top w:val="nil"/>
              <w:left w:val="nil"/>
              <w:bottom w:val="single" w:sz="4" w:space="0" w:color="auto"/>
              <w:right w:val="nil"/>
            </w:tcBorders>
            <w:shd w:val="clear" w:color="auto" w:fill="auto"/>
            <w:vAlign w:val="center"/>
          </w:tcPr>
          <w:p>
            <w:pPr>
              <w:widowControl/>
              <w:overflowPunct/>
              <w:spacing w:line="240" w:lineRule="auto"/>
              <w:ind w:firstLineChars="0" w:firstLine="400"/>
              <w:jc w:val="left"/>
              <w:rPr>
                <w:rFonts w:eastAsia="宋体" w:cs="宋体"/>
                <w:kern w:val="0"/>
                <w:sz w:val="20"/>
                <w:szCs w:val="20"/>
              </w:rPr>
            </w:pPr>
            <w:r>
              <w:rPr>
                <w:rFonts w:eastAsia="宋体" w:cs="宋体" w:hint="eastAsia"/>
                <w:kern w:val="0"/>
                <w:sz w:val="20"/>
                <w:szCs w:val="20"/>
              </w:rPr>
              <w:t>　</w:t>
            </w:r>
          </w:p>
        </w:tc>
        <w:tc>
          <w:tcPr>
            <w:tcW w:w="2551" w:type="dxa"/>
            <w:tcBorders>
              <w:top w:val="nil"/>
              <w:left w:val="nil"/>
              <w:bottom w:val="single" w:sz="4" w:space="0" w:color="auto"/>
              <w:right w:val="nil"/>
            </w:tcBorders>
            <w:shd w:val="clear" w:color="auto" w:fill="auto"/>
            <w:vAlign w:val="center"/>
          </w:tcPr>
          <w:p>
            <w:pPr>
              <w:widowControl/>
              <w:overflowPunct/>
              <w:spacing w:line="240" w:lineRule="auto"/>
              <w:ind w:firstLineChars="0" w:firstLine="400"/>
              <w:jc w:val="left"/>
              <w:rPr>
                <w:rFonts w:eastAsia="宋体" w:cs="宋体"/>
                <w:kern w:val="0"/>
                <w:sz w:val="20"/>
                <w:szCs w:val="20"/>
              </w:rPr>
            </w:pPr>
            <w:r>
              <w:rPr>
                <w:rFonts w:eastAsia="宋体" w:cs="宋体" w:hint="eastAsia"/>
                <w:kern w:val="0"/>
                <w:sz w:val="20"/>
                <w:szCs w:val="20"/>
              </w:rPr>
              <w:t>　</w:t>
            </w:r>
          </w:p>
        </w:tc>
        <w:tc>
          <w:tcPr>
            <w:tcW w:w="2410" w:type="dxa"/>
            <w:tcBorders>
              <w:top w:val="nil"/>
              <w:left w:val="nil"/>
              <w:bottom w:val="single" w:sz="4" w:space="0" w:color="auto"/>
              <w:right w:val="nil"/>
            </w:tcBorders>
            <w:shd w:val="clear" w:color="auto" w:fill="auto"/>
            <w:noWrap/>
            <w:vAlign w:val="center"/>
          </w:tcPr>
          <w:p>
            <w:pPr>
              <w:widowControl/>
              <w:overflowPunct/>
              <w:spacing w:line="240" w:lineRule="auto"/>
              <w:ind w:firstLineChars="0" w:firstLine="400"/>
              <w:jc w:val="right"/>
              <w:rPr>
                <w:rFonts w:eastAsia="宋体" w:cs="宋体"/>
                <w:kern w:val="0"/>
                <w:sz w:val="20"/>
                <w:szCs w:val="20"/>
              </w:rPr>
            </w:pPr>
            <w:r>
              <w:rPr>
                <w:rFonts w:eastAsia="宋体" w:cs="宋体" w:hint="eastAsia"/>
                <w:kern w:val="0"/>
                <w:sz w:val="20"/>
                <w:szCs w:val="20"/>
              </w:rPr>
              <w:t>单位：万元</w:t>
            </w:r>
          </w:p>
        </w:tc>
      </w:tr>
      <w:tr>
        <w:trPr>
          <w:trHeight w:hRule="exact" w:val="567"/>
        </w:trPr>
        <w:tc>
          <w:tcPr>
            <w:tcW w:w="297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pPr>
              <w:widowControl/>
              <w:overflowPunct/>
              <w:spacing w:line="240" w:lineRule="auto"/>
              <w:ind w:firstLineChars="0" w:firstLine="0"/>
              <w:jc w:val="center"/>
              <w:rPr>
                <w:rFonts w:eastAsia="宋体" w:cs="宋体"/>
                <w:kern w:val="0"/>
                <w:sz w:val="20"/>
                <w:szCs w:val="20"/>
              </w:rPr>
            </w:pPr>
            <w:r>
              <w:rPr>
                <w:rFonts w:eastAsia="宋体" w:cs="宋体" w:hint="eastAsia"/>
                <w:kern w:val="0"/>
                <w:sz w:val="20"/>
                <w:szCs w:val="20"/>
              </w:rPr>
              <w:t>科目编码</w:t>
            </w:r>
          </w:p>
        </w:tc>
        <w:tc>
          <w:tcPr>
            <w:tcW w:w="3402" w:type="dxa"/>
            <w:vMerge w:val="restart"/>
            <w:tcBorders>
              <w:top w:val="nil"/>
              <w:left w:val="single" w:sz="4" w:space="0" w:color="auto"/>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宋体"/>
                <w:kern w:val="0"/>
                <w:sz w:val="20"/>
                <w:szCs w:val="20"/>
              </w:rPr>
            </w:pPr>
            <w:r>
              <w:rPr>
                <w:rFonts w:eastAsia="宋体" w:cs="宋体" w:hint="eastAsia"/>
                <w:kern w:val="0"/>
                <w:sz w:val="20"/>
                <w:szCs w:val="20"/>
              </w:rPr>
              <w:t>科目名称</w:t>
            </w:r>
          </w:p>
        </w:tc>
        <w:tc>
          <w:tcPr>
            <w:tcW w:w="7513" w:type="dxa"/>
            <w:gridSpan w:val="3"/>
            <w:tcBorders>
              <w:top w:val="single" w:sz="4" w:space="0" w:color="auto"/>
              <w:left w:val="nil"/>
              <w:bottom w:val="single" w:sz="4" w:space="0" w:color="auto"/>
              <w:right w:val="single" w:sz="4" w:space="0" w:color="000000"/>
            </w:tcBorders>
            <w:shd w:val="clear" w:color="auto" w:fill="auto"/>
            <w:vAlign w:val="center"/>
          </w:tcPr>
          <w:p>
            <w:pPr>
              <w:widowControl/>
              <w:overflowPunct/>
              <w:spacing w:line="240" w:lineRule="auto"/>
              <w:ind w:firstLineChars="0" w:firstLine="0"/>
              <w:jc w:val="center"/>
              <w:rPr>
                <w:rFonts w:eastAsia="宋体" w:cs="宋体"/>
                <w:kern w:val="0"/>
                <w:sz w:val="20"/>
                <w:szCs w:val="20"/>
              </w:rPr>
            </w:pPr>
            <w:r>
              <w:rPr>
                <w:rFonts w:eastAsia="宋体" w:cs="宋体" w:hint="eastAsia"/>
                <w:kern w:val="0"/>
                <w:sz w:val="20"/>
                <w:szCs w:val="20"/>
              </w:rPr>
              <w:t>2025年政府性基金预算支出</w:t>
            </w:r>
          </w:p>
        </w:tc>
      </w:tr>
      <w:tr>
        <w:trPr>
          <w:trHeight w:hRule="exact" w:val="567"/>
        </w:trPr>
        <w:tc>
          <w:tcPr>
            <w:tcW w:w="2977" w:type="dxa"/>
            <w:vMerge/>
            <w:tcBorders>
              <w:top w:val="single" w:sz="4" w:space="0" w:color="auto"/>
              <w:left w:val="single" w:sz="4" w:space="0" w:color="auto"/>
              <w:bottom w:val="single" w:sz="4" w:space="0" w:color="auto"/>
              <w:right w:val="single" w:sz="4" w:space="0" w:color="auto"/>
            </w:tcBorders>
            <w:vAlign w:val="center"/>
          </w:tcPr>
          <w:p/>
        </w:tc>
        <w:tc>
          <w:tcPr>
            <w:tcW w:w="3402" w:type="dxa"/>
            <w:vMerge/>
            <w:tcBorders>
              <w:top w:val="nil"/>
              <w:left w:val="single" w:sz="4" w:space="0" w:color="auto"/>
              <w:bottom w:val="single" w:sz="4" w:space="0" w:color="auto"/>
              <w:right w:val="single" w:sz="4" w:space="0" w:color="auto"/>
            </w:tcBorders>
            <w:vAlign w:val="center"/>
          </w:tcPr>
          <w:p/>
        </w:tc>
        <w:tc>
          <w:tcPr>
            <w:tcW w:w="2552" w:type="dxa"/>
            <w:tcBorders>
              <w:top w:val="nil"/>
              <w:left w:val="nil"/>
              <w:bottom w:val="nil"/>
              <w:right w:val="single" w:sz="4" w:space="0" w:color="auto"/>
            </w:tcBorders>
            <w:shd w:val="clear" w:color="auto" w:fill="auto"/>
            <w:vAlign w:val="center"/>
          </w:tcPr>
          <w:p>
            <w:pPr>
              <w:widowControl/>
              <w:overflowPunct/>
              <w:spacing w:line="240" w:lineRule="auto"/>
              <w:ind w:firstLineChars="0" w:firstLine="0"/>
              <w:jc w:val="center"/>
              <w:rPr>
                <w:rFonts w:eastAsia="宋体" w:cs="宋体"/>
                <w:kern w:val="0"/>
                <w:sz w:val="20"/>
                <w:szCs w:val="20"/>
              </w:rPr>
            </w:pPr>
            <w:r>
              <w:rPr>
                <w:rFonts w:eastAsia="宋体" w:cs="宋体" w:hint="eastAsia"/>
                <w:kern w:val="0"/>
                <w:sz w:val="20"/>
                <w:szCs w:val="20"/>
              </w:rPr>
              <w:t>合计</w:t>
            </w:r>
          </w:p>
        </w:tc>
        <w:tc>
          <w:tcPr>
            <w:tcW w:w="2551" w:type="dxa"/>
            <w:tcBorders>
              <w:top w:val="nil"/>
              <w:left w:val="nil"/>
              <w:bottom w:val="single" w:sz="4" w:space="0" w:color="auto"/>
              <w:right w:val="nil"/>
            </w:tcBorders>
            <w:shd w:val="clear" w:color="auto" w:fill="auto"/>
            <w:vAlign w:val="center"/>
          </w:tcPr>
          <w:p>
            <w:pPr>
              <w:widowControl/>
              <w:overflowPunct/>
              <w:spacing w:line="240" w:lineRule="auto"/>
              <w:ind w:firstLineChars="0" w:firstLine="0"/>
              <w:jc w:val="center"/>
              <w:rPr>
                <w:rFonts w:eastAsia="宋体" w:cs="宋体"/>
                <w:kern w:val="0"/>
                <w:sz w:val="20"/>
                <w:szCs w:val="20"/>
              </w:rPr>
            </w:pPr>
            <w:r>
              <w:rPr>
                <w:rFonts w:eastAsia="宋体" w:cs="宋体" w:hint="eastAsia"/>
                <w:kern w:val="0"/>
                <w:sz w:val="20"/>
                <w:szCs w:val="20"/>
              </w:rPr>
              <w:t>基本支出</w:t>
            </w:r>
          </w:p>
        </w:tc>
        <w:tc>
          <w:tcPr>
            <w:tcW w:w="2410" w:type="dxa"/>
            <w:tcBorders>
              <w:top w:val="nil"/>
              <w:left w:val="single" w:sz="4" w:space="0" w:color="auto"/>
              <w:bottom w:val="nil"/>
              <w:right w:val="single" w:sz="4" w:space="0" w:color="auto"/>
            </w:tcBorders>
            <w:shd w:val="clear" w:color="auto" w:fill="auto"/>
            <w:vAlign w:val="center"/>
          </w:tcPr>
          <w:p>
            <w:pPr>
              <w:widowControl/>
              <w:overflowPunct/>
              <w:spacing w:line="240" w:lineRule="auto"/>
              <w:ind w:firstLineChars="0" w:firstLine="0"/>
              <w:jc w:val="center"/>
              <w:rPr>
                <w:rFonts w:eastAsia="宋体" w:cs="宋体"/>
                <w:kern w:val="0"/>
                <w:sz w:val="20"/>
                <w:szCs w:val="20"/>
              </w:rPr>
            </w:pPr>
            <w:r>
              <w:rPr>
                <w:rFonts w:eastAsia="宋体" w:cs="宋体" w:hint="eastAsia"/>
                <w:kern w:val="0"/>
                <w:sz w:val="20"/>
                <w:szCs w:val="20"/>
              </w:rPr>
              <w:t>项目支出</w:t>
            </w:r>
          </w:p>
        </w:tc>
      </w:tr>
      <w:tr>
        <w:trPr>
          <w:trHeight w:hRule="exact" w:val="567"/>
        </w:trPr>
        <w:tc>
          <w:tcPr>
            <w:tcW w:w="2977" w:type="dxa"/>
            <w:tcBorders>
              <w:top w:val="nil"/>
              <w:left w:val="single" w:sz="4" w:space="0" w:color="auto"/>
              <w:bottom w:val="single" w:sz="4" w:space="0" w:color="auto"/>
              <w:right w:val="single" w:sz="4" w:space="0" w:color="auto"/>
            </w:tcBorders>
            <w:shd w:val="clear" w:color="auto" w:fill="auto"/>
            <w:noWrap/>
            <w:vAlign w:val="center"/>
          </w:tcPr>
          <w:p>
            <w:pPr>
              <w:widowControl/>
              <w:overflowPunct/>
              <w:spacing w:line="240" w:lineRule="auto"/>
              <w:ind w:firstLineChars="0" w:firstLine="400"/>
              <w:jc w:val="left"/>
              <w:rPr>
                <w:rFonts w:eastAsia="宋体" w:cs="宋体"/>
                <w:kern w:val="0"/>
                <w:sz w:val="20"/>
                <w:szCs w:val="20"/>
              </w:rPr>
            </w:pPr>
            <w:r>
              <w:rPr>
                <w:rFonts w:eastAsia="宋体" w:cs="宋体" w:hint="eastAsia"/>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400"/>
              <w:jc w:val="left"/>
              <w:rPr>
                <w:rFonts w:eastAsia="宋体" w:cs="宋体"/>
                <w:kern w:val="0"/>
                <w:sz w:val="20"/>
                <w:szCs w:val="20"/>
              </w:rPr>
            </w:pPr>
            <w:r>
              <w:rPr>
                <w:rFonts w:eastAsia="宋体" w:cs="宋体" w:hint="eastAsia"/>
                <w:kern w:val="0"/>
                <w:sz w:val="20"/>
                <w:szCs w:val="20"/>
              </w:rPr>
              <w:t>　</w:t>
            </w:r>
          </w:p>
        </w:tc>
        <w:tc>
          <w:tcPr>
            <w:tcW w:w="2552" w:type="dxa"/>
            <w:tcBorders>
              <w:top w:val="single" w:sz="4" w:space="0" w:color="auto"/>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400"/>
              <w:jc w:val="right"/>
              <w:rPr>
                <w:rFonts w:eastAsia="宋体" w:cs="宋体"/>
                <w:kern w:val="0"/>
                <w:sz w:val="20"/>
                <w:szCs w:val="20"/>
              </w:rPr>
            </w:pPr>
            <w:r>
              <w:rPr>
                <w:rFonts w:eastAsia="宋体" w:cs="宋体" w:hint="eastAsia"/>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400"/>
              <w:jc w:val="right"/>
              <w:rPr>
                <w:rFonts w:eastAsia="宋体" w:cs="宋体"/>
                <w:kern w:val="0"/>
                <w:sz w:val="20"/>
                <w:szCs w:val="20"/>
              </w:rPr>
            </w:pPr>
            <w:r>
              <w:rPr>
                <w:rFonts w:eastAsia="宋体" w:cs="宋体" w:hint="eastAsia"/>
                <w:kern w:val="0"/>
                <w:sz w:val="20"/>
                <w:szCs w:val="20"/>
              </w:rPr>
              <w:t>　</w:t>
            </w:r>
          </w:p>
        </w:tc>
        <w:tc>
          <w:tcPr>
            <w:tcW w:w="2410" w:type="dxa"/>
            <w:tcBorders>
              <w:top w:val="single" w:sz="4" w:space="0" w:color="auto"/>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400"/>
              <w:jc w:val="right"/>
              <w:rPr>
                <w:rFonts w:eastAsia="宋体" w:cs="宋体"/>
                <w:kern w:val="0"/>
                <w:sz w:val="20"/>
                <w:szCs w:val="20"/>
              </w:rPr>
            </w:pPr>
            <w:r>
              <w:rPr>
                <w:rFonts w:eastAsia="宋体" w:cs="宋体" w:hint="eastAsia"/>
                <w:kern w:val="0"/>
                <w:sz w:val="20"/>
                <w:szCs w:val="20"/>
              </w:rPr>
              <w:t>　</w:t>
            </w:r>
          </w:p>
        </w:tc>
      </w:tr>
      <w:tr>
        <w:trPr>
          <w:trHeight w:hRule="exact" w:val="567"/>
        </w:trPr>
        <w:tc>
          <w:tcPr>
            <w:tcW w:w="2977" w:type="dxa"/>
            <w:tcBorders>
              <w:top w:val="nil"/>
              <w:left w:val="single" w:sz="4" w:space="0" w:color="auto"/>
              <w:bottom w:val="single" w:sz="4" w:space="0" w:color="auto"/>
              <w:right w:val="single" w:sz="4" w:space="0" w:color="auto"/>
            </w:tcBorders>
            <w:shd w:val="clear" w:color="auto" w:fill="auto"/>
            <w:noWrap/>
            <w:vAlign w:val="center"/>
          </w:tcPr>
          <w:p>
            <w:pPr>
              <w:widowControl/>
              <w:overflowPunct/>
              <w:spacing w:line="240" w:lineRule="auto"/>
              <w:ind w:firstLineChars="0" w:firstLine="400"/>
              <w:jc w:val="left"/>
              <w:rPr>
                <w:rFonts w:eastAsia="宋体" w:cs="宋体"/>
                <w:kern w:val="0"/>
                <w:sz w:val="20"/>
                <w:szCs w:val="20"/>
              </w:rPr>
            </w:pPr>
            <w:r>
              <w:rPr>
                <w:rFonts w:eastAsia="宋体" w:cs="宋体" w:hint="eastAsia"/>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400"/>
              <w:jc w:val="left"/>
              <w:rPr>
                <w:rFonts w:eastAsia="宋体" w:cs="宋体"/>
                <w:kern w:val="0"/>
                <w:sz w:val="20"/>
                <w:szCs w:val="20"/>
              </w:rPr>
            </w:pPr>
            <w:r>
              <w:rPr>
                <w:rFonts w:eastAsia="宋体" w:cs="宋体" w:hint="eastAsia"/>
                <w:kern w:val="0"/>
                <w:sz w:val="20"/>
                <w:szCs w:val="20"/>
              </w:rPr>
              <w:t>　</w:t>
            </w:r>
          </w:p>
        </w:tc>
        <w:tc>
          <w:tcPr>
            <w:tcW w:w="2552"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400"/>
              <w:jc w:val="right"/>
              <w:rPr>
                <w:rFonts w:eastAsia="宋体" w:cs="宋体"/>
                <w:kern w:val="0"/>
                <w:sz w:val="20"/>
                <w:szCs w:val="20"/>
              </w:rPr>
            </w:pPr>
            <w:r>
              <w:rPr>
                <w:rFonts w:eastAsia="宋体" w:cs="宋体" w:hint="eastAsia"/>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400"/>
              <w:jc w:val="right"/>
              <w:rPr>
                <w:rFonts w:eastAsia="宋体" w:cs="宋体"/>
                <w:kern w:val="0"/>
                <w:sz w:val="20"/>
                <w:szCs w:val="20"/>
              </w:rPr>
            </w:pPr>
            <w:r>
              <w:rPr>
                <w:rFonts w:eastAsia="宋体" w:cs="宋体" w:hint="eastAsia"/>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400"/>
              <w:jc w:val="right"/>
              <w:rPr>
                <w:rFonts w:eastAsia="宋体" w:cs="宋体"/>
                <w:kern w:val="0"/>
                <w:sz w:val="20"/>
                <w:szCs w:val="20"/>
              </w:rPr>
            </w:pPr>
            <w:r>
              <w:rPr>
                <w:rFonts w:eastAsia="宋体" w:cs="宋体" w:hint="eastAsia"/>
                <w:kern w:val="0"/>
                <w:sz w:val="20"/>
                <w:szCs w:val="20"/>
              </w:rPr>
              <w:t>　</w:t>
            </w:r>
          </w:p>
        </w:tc>
      </w:tr>
      <w:tr>
        <w:trPr>
          <w:trHeight w:hRule="exact" w:val="567"/>
        </w:trPr>
        <w:tc>
          <w:tcPr>
            <w:tcW w:w="2977" w:type="dxa"/>
            <w:tcBorders>
              <w:top w:val="nil"/>
              <w:left w:val="single" w:sz="4" w:space="0" w:color="auto"/>
              <w:bottom w:val="single" w:sz="4" w:space="0" w:color="auto"/>
              <w:right w:val="single" w:sz="4" w:space="0" w:color="auto"/>
            </w:tcBorders>
            <w:shd w:val="clear" w:color="auto" w:fill="auto"/>
            <w:noWrap/>
            <w:vAlign w:val="center"/>
          </w:tcPr>
          <w:p>
            <w:pPr>
              <w:widowControl/>
              <w:overflowPunct/>
              <w:spacing w:line="240" w:lineRule="auto"/>
              <w:ind w:firstLineChars="0" w:firstLine="400"/>
              <w:jc w:val="left"/>
              <w:rPr>
                <w:rFonts w:eastAsia="宋体" w:cs="宋体"/>
                <w:kern w:val="0"/>
                <w:sz w:val="20"/>
                <w:szCs w:val="20"/>
              </w:rPr>
            </w:pPr>
            <w:r>
              <w:rPr>
                <w:rFonts w:eastAsia="宋体" w:cs="宋体" w:hint="eastAsia"/>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400"/>
              <w:jc w:val="left"/>
              <w:rPr>
                <w:rFonts w:eastAsia="宋体" w:cs="宋体"/>
                <w:kern w:val="0"/>
                <w:sz w:val="20"/>
                <w:szCs w:val="20"/>
              </w:rPr>
            </w:pPr>
            <w:r>
              <w:rPr>
                <w:rFonts w:eastAsia="宋体" w:cs="宋体" w:hint="eastAsia"/>
                <w:kern w:val="0"/>
                <w:sz w:val="20"/>
                <w:szCs w:val="20"/>
              </w:rPr>
              <w:t>　</w:t>
            </w:r>
          </w:p>
        </w:tc>
        <w:tc>
          <w:tcPr>
            <w:tcW w:w="2552"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400"/>
              <w:jc w:val="right"/>
              <w:rPr>
                <w:rFonts w:eastAsia="宋体" w:cs="宋体"/>
                <w:kern w:val="0"/>
                <w:sz w:val="20"/>
                <w:szCs w:val="20"/>
              </w:rPr>
            </w:pPr>
            <w:r>
              <w:rPr>
                <w:rFonts w:eastAsia="宋体" w:cs="宋体" w:hint="eastAsia"/>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400"/>
              <w:jc w:val="right"/>
              <w:rPr>
                <w:rFonts w:eastAsia="宋体" w:cs="宋体"/>
                <w:kern w:val="0"/>
                <w:sz w:val="20"/>
                <w:szCs w:val="20"/>
              </w:rPr>
            </w:pPr>
            <w:r>
              <w:rPr>
                <w:rFonts w:eastAsia="宋体" w:cs="宋体" w:hint="eastAsia"/>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400"/>
              <w:jc w:val="right"/>
              <w:rPr>
                <w:rFonts w:eastAsia="宋体" w:cs="宋体"/>
                <w:kern w:val="0"/>
                <w:sz w:val="20"/>
                <w:szCs w:val="20"/>
              </w:rPr>
            </w:pPr>
            <w:r>
              <w:rPr>
                <w:rFonts w:eastAsia="宋体" w:cs="宋体" w:hint="eastAsia"/>
                <w:kern w:val="0"/>
                <w:sz w:val="20"/>
                <w:szCs w:val="20"/>
              </w:rPr>
              <w:t>　</w:t>
            </w:r>
          </w:p>
        </w:tc>
      </w:tr>
      <w:tr>
        <w:trPr>
          <w:trHeight w:hRule="exact" w:val="567"/>
        </w:trPr>
        <w:tc>
          <w:tcPr>
            <w:tcW w:w="2977" w:type="dxa"/>
            <w:tcBorders>
              <w:top w:val="nil"/>
              <w:left w:val="single" w:sz="4" w:space="0" w:color="auto"/>
              <w:bottom w:val="single" w:sz="4" w:space="0" w:color="auto"/>
              <w:right w:val="single" w:sz="4" w:space="0" w:color="auto"/>
            </w:tcBorders>
            <w:shd w:val="clear" w:color="auto" w:fill="auto"/>
            <w:noWrap/>
            <w:vAlign w:val="center"/>
          </w:tcPr>
          <w:p>
            <w:pPr>
              <w:widowControl/>
              <w:overflowPunct/>
              <w:spacing w:line="240" w:lineRule="auto"/>
              <w:ind w:firstLineChars="0" w:firstLine="400"/>
              <w:jc w:val="left"/>
              <w:rPr>
                <w:rFonts w:eastAsia="宋体" w:cs="宋体"/>
                <w:kern w:val="0"/>
                <w:sz w:val="20"/>
                <w:szCs w:val="20"/>
              </w:rPr>
            </w:pPr>
            <w:r>
              <w:rPr>
                <w:rFonts w:eastAsia="宋体" w:cs="宋体" w:hint="eastAsia"/>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400"/>
              <w:jc w:val="left"/>
              <w:rPr>
                <w:rFonts w:eastAsia="宋体" w:cs="宋体"/>
                <w:kern w:val="0"/>
                <w:sz w:val="20"/>
                <w:szCs w:val="20"/>
              </w:rPr>
            </w:pPr>
            <w:r>
              <w:rPr>
                <w:rFonts w:eastAsia="宋体" w:cs="宋体" w:hint="eastAsia"/>
                <w:kern w:val="0"/>
                <w:sz w:val="20"/>
                <w:szCs w:val="20"/>
              </w:rPr>
              <w:t>　</w:t>
            </w:r>
          </w:p>
        </w:tc>
        <w:tc>
          <w:tcPr>
            <w:tcW w:w="2552"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400"/>
              <w:jc w:val="right"/>
              <w:rPr>
                <w:rFonts w:eastAsia="宋体" w:cs="宋体"/>
                <w:kern w:val="0"/>
                <w:sz w:val="20"/>
                <w:szCs w:val="20"/>
              </w:rPr>
            </w:pPr>
            <w:r>
              <w:rPr>
                <w:rFonts w:eastAsia="宋体" w:cs="宋体" w:hint="eastAsia"/>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400"/>
              <w:jc w:val="right"/>
              <w:rPr>
                <w:rFonts w:eastAsia="宋体" w:cs="宋体"/>
                <w:kern w:val="0"/>
                <w:sz w:val="20"/>
                <w:szCs w:val="20"/>
              </w:rPr>
            </w:pPr>
            <w:r>
              <w:rPr>
                <w:rFonts w:eastAsia="宋体" w:cs="宋体" w:hint="eastAsia"/>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400"/>
              <w:jc w:val="right"/>
              <w:rPr>
                <w:rFonts w:eastAsia="宋体" w:cs="宋体"/>
                <w:kern w:val="0"/>
                <w:sz w:val="20"/>
                <w:szCs w:val="20"/>
              </w:rPr>
            </w:pPr>
            <w:r>
              <w:rPr>
                <w:rFonts w:eastAsia="宋体" w:cs="宋体" w:hint="eastAsia"/>
                <w:kern w:val="0"/>
                <w:sz w:val="20"/>
                <w:szCs w:val="20"/>
              </w:rPr>
              <w:t>　</w:t>
            </w:r>
          </w:p>
        </w:tc>
      </w:tr>
      <w:tr>
        <w:trPr>
          <w:trHeight w:hRule="exact" w:val="567"/>
        </w:trPr>
        <w:tc>
          <w:tcPr>
            <w:tcW w:w="2977" w:type="dxa"/>
            <w:tcBorders>
              <w:top w:val="nil"/>
              <w:left w:val="single" w:sz="4" w:space="0" w:color="auto"/>
              <w:bottom w:val="single" w:sz="4" w:space="0" w:color="auto"/>
              <w:right w:val="single" w:sz="4" w:space="0" w:color="auto"/>
            </w:tcBorders>
            <w:shd w:val="clear" w:color="auto" w:fill="auto"/>
            <w:noWrap/>
            <w:vAlign w:val="center"/>
          </w:tcPr>
          <w:p>
            <w:pPr>
              <w:widowControl/>
              <w:overflowPunct/>
              <w:spacing w:line="240" w:lineRule="auto"/>
              <w:ind w:firstLineChars="0" w:firstLine="400"/>
              <w:jc w:val="left"/>
              <w:rPr>
                <w:rFonts w:eastAsia="宋体" w:cs="宋体"/>
                <w:kern w:val="0"/>
                <w:sz w:val="20"/>
                <w:szCs w:val="20"/>
              </w:rPr>
            </w:pPr>
            <w:r>
              <w:rPr>
                <w:rFonts w:eastAsia="宋体" w:cs="宋体" w:hint="eastAsia"/>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400"/>
              <w:jc w:val="center"/>
              <w:rPr>
                <w:rFonts w:eastAsia="宋体" w:cs="宋体"/>
                <w:kern w:val="0"/>
                <w:sz w:val="20"/>
                <w:szCs w:val="20"/>
              </w:rPr>
            </w:pPr>
            <w:r>
              <w:rPr>
                <w:rFonts w:eastAsia="宋体" w:cs="宋体" w:hint="eastAsia"/>
                <w:kern w:val="0"/>
                <w:sz w:val="20"/>
                <w:szCs w:val="20"/>
              </w:rPr>
              <w:t>　</w:t>
            </w:r>
          </w:p>
        </w:tc>
        <w:tc>
          <w:tcPr>
            <w:tcW w:w="2552"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400"/>
              <w:jc w:val="right"/>
              <w:rPr>
                <w:rFonts w:eastAsia="宋体" w:cs="宋体"/>
                <w:kern w:val="0"/>
                <w:sz w:val="20"/>
                <w:szCs w:val="20"/>
              </w:rPr>
            </w:pPr>
            <w:r>
              <w:rPr>
                <w:rFonts w:eastAsia="宋体" w:cs="宋体" w:hint="eastAsia"/>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400"/>
              <w:jc w:val="right"/>
              <w:rPr>
                <w:rFonts w:eastAsia="宋体" w:cs="宋体"/>
                <w:kern w:val="0"/>
                <w:sz w:val="20"/>
                <w:szCs w:val="20"/>
              </w:rPr>
            </w:pPr>
            <w:r>
              <w:rPr>
                <w:rFonts w:eastAsia="宋体" w:cs="宋体" w:hint="eastAsia"/>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400"/>
              <w:jc w:val="right"/>
              <w:rPr>
                <w:rFonts w:eastAsia="宋体" w:cs="宋体"/>
                <w:kern w:val="0"/>
                <w:sz w:val="20"/>
                <w:szCs w:val="20"/>
              </w:rPr>
            </w:pPr>
            <w:r>
              <w:rPr>
                <w:rFonts w:eastAsia="宋体" w:cs="宋体" w:hint="eastAsia"/>
                <w:kern w:val="0"/>
                <w:sz w:val="20"/>
                <w:szCs w:val="20"/>
              </w:rPr>
              <w:t>　</w:t>
            </w:r>
          </w:p>
        </w:tc>
      </w:tr>
      <w:tr>
        <w:trPr>
          <w:trHeight w:hRule="exact" w:val="567"/>
        </w:trPr>
        <w:tc>
          <w:tcPr>
            <w:tcW w:w="2977" w:type="dxa"/>
            <w:tcBorders>
              <w:top w:val="nil"/>
              <w:left w:val="single" w:sz="4" w:space="0" w:color="auto"/>
              <w:bottom w:val="single" w:sz="4" w:space="0" w:color="auto"/>
              <w:right w:val="single" w:sz="4" w:space="0" w:color="auto"/>
            </w:tcBorders>
            <w:shd w:val="clear" w:color="auto" w:fill="auto"/>
            <w:noWrap/>
            <w:vAlign w:val="center"/>
          </w:tcPr>
          <w:p>
            <w:pPr>
              <w:widowControl/>
              <w:overflowPunct/>
              <w:spacing w:line="240" w:lineRule="auto"/>
              <w:ind w:firstLineChars="0" w:firstLine="400"/>
              <w:jc w:val="left"/>
              <w:rPr>
                <w:rFonts w:eastAsia="宋体" w:cs="宋体"/>
                <w:kern w:val="0"/>
                <w:sz w:val="20"/>
                <w:szCs w:val="20"/>
              </w:rPr>
            </w:pPr>
            <w:r>
              <w:rPr>
                <w:rFonts w:eastAsia="宋体" w:cs="宋体" w:hint="eastAsia"/>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400"/>
              <w:jc w:val="center"/>
              <w:rPr>
                <w:rFonts w:eastAsia="宋体" w:cs="宋体"/>
                <w:kern w:val="0"/>
                <w:sz w:val="20"/>
                <w:szCs w:val="20"/>
              </w:rPr>
            </w:pPr>
            <w:r>
              <w:rPr>
                <w:rFonts w:eastAsia="宋体" w:cs="宋体" w:hint="eastAsia"/>
                <w:kern w:val="0"/>
                <w:sz w:val="20"/>
                <w:szCs w:val="20"/>
              </w:rPr>
              <w:t>　</w:t>
            </w:r>
          </w:p>
        </w:tc>
        <w:tc>
          <w:tcPr>
            <w:tcW w:w="2552"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400"/>
              <w:jc w:val="right"/>
              <w:rPr>
                <w:rFonts w:eastAsia="宋体" w:cs="宋体"/>
                <w:kern w:val="0"/>
                <w:sz w:val="20"/>
                <w:szCs w:val="20"/>
              </w:rPr>
            </w:pPr>
            <w:r>
              <w:rPr>
                <w:rFonts w:eastAsia="宋体" w:cs="宋体" w:hint="eastAsia"/>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400"/>
              <w:jc w:val="right"/>
              <w:rPr>
                <w:rFonts w:eastAsia="宋体" w:cs="宋体"/>
                <w:kern w:val="0"/>
                <w:sz w:val="20"/>
                <w:szCs w:val="20"/>
              </w:rPr>
            </w:pPr>
            <w:r>
              <w:rPr>
                <w:rFonts w:eastAsia="宋体" w:cs="宋体" w:hint="eastAsia"/>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400"/>
              <w:jc w:val="right"/>
              <w:rPr>
                <w:rFonts w:eastAsia="宋体" w:cs="宋体"/>
                <w:kern w:val="0"/>
                <w:sz w:val="20"/>
                <w:szCs w:val="20"/>
              </w:rPr>
            </w:pPr>
            <w:r>
              <w:rPr>
                <w:rFonts w:eastAsia="宋体" w:cs="宋体" w:hint="eastAsia"/>
                <w:kern w:val="0"/>
                <w:sz w:val="20"/>
                <w:szCs w:val="20"/>
              </w:rPr>
              <w:t>　</w:t>
            </w:r>
          </w:p>
        </w:tc>
      </w:tr>
      <w:tr>
        <w:trPr>
          <w:trHeight w:hRule="exact" w:val="567"/>
        </w:trPr>
        <w:tc>
          <w:tcPr>
            <w:tcW w:w="6379"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pPr>
              <w:widowControl/>
              <w:overflowPunct/>
              <w:spacing w:line="240" w:lineRule="auto"/>
              <w:ind w:firstLineChars="0" w:firstLine="0"/>
              <w:jc w:val="center"/>
              <w:rPr>
                <w:rFonts w:eastAsia="宋体" w:cs="宋体"/>
                <w:kern w:val="0"/>
                <w:sz w:val="20"/>
                <w:szCs w:val="20"/>
              </w:rPr>
            </w:pPr>
            <w:r>
              <w:rPr>
                <w:rFonts w:eastAsia="宋体" w:cs="宋体" w:hint="eastAsia"/>
                <w:kern w:val="0"/>
                <w:sz w:val="20"/>
                <w:szCs w:val="20"/>
              </w:rPr>
              <w:t>合  计</w:t>
            </w:r>
          </w:p>
        </w:tc>
        <w:tc>
          <w:tcPr>
            <w:tcW w:w="2552"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400"/>
              <w:jc w:val="right"/>
              <w:rPr>
                <w:rFonts w:eastAsia="宋体" w:cs="宋体"/>
                <w:kern w:val="0"/>
                <w:sz w:val="20"/>
                <w:szCs w:val="20"/>
              </w:rPr>
            </w:pPr>
            <w:r>
              <w:rPr>
                <w:rFonts w:eastAsia="宋体" w:cs="宋体" w:hint="eastAsia"/>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400"/>
              <w:jc w:val="right"/>
              <w:rPr>
                <w:rFonts w:eastAsia="宋体" w:cs="宋体"/>
                <w:kern w:val="0"/>
                <w:sz w:val="20"/>
                <w:szCs w:val="20"/>
              </w:rPr>
            </w:pPr>
            <w:r>
              <w:rPr>
                <w:rFonts w:eastAsia="宋体" w:cs="宋体" w:hint="eastAsia"/>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400"/>
              <w:jc w:val="right"/>
              <w:rPr>
                <w:rFonts w:eastAsia="宋体" w:cs="宋体"/>
                <w:kern w:val="0"/>
                <w:sz w:val="20"/>
                <w:szCs w:val="20"/>
              </w:rPr>
            </w:pPr>
            <w:r>
              <w:rPr>
                <w:rFonts w:eastAsia="宋体" w:cs="宋体" w:hint="eastAsia"/>
                <w:kern w:val="0"/>
                <w:sz w:val="20"/>
                <w:szCs w:val="20"/>
              </w:rPr>
              <w:t>　</w:t>
            </w:r>
          </w:p>
        </w:tc>
      </w:tr>
    </w:tbl>
    <w:p>
      <w:pPr>
        <w:overflowPunct/>
        <w:spacing w:line="240" w:lineRule="auto"/>
        <w:ind w:firstLineChars="0" w:firstLine="0"/>
        <w:rPr>
          <w:rFonts w:cs="Times New Roman"/>
          <w:sz w:val="24"/>
          <w:szCs w:val="24"/>
        </w:rPr>
      </w:pPr>
      <w:r>
        <w:rPr>
          <w:rFonts w:cs="Times New Roman" w:hint="eastAsia"/>
          <w:sz w:val="24"/>
          <w:szCs w:val="24"/>
        </w:rPr>
        <w:t>注：大连海关无政府性基金预算拨款收入，也无使用政府性基金安排的支出，故本表无数据。</w:t>
      </w:r>
      <w:r>
        <w:rPr>
          <w:rFonts w:cs="Times New Roman"/>
          <w:sz w:val="24"/>
          <w:szCs w:val="24"/>
        </w:rPr>
        <w:br w:type="page"/>
      </w:r>
    </w:p>
    <w:p>
      <w:pPr>
        <w:pStyle w:val="22"/>
        <w:outlineLvl w:val="1"/>
      </w:pPr>
      <w:r>
        <w:rPr>
          <w:rFonts w:hint="eastAsia"/>
        </w:rPr>
        <w:t>八、国有资本经营预算支出表</w:t>
      </w:r>
    </w:p>
    <w:tbl>
      <w:tblPr>
        <w:jc w:val="center"/>
        <w:tblW w:w="14080"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3119"/>
        <w:gridCol w:w="3402"/>
        <w:gridCol w:w="2551"/>
        <w:gridCol w:w="2410"/>
        <w:gridCol w:w="2598"/>
      </w:tblGrid>
      <w:tr>
        <w:trPr>
          <w:trHeight w:val="285"/>
        </w:trPr>
        <w:tc>
          <w:tcPr>
            <w:tcW w:w="3119" w:type="dxa"/>
            <w:tcBorders>
              <w:top w:val="nil"/>
              <w:left w:val="nil"/>
              <w:bottom w:val="nil"/>
              <w:right w:val="nil"/>
            </w:tcBorders>
            <w:shd w:val="clear" w:color="auto" w:fill="auto"/>
            <w:noWrap/>
            <w:vAlign w:val="center"/>
          </w:tcPr>
          <w:p>
            <w:pPr>
              <w:widowControl/>
              <w:overflowPunct/>
              <w:spacing w:line="240" w:lineRule="auto"/>
              <w:ind w:firstLineChars="0" w:firstLine="0"/>
              <w:jc w:val="left"/>
              <w:rPr>
                <w:rFonts w:eastAsia="宋体" w:cs="宋体"/>
                <w:kern w:val="0"/>
                <w:sz w:val="24"/>
                <w:szCs w:val="24"/>
              </w:rPr>
            </w:pPr>
          </w:p>
        </w:tc>
        <w:tc>
          <w:tcPr>
            <w:tcW w:w="3402" w:type="dxa"/>
            <w:tcBorders>
              <w:top w:val="nil"/>
              <w:left w:val="nil"/>
              <w:bottom w:val="nil"/>
              <w:right w:val="nil"/>
            </w:tcBorders>
            <w:shd w:val="clear" w:color="auto" w:fill="auto"/>
            <w:noWrap/>
            <w:vAlign w:val="center"/>
          </w:tcPr>
          <w:p>
            <w:pPr>
              <w:widowControl/>
              <w:overflowPunct/>
              <w:spacing w:line="240" w:lineRule="auto"/>
              <w:ind w:firstLineChars="0" w:firstLine="0"/>
              <w:jc w:val="left"/>
              <w:rPr>
                <w:rFonts w:eastAsia="Times New Roman" w:cs="Times New Roman"/>
                <w:kern w:val="0"/>
                <w:sz w:val="20"/>
                <w:szCs w:val="20"/>
              </w:rPr>
            </w:pPr>
          </w:p>
        </w:tc>
        <w:tc>
          <w:tcPr>
            <w:tcW w:w="2551" w:type="dxa"/>
            <w:tcBorders>
              <w:top w:val="nil"/>
              <w:left w:val="nil"/>
              <w:bottom w:val="nil"/>
              <w:right w:val="nil"/>
            </w:tcBorders>
            <w:shd w:val="clear" w:color="auto" w:fill="auto"/>
            <w:noWrap/>
            <w:vAlign w:val="center"/>
          </w:tcPr>
          <w:p>
            <w:pPr>
              <w:widowControl/>
              <w:overflowPunct/>
              <w:spacing w:line="240" w:lineRule="auto"/>
              <w:ind w:firstLineChars="0" w:firstLine="0"/>
              <w:jc w:val="left"/>
              <w:rPr>
                <w:rFonts w:eastAsia="Times New Roman" w:cs="Times New Roman"/>
                <w:kern w:val="0"/>
                <w:sz w:val="20"/>
                <w:szCs w:val="20"/>
              </w:rPr>
            </w:pPr>
          </w:p>
        </w:tc>
        <w:tc>
          <w:tcPr>
            <w:tcW w:w="2410" w:type="dxa"/>
            <w:tcBorders>
              <w:top w:val="nil"/>
              <w:left w:val="nil"/>
              <w:bottom w:val="nil"/>
              <w:right w:val="nil"/>
            </w:tcBorders>
            <w:shd w:val="clear" w:color="auto" w:fill="auto"/>
            <w:noWrap/>
            <w:vAlign w:val="center"/>
          </w:tcPr>
          <w:p>
            <w:pPr>
              <w:widowControl/>
              <w:overflowPunct/>
              <w:spacing w:line="240" w:lineRule="auto"/>
              <w:ind w:firstLineChars="0" w:firstLine="0"/>
              <w:jc w:val="left"/>
              <w:rPr>
                <w:rFonts w:eastAsia="Times New Roman" w:cs="Times New Roman"/>
                <w:kern w:val="0"/>
                <w:sz w:val="20"/>
                <w:szCs w:val="20"/>
              </w:rPr>
            </w:pPr>
          </w:p>
        </w:tc>
        <w:tc>
          <w:tcPr>
            <w:tcW w:w="2598" w:type="dxa"/>
            <w:tcBorders>
              <w:top w:val="nil"/>
              <w:left w:val="nil"/>
              <w:bottom w:val="nil"/>
              <w:right w:val="nil"/>
            </w:tcBorders>
            <w:shd w:val="clear" w:color="auto" w:fill="auto"/>
            <w:noWrap/>
            <w:vAlign w:val="center"/>
          </w:tcPr>
          <w:p>
            <w:pPr>
              <w:widowControl/>
              <w:overflowPunct/>
              <w:spacing w:line="240" w:lineRule="auto"/>
              <w:ind w:firstLineChars="0" w:firstLine="0"/>
              <w:jc w:val="right"/>
              <w:rPr>
                <w:rFonts w:eastAsia="黑体" w:cs="宋体"/>
                <w:kern w:val="0"/>
                <w:sz w:val="20"/>
                <w:szCs w:val="20"/>
              </w:rPr>
            </w:pPr>
            <w:r>
              <w:rPr>
                <w:rFonts w:eastAsia="黑体" w:cs="宋体" w:hint="eastAsia"/>
                <w:kern w:val="0"/>
                <w:sz w:val="20"/>
                <w:szCs w:val="20"/>
              </w:rPr>
              <w:t>部门公开表8</w:t>
            </w:r>
          </w:p>
        </w:tc>
      </w:tr>
      <w:tr>
        <w:trPr>
          <w:trHeight w:val="450"/>
        </w:trPr>
        <w:tc>
          <w:tcPr>
            <w:tcW w:w="14080" w:type="dxa"/>
            <w:gridSpan w:val="5"/>
            <w:tcBorders>
              <w:top w:val="nil"/>
              <w:left w:val="nil"/>
              <w:bottom w:val="nil"/>
              <w:right w:val="nil"/>
            </w:tcBorders>
            <w:shd w:val="clear" w:color="auto" w:fill="auto"/>
            <w:vAlign w:val="center"/>
          </w:tcPr>
          <w:p>
            <w:pPr>
              <w:widowControl/>
              <w:overflowPunct/>
              <w:spacing w:line="240" w:lineRule="auto"/>
              <w:ind w:firstLineChars="0" w:firstLine="0"/>
              <w:jc w:val="center"/>
              <w:rPr>
                <w:rFonts w:eastAsia="宋体" w:cs="宋体"/>
                <w:kern w:val="0"/>
                <w:sz w:val="36"/>
                <w:szCs w:val="36"/>
              </w:rPr>
            </w:pPr>
            <w:r>
              <w:rPr>
                <w:rFonts w:eastAsia="宋体" w:cs="宋体" w:hint="eastAsia"/>
                <w:kern w:val="0"/>
                <w:sz w:val="36"/>
                <w:szCs w:val="36"/>
              </w:rPr>
              <w:t>国有资本经营预算支出表</w:t>
            </w:r>
          </w:p>
        </w:tc>
      </w:tr>
      <w:tr>
        <w:trPr>
          <w:trHeight w:val="285"/>
        </w:trPr>
        <w:tc>
          <w:tcPr>
            <w:tcW w:w="3119" w:type="dxa"/>
            <w:tcBorders>
              <w:top w:val="nil"/>
              <w:left w:val="nil"/>
              <w:bottom w:val="single" w:sz="4" w:space="0" w:color="auto"/>
              <w:right w:val="nil"/>
            </w:tcBorders>
            <w:shd w:val="clear" w:color="auto" w:fill="auto"/>
            <w:noWrap/>
            <w:vAlign w:val="center"/>
          </w:tcPr>
          <w:p>
            <w:pPr>
              <w:widowControl/>
              <w:overflowPunct/>
              <w:spacing w:line="240" w:lineRule="auto"/>
              <w:ind w:firstLineChars="0" w:firstLine="0"/>
              <w:jc w:val="left"/>
              <w:rPr>
                <w:rFonts w:eastAsia="宋体" w:cs="宋体"/>
                <w:color w:val="000000"/>
                <w:kern w:val="0"/>
                <w:sz w:val="18"/>
                <w:szCs w:val="18"/>
              </w:rPr>
            </w:pPr>
            <w:r>
              <w:rPr>
                <w:rFonts w:eastAsia="宋体" w:cs="宋体" w:hint="eastAsia"/>
                <w:color w:val="000000"/>
                <w:kern w:val="0"/>
                <w:sz w:val="18"/>
                <w:szCs w:val="18"/>
              </w:rPr>
              <w:t>　</w:t>
            </w:r>
          </w:p>
        </w:tc>
        <w:tc>
          <w:tcPr>
            <w:tcW w:w="3402" w:type="dxa"/>
            <w:tcBorders>
              <w:top w:val="nil"/>
              <w:left w:val="nil"/>
              <w:bottom w:val="single" w:sz="4" w:space="0" w:color="auto"/>
              <w:right w:val="nil"/>
            </w:tcBorders>
            <w:shd w:val="clear" w:color="auto" w:fill="auto"/>
            <w:noWrap/>
            <w:vAlign w:val="center"/>
          </w:tcPr>
          <w:p>
            <w:pPr>
              <w:widowControl/>
              <w:overflowPunct/>
              <w:spacing w:line="240" w:lineRule="auto"/>
              <w:ind w:firstLineChars="0" w:firstLine="0"/>
              <w:jc w:val="left"/>
              <w:rPr>
                <w:rFonts w:eastAsia="宋体" w:cs="宋体"/>
                <w:color w:val="000000"/>
                <w:kern w:val="0"/>
                <w:sz w:val="22"/>
              </w:rPr>
            </w:pPr>
            <w:r>
              <w:rPr>
                <w:rFonts w:eastAsia="宋体" w:cs="宋体" w:hint="eastAsia"/>
                <w:color w:val="000000"/>
                <w:kern w:val="0"/>
                <w:sz w:val="22"/>
              </w:rPr>
              <w:t>　</w:t>
            </w:r>
          </w:p>
        </w:tc>
        <w:tc>
          <w:tcPr>
            <w:tcW w:w="2551" w:type="dxa"/>
            <w:tcBorders>
              <w:top w:val="nil"/>
              <w:left w:val="nil"/>
              <w:bottom w:val="single" w:sz="4" w:space="0" w:color="auto"/>
              <w:right w:val="nil"/>
            </w:tcBorders>
            <w:shd w:val="clear" w:color="auto" w:fill="auto"/>
            <w:noWrap/>
            <w:vAlign w:val="center"/>
          </w:tcPr>
          <w:p>
            <w:pPr>
              <w:widowControl/>
              <w:overflowPunct/>
              <w:spacing w:line="240" w:lineRule="auto"/>
              <w:ind w:firstLineChars="0" w:firstLine="0"/>
              <w:jc w:val="center"/>
              <w:rPr>
                <w:rFonts w:eastAsia="宋体" w:cs="宋体"/>
                <w:color w:val="000000"/>
                <w:kern w:val="0"/>
                <w:sz w:val="22"/>
              </w:rPr>
            </w:pPr>
            <w:r>
              <w:rPr>
                <w:rFonts w:eastAsia="宋体" w:cs="宋体" w:hint="eastAsia"/>
                <w:color w:val="000000"/>
                <w:kern w:val="0"/>
                <w:sz w:val="22"/>
              </w:rPr>
              <w:t>　</w:t>
            </w:r>
          </w:p>
        </w:tc>
        <w:tc>
          <w:tcPr>
            <w:tcW w:w="2410" w:type="dxa"/>
            <w:tcBorders>
              <w:top w:val="nil"/>
              <w:left w:val="nil"/>
              <w:bottom w:val="single" w:sz="4" w:space="0" w:color="auto"/>
              <w:right w:val="nil"/>
            </w:tcBorders>
            <w:shd w:val="clear" w:color="auto" w:fill="auto"/>
            <w:noWrap/>
            <w:vAlign w:val="center"/>
          </w:tcPr>
          <w:p>
            <w:pPr>
              <w:widowControl/>
              <w:overflowPunct/>
              <w:spacing w:line="240" w:lineRule="auto"/>
              <w:ind w:firstLineChars="0" w:firstLine="0"/>
              <w:jc w:val="center"/>
              <w:rPr>
                <w:rFonts w:eastAsia="宋体" w:cs="宋体"/>
                <w:color w:val="000000"/>
                <w:kern w:val="0"/>
                <w:sz w:val="22"/>
              </w:rPr>
            </w:pPr>
            <w:r>
              <w:rPr>
                <w:rFonts w:eastAsia="宋体" w:cs="宋体" w:hint="eastAsia"/>
                <w:color w:val="000000"/>
                <w:kern w:val="0"/>
                <w:sz w:val="22"/>
              </w:rPr>
              <w:t>　</w:t>
            </w:r>
          </w:p>
        </w:tc>
        <w:tc>
          <w:tcPr>
            <w:tcW w:w="2598" w:type="dxa"/>
            <w:tcBorders>
              <w:top w:val="nil"/>
              <w:left w:val="nil"/>
              <w:bottom w:val="nil"/>
              <w:right w:val="nil"/>
            </w:tcBorders>
            <w:shd w:val="clear" w:color="auto" w:fill="auto"/>
            <w:noWrap/>
            <w:vAlign w:val="center"/>
          </w:tcPr>
          <w:p>
            <w:pPr>
              <w:widowControl/>
              <w:overflowPunct/>
              <w:spacing w:line="240" w:lineRule="auto"/>
              <w:ind w:firstLineChars="0" w:firstLine="0"/>
              <w:jc w:val="right"/>
              <w:rPr>
                <w:rFonts w:eastAsia="宋体" w:cs="宋体"/>
                <w:color w:val="000000"/>
                <w:kern w:val="0"/>
                <w:sz w:val="20"/>
                <w:szCs w:val="20"/>
              </w:rPr>
            </w:pPr>
            <w:r>
              <w:rPr>
                <w:rFonts w:eastAsia="宋体" w:cs="宋体" w:hint="eastAsia"/>
                <w:color w:val="000000"/>
                <w:kern w:val="0"/>
                <w:sz w:val="20"/>
                <w:szCs w:val="20"/>
              </w:rPr>
              <w:t>单位：万元</w:t>
            </w:r>
          </w:p>
        </w:tc>
      </w:tr>
      <w:tr>
        <w:trPr>
          <w:trHeight w:hRule="exact" w:val="567"/>
        </w:trPr>
        <w:tc>
          <w:tcPr>
            <w:tcW w:w="3119" w:type="dxa"/>
            <w:vMerge w:val="restart"/>
            <w:tcBorders>
              <w:top w:val="nil"/>
              <w:left w:val="single" w:sz="4" w:space="0" w:color="auto"/>
              <w:bottom w:val="single" w:sz="4" w:space="0" w:color="auto"/>
              <w:right w:val="single" w:sz="4" w:space="0" w:color="auto"/>
            </w:tcBorders>
            <w:shd w:val="clear" w:color="auto" w:fill="auto"/>
            <w:vAlign w:val="center"/>
          </w:tcPr>
          <w:p>
            <w:pPr>
              <w:widowControl/>
              <w:overflowPunct/>
              <w:spacing w:line="240" w:lineRule="auto"/>
              <w:ind w:firstLineChars="0" w:firstLine="0"/>
              <w:jc w:val="center"/>
              <w:rPr>
                <w:rFonts w:eastAsia="宋体" w:cs="宋体"/>
                <w:color w:val="000000"/>
                <w:kern w:val="0"/>
                <w:sz w:val="20"/>
                <w:szCs w:val="20"/>
              </w:rPr>
            </w:pPr>
            <w:r>
              <w:rPr>
                <w:rFonts w:eastAsia="宋体" w:cs="宋体" w:hint="eastAsia"/>
                <w:color w:val="000000"/>
                <w:kern w:val="0"/>
                <w:sz w:val="20"/>
                <w:szCs w:val="20"/>
              </w:rPr>
              <w:t>科目编码</w:t>
            </w:r>
          </w:p>
        </w:tc>
        <w:tc>
          <w:tcPr>
            <w:tcW w:w="3402" w:type="dxa"/>
            <w:vMerge w:val="restart"/>
            <w:tcBorders>
              <w:top w:val="nil"/>
              <w:left w:val="single" w:sz="4" w:space="0" w:color="auto"/>
              <w:bottom w:val="single" w:sz="4" w:space="0" w:color="auto"/>
              <w:right w:val="single" w:sz="4" w:space="0" w:color="auto"/>
            </w:tcBorders>
            <w:shd w:val="clear" w:color="auto" w:fill="auto"/>
            <w:vAlign w:val="center"/>
          </w:tcPr>
          <w:p>
            <w:pPr>
              <w:widowControl/>
              <w:overflowPunct/>
              <w:spacing w:line="240" w:lineRule="auto"/>
              <w:ind w:firstLineChars="0" w:firstLine="0"/>
              <w:jc w:val="center"/>
              <w:rPr>
                <w:rFonts w:eastAsia="宋体" w:cs="宋体"/>
                <w:color w:val="000000"/>
                <w:kern w:val="0"/>
                <w:sz w:val="20"/>
                <w:szCs w:val="20"/>
              </w:rPr>
            </w:pPr>
            <w:r>
              <w:rPr>
                <w:rFonts w:eastAsia="宋体" w:cs="宋体" w:hint="eastAsia"/>
                <w:color w:val="000000"/>
                <w:kern w:val="0"/>
                <w:sz w:val="20"/>
                <w:szCs w:val="20"/>
              </w:rPr>
              <w:t>科目名称</w:t>
            </w:r>
          </w:p>
        </w:tc>
        <w:tc>
          <w:tcPr>
            <w:tcW w:w="7559" w:type="dxa"/>
            <w:gridSpan w:val="3"/>
            <w:tcBorders>
              <w:top w:val="single" w:sz="4" w:space="0" w:color="auto"/>
              <w:left w:val="nil"/>
              <w:bottom w:val="single" w:sz="4" w:space="0" w:color="auto"/>
              <w:right w:val="single" w:sz="4" w:space="0" w:color="auto"/>
            </w:tcBorders>
            <w:shd w:val="clear" w:color="auto" w:fill="auto"/>
            <w:vAlign w:val="center"/>
          </w:tcPr>
          <w:p>
            <w:pPr>
              <w:widowControl/>
              <w:overflowPunct/>
              <w:spacing w:line="240" w:lineRule="auto"/>
              <w:ind w:firstLineChars="0" w:firstLine="0"/>
              <w:jc w:val="center"/>
              <w:rPr>
                <w:rFonts w:eastAsia="宋体" w:cs="宋体"/>
                <w:color w:val="000000"/>
                <w:kern w:val="0"/>
                <w:sz w:val="20"/>
                <w:szCs w:val="20"/>
              </w:rPr>
            </w:pPr>
            <w:r>
              <w:rPr>
                <w:rFonts w:eastAsia="宋体" w:cs="宋体" w:hint="eastAsia"/>
                <w:color w:val="000000"/>
                <w:kern w:val="0"/>
                <w:sz w:val="20"/>
                <w:szCs w:val="20"/>
              </w:rPr>
              <w:t>2025年国有资本经营预算支出</w:t>
            </w:r>
          </w:p>
        </w:tc>
      </w:tr>
      <w:tr>
        <w:trPr>
          <w:trHeight w:hRule="exact" w:val="567"/>
        </w:trPr>
        <w:tc>
          <w:tcPr>
            <w:tcW w:w="3119" w:type="dxa"/>
            <w:vMerge/>
            <w:tcBorders>
              <w:top w:val="nil"/>
              <w:left w:val="single" w:sz="4" w:space="0" w:color="auto"/>
              <w:bottom w:val="single" w:sz="4" w:space="0" w:color="auto"/>
              <w:right w:val="single" w:sz="4" w:space="0" w:color="auto"/>
            </w:tcBorders>
            <w:vAlign w:val="center"/>
          </w:tcPr>
          <w:p/>
        </w:tc>
        <w:tc>
          <w:tcPr>
            <w:tcW w:w="3402" w:type="dxa"/>
            <w:vMerge/>
            <w:tcBorders>
              <w:top w:val="nil"/>
              <w:left w:val="single" w:sz="4" w:space="0" w:color="auto"/>
              <w:bottom w:val="single" w:sz="4" w:space="0" w:color="auto"/>
              <w:right w:val="single" w:sz="4" w:space="0" w:color="auto"/>
            </w:tcBorders>
            <w:vAlign w:val="center"/>
          </w:tcPr>
          <w:p/>
        </w:tc>
        <w:tc>
          <w:tcPr>
            <w:tcW w:w="2551" w:type="dxa"/>
            <w:tcBorders>
              <w:top w:val="nil"/>
              <w:left w:val="nil"/>
              <w:bottom w:val="single" w:sz="4" w:space="0" w:color="auto"/>
              <w:right w:val="single" w:sz="4" w:space="0" w:color="auto"/>
            </w:tcBorders>
            <w:shd w:val="clear" w:color="auto" w:fill="auto"/>
            <w:vAlign w:val="center"/>
          </w:tcPr>
          <w:p>
            <w:pPr>
              <w:widowControl/>
              <w:overflowPunct/>
              <w:spacing w:line="240" w:lineRule="auto"/>
              <w:ind w:firstLineChars="0" w:firstLine="0"/>
              <w:jc w:val="center"/>
              <w:rPr>
                <w:rFonts w:eastAsia="宋体" w:cs="宋体"/>
                <w:color w:val="000000"/>
                <w:kern w:val="0"/>
                <w:sz w:val="20"/>
                <w:szCs w:val="20"/>
              </w:rPr>
            </w:pPr>
            <w:r>
              <w:rPr>
                <w:rFonts w:eastAsia="宋体" w:cs="宋体" w:hint="eastAsia"/>
                <w:color w:val="000000"/>
                <w:kern w:val="0"/>
                <w:sz w:val="20"/>
                <w:szCs w:val="20"/>
              </w:rPr>
              <w:t>小计</w:t>
            </w:r>
          </w:p>
        </w:tc>
        <w:tc>
          <w:tcPr>
            <w:tcW w:w="2410" w:type="dxa"/>
            <w:tcBorders>
              <w:top w:val="nil"/>
              <w:left w:val="nil"/>
              <w:bottom w:val="single" w:sz="4" w:space="0" w:color="auto"/>
              <w:right w:val="single" w:sz="4" w:space="0" w:color="auto"/>
            </w:tcBorders>
            <w:shd w:val="clear" w:color="auto" w:fill="auto"/>
            <w:vAlign w:val="center"/>
          </w:tcPr>
          <w:p>
            <w:pPr>
              <w:widowControl/>
              <w:overflowPunct/>
              <w:spacing w:line="240" w:lineRule="auto"/>
              <w:ind w:firstLineChars="0" w:firstLine="0"/>
              <w:jc w:val="center"/>
              <w:rPr>
                <w:rFonts w:eastAsia="宋体" w:cs="宋体"/>
                <w:color w:val="000000"/>
                <w:kern w:val="0"/>
                <w:sz w:val="20"/>
                <w:szCs w:val="20"/>
              </w:rPr>
            </w:pPr>
            <w:r>
              <w:rPr>
                <w:rFonts w:eastAsia="宋体" w:cs="宋体" w:hint="eastAsia"/>
                <w:color w:val="000000"/>
                <w:kern w:val="0"/>
                <w:sz w:val="20"/>
                <w:szCs w:val="20"/>
              </w:rPr>
              <w:t>基本支出</w:t>
            </w:r>
          </w:p>
        </w:tc>
        <w:tc>
          <w:tcPr>
            <w:tcW w:w="2598" w:type="dxa"/>
            <w:tcBorders>
              <w:top w:val="nil"/>
              <w:left w:val="nil"/>
              <w:bottom w:val="single" w:sz="4" w:space="0" w:color="auto"/>
              <w:right w:val="single" w:sz="4" w:space="0" w:color="auto"/>
            </w:tcBorders>
            <w:shd w:val="clear" w:color="auto" w:fill="auto"/>
            <w:vAlign w:val="center"/>
          </w:tcPr>
          <w:p>
            <w:pPr>
              <w:widowControl/>
              <w:overflowPunct/>
              <w:spacing w:line="240" w:lineRule="auto"/>
              <w:ind w:firstLineChars="0" w:firstLine="0"/>
              <w:jc w:val="center"/>
              <w:rPr>
                <w:rFonts w:eastAsia="宋体" w:cs="宋体"/>
                <w:color w:val="000000"/>
                <w:kern w:val="0"/>
                <w:sz w:val="20"/>
                <w:szCs w:val="20"/>
              </w:rPr>
            </w:pPr>
            <w:r>
              <w:rPr>
                <w:rFonts w:eastAsia="宋体" w:cs="宋体" w:hint="eastAsia"/>
                <w:color w:val="000000"/>
                <w:kern w:val="0"/>
                <w:sz w:val="20"/>
                <w:szCs w:val="20"/>
              </w:rPr>
              <w:t>项目支出</w:t>
            </w:r>
          </w:p>
        </w:tc>
      </w:tr>
      <w:tr>
        <w:trPr>
          <w:trHeight w:hRule="exact" w:val="567"/>
        </w:trPr>
        <w:tc>
          <w:tcPr>
            <w:tcW w:w="3119" w:type="dxa"/>
            <w:tcBorders>
              <w:top w:val="nil"/>
              <w:left w:val="single" w:sz="4" w:space="0" w:color="auto"/>
              <w:bottom w:val="single" w:sz="4" w:space="0" w:color="auto"/>
              <w:right w:val="single" w:sz="4" w:space="0" w:color="auto"/>
            </w:tcBorders>
            <w:shd w:val="clear" w:color="auto" w:fill="auto"/>
            <w:noWrap/>
            <w:vAlign w:val="center"/>
          </w:tcPr>
          <w:p>
            <w:pPr>
              <w:widowControl/>
              <w:overflowPunct/>
              <w:spacing w:line="240" w:lineRule="auto"/>
              <w:ind w:firstLineChars="0" w:firstLine="0"/>
              <w:jc w:val="left"/>
              <w:rPr>
                <w:rFonts w:eastAsia="宋体" w:cs="宋体"/>
                <w:color w:val="000000"/>
                <w:kern w:val="0"/>
                <w:sz w:val="20"/>
                <w:szCs w:val="20"/>
              </w:rPr>
            </w:pPr>
            <w:r>
              <w:rPr>
                <w:rFonts w:eastAsia="宋体" w:cs="宋体" w:hint="eastAsia"/>
                <w:color w:val="000000"/>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left"/>
              <w:rPr>
                <w:rFonts w:eastAsia="宋体" w:cs="宋体"/>
                <w:color w:val="000000"/>
                <w:kern w:val="0"/>
                <w:sz w:val="20"/>
                <w:szCs w:val="20"/>
              </w:rPr>
            </w:pPr>
            <w:r>
              <w:rPr>
                <w:rFonts w:eastAsia="宋体" w:cs="宋体" w:hint="eastAsia"/>
                <w:color w:val="000000"/>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宋体"/>
                <w:color w:val="000000"/>
                <w:kern w:val="0"/>
                <w:sz w:val="20"/>
                <w:szCs w:val="20"/>
              </w:rPr>
            </w:pPr>
            <w:r>
              <w:rPr>
                <w:rFonts w:eastAsia="宋体" w:cs="宋体" w:hint="eastAsia"/>
                <w:color w:val="000000"/>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宋体"/>
                <w:color w:val="000000"/>
                <w:kern w:val="0"/>
                <w:sz w:val="20"/>
                <w:szCs w:val="20"/>
              </w:rPr>
            </w:pPr>
            <w:r>
              <w:rPr>
                <w:rFonts w:eastAsia="宋体" w:cs="宋体" w:hint="eastAsia"/>
                <w:color w:val="000000"/>
                <w:kern w:val="0"/>
                <w:sz w:val="20"/>
                <w:szCs w:val="20"/>
              </w:rPr>
              <w:t>　</w:t>
            </w:r>
          </w:p>
        </w:tc>
        <w:tc>
          <w:tcPr>
            <w:tcW w:w="2598"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宋体"/>
                <w:color w:val="000000"/>
                <w:kern w:val="0"/>
                <w:sz w:val="20"/>
                <w:szCs w:val="20"/>
              </w:rPr>
            </w:pPr>
            <w:r>
              <w:rPr>
                <w:rFonts w:eastAsia="宋体" w:cs="宋体" w:hint="eastAsia"/>
                <w:color w:val="000000"/>
                <w:kern w:val="0"/>
                <w:sz w:val="20"/>
                <w:szCs w:val="20"/>
              </w:rPr>
              <w:t>　</w:t>
            </w:r>
          </w:p>
        </w:tc>
      </w:tr>
      <w:tr>
        <w:trPr>
          <w:trHeight w:hRule="exact" w:val="567"/>
        </w:trPr>
        <w:tc>
          <w:tcPr>
            <w:tcW w:w="3119" w:type="dxa"/>
            <w:tcBorders>
              <w:top w:val="nil"/>
              <w:left w:val="single" w:sz="4" w:space="0" w:color="auto"/>
              <w:bottom w:val="single" w:sz="4" w:space="0" w:color="auto"/>
              <w:right w:val="single" w:sz="4" w:space="0" w:color="auto"/>
            </w:tcBorders>
            <w:shd w:val="clear" w:color="auto" w:fill="auto"/>
            <w:noWrap/>
            <w:vAlign w:val="center"/>
          </w:tcPr>
          <w:p>
            <w:pPr>
              <w:widowControl/>
              <w:overflowPunct/>
              <w:spacing w:line="240" w:lineRule="auto"/>
              <w:ind w:firstLineChars="0" w:firstLine="0"/>
              <w:jc w:val="left"/>
              <w:rPr>
                <w:rFonts w:eastAsia="宋体" w:cs="宋体"/>
                <w:color w:val="000000"/>
                <w:kern w:val="0"/>
                <w:sz w:val="20"/>
                <w:szCs w:val="20"/>
              </w:rPr>
            </w:pPr>
            <w:r>
              <w:rPr>
                <w:rFonts w:eastAsia="宋体" w:cs="宋体" w:hint="eastAsia"/>
                <w:color w:val="000000"/>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left"/>
              <w:rPr>
                <w:rFonts w:eastAsia="宋体" w:cs="宋体"/>
                <w:color w:val="000000"/>
                <w:kern w:val="0"/>
                <w:sz w:val="20"/>
                <w:szCs w:val="20"/>
              </w:rPr>
            </w:pPr>
            <w:r>
              <w:rPr>
                <w:rFonts w:eastAsia="宋体" w:cs="宋体" w:hint="eastAsia"/>
                <w:color w:val="000000"/>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宋体"/>
                <w:color w:val="000000"/>
                <w:kern w:val="0"/>
                <w:sz w:val="20"/>
                <w:szCs w:val="20"/>
              </w:rPr>
            </w:pPr>
            <w:r>
              <w:rPr>
                <w:rFonts w:eastAsia="宋体" w:cs="宋体" w:hint="eastAsia"/>
                <w:color w:val="000000"/>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宋体"/>
                <w:color w:val="000000"/>
                <w:kern w:val="0"/>
                <w:sz w:val="20"/>
                <w:szCs w:val="20"/>
              </w:rPr>
            </w:pPr>
            <w:r>
              <w:rPr>
                <w:rFonts w:eastAsia="宋体" w:cs="宋体" w:hint="eastAsia"/>
                <w:color w:val="000000"/>
                <w:kern w:val="0"/>
                <w:sz w:val="20"/>
                <w:szCs w:val="20"/>
              </w:rPr>
              <w:t>　</w:t>
            </w:r>
          </w:p>
        </w:tc>
        <w:tc>
          <w:tcPr>
            <w:tcW w:w="2598"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宋体"/>
                <w:color w:val="000000"/>
                <w:kern w:val="0"/>
                <w:sz w:val="20"/>
                <w:szCs w:val="20"/>
              </w:rPr>
            </w:pPr>
            <w:r>
              <w:rPr>
                <w:rFonts w:eastAsia="宋体" w:cs="宋体" w:hint="eastAsia"/>
                <w:color w:val="000000"/>
                <w:kern w:val="0"/>
                <w:sz w:val="20"/>
                <w:szCs w:val="20"/>
              </w:rPr>
              <w:t>　</w:t>
            </w:r>
          </w:p>
        </w:tc>
      </w:tr>
      <w:tr>
        <w:trPr>
          <w:trHeight w:hRule="exact" w:val="567"/>
        </w:trPr>
        <w:tc>
          <w:tcPr>
            <w:tcW w:w="3119" w:type="dxa"/>
            <w:tcBorders>
              <w:top w:val="nil"/>
              <w:left w:val="single" w:sz="4" w:space="0" w:color="auto"/>
              <w:bottom w:val="single" w:sz="4" w:space="0" w:color="auto"/>
              <w:right w:val="single" w:sz="4" w:space="0" w:color="auto"/>
            </w:tcBorders>
            <w:shd w:val="clear" w:color="auto" w:fill="auto"/>
            <w:noWrap/>
            <w:vAlign w:val="center"/>
          </w:tcPr>
          <w:p>
            <w:pPr>
              <w:widowControl/>
              <w:overflowPunct/>
              <w:spacing w:line="240" w:lineRule="auto"/>
              <w:ind w:firstLineChars="0" w:firstLine="0"/>
              <w:jc w:val="left"/>
              <w:rPr>
                <w:rFonts w:eastAsia="宋体" w:cs="宋体"/>
                <w:color w:val="000000"/>
                <w:kern w:val="0"/>
                <w:sz w:val="20"/>
                <w:szCs w:val="20"/>
              </w:rPr>
            </w:pPr>
            <w:r>
              <w:rPr>
                <w:rFonts w:eastAsia="宋体" w:cs="宋体" w:hint="eastAsia"/>
                <w:color w:val="000000"/>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left"/>
              <w:rPr>
                <w:rFonts w:eastAsia="宋体" w:cs="宋体"/>
                <w:color w:val="000000"/>
                <w:kern w:val="0"/>
                <w:sz w:val="20"/>
                <w:szCs w:val="20"/>
              </w:rPr>
            </w:pPr>
            <w:r>
              <w:rPr>
                <w:rFonts w:eastAsia="宋体" w:cs="宋体" w:hint="eastAsia"/>
                <w:color w:val="000000"/>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宋体"/>
                <w:color w:val="000000"/>
                <w:kern w:val="0"/>
                <w:sz w:val="20"/>
                <w:szCs w:val="20"/>
              </w:rPr>
            </w:pPr>
            <w:r>
              <w:rPr>
                <w:rFonts w:eastAsia="宋体" w:cs="宋体" w:hint="eastAsia"/>
                <w:color w:val="000000"/>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宋体"/>
                <w:color w:val="000000"/>
                <w:kern w:val="0"/>
                <w:sz w:val="20"/>
                <w:szCs w:val="20"/>
              </w:rPr>
            </w:pPr>
            <w:r>
              <w:rPr>
                <w:rFonts w:eastAsia="宋体" w:cs="宋体" w:hint="eastAsia"/>
                <w:color w:val="000000"/>
                <w:kern w:val="0"/>
                <w:sz w:val="20"/>
                <w:szCs w:val="20"/>
              </w:rPr>
              <w:t>　</w:t>
            </w:r>
          </w:p>
        </w:tc>
        <w:tc>
          <w:tcPr>
            <w:tcW w:w="2598"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宋体"/>
                <w:color w:val="000000"/>
                <w:kern w:val="0"/>
                <w:sz w:val="20"/>
                <w:szCs w:val="20"/>
              </w:rPr>
            </w:pPr>
            <w:r>
              <w:rPr>
                <w:rFonts w:eastAsia="宋体" w:cs="宋体" w:hint="eastAsia"/>
                <w:color w:val="000000"/>
                <w:kern w:val="0"/>
                <w:sz w:val="20"/>
                <w:szCs w:val="20"/>
              </w:rPr>
              <w:t>　</w:t>
            </w:r>
          </w:p>
        </w:tc>
      </w:tr>
      <w:tr>
        <w:trPr>
          <w:trHeight w:hRule="exact" w:val="567"/>
        </w:trPr>
        <w:tc>
          <w:tcPr>
            <w:tcW w:w="3119" w:type="dxa"/>
            <w:tcBorders>
              <w:top w:val="nil"/>
              <w:left w:val="single" w:sz="4" w:space="0" w:color="auto"/>
              <w:bottom w:val="single" w:sz="4" w:space="0" w:color="auto"/>
              <w:right w:val="single" w:sz="4" w:space="0" w:color="auto"/>
            </w:tcBorders>
            <w:shd w:val="clear" w:color="auto" w:fill="auto"/>
            <w:noWrap/>
            <w:vAlign w:val="center"/>
          </w:tcPr>
          <w:p>
            <w:pPr>
              <w:widowControl/>
              <w:overflowPunct/>
              <w:spacing w:line="240" w:lineRule="auto"/>
              <w:ind w:firstLineChars="0" w:firstLine="0"/>
              <w:jc w:val="left"/>
              <w:rPr>
                <w:rFonts w:eastAsia="宋体" w:cs="宋体"/>
                <w:color w:val="000000"/>
                <w:kern w:val="0"/>
                <w:sz w:val="20"/>
                <w:szCs w:val="20"/>
              </w:rPr>
            </w:pPr>
            <w:r>
              <w:rPr>
                <w:rFonts w:eastAsia="宋体" w:cs="宋体" w:hint="eastAsia"/>
                <w:color w:val="000000"/>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left"/>
              <w:rPr>
                <w:rFonts w:eastAsia="宋体" w:cs="宋体"/>
                <w:color w:val="000000"/>
                <w:kern w:val="0"/>
                <w:sz w:val="20"/>
                <w:szCs w:val="20"/>
              </w:rPr>
            </w:pPr>
            <w:r>
              <w:rPr>
                <w:rFonts w:eastAsia="宋体" w:cs="宋体" w:hint="eastAsia"/>
                <w:color w:val="000000"/>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宋体"/>
                <w:color w:val="000000"/>
                <w:kern w:val="0"/>
                <w:sz w:val="20"/>
                <w:szCs w:val="20"/>
              </w:rPr>
            </w:pPr>
            <w:r>
              <w:rPr>
                <w:rFonts w:eastAsia="宋体" w:cs="宋体" w:hint="eastAsia"/>
                <w:color w:val="000000"/>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宋体"/>
                <w:color w:val="000000"/>
                <w:kern w:val="0"/>
                <w:sz w:val="20"/>
                <w:szCs w:val="20"/>
              </w:rPr>
            </w:pPr>
            <w:r>
              <w:rPr>
                <w:rFonts w:eastAsia="宋体" w:cs="宋体" w:hint="eastAsia"/>
                <w:color w:val="000000"/>
                <w:kern w:val="0"/>
                <w:sz w:val="20"/>
                <w:szCs w:val="20"/>
              </w:rPr>
              <w:t>　</w:t>
            </w:r>
          </w:p>
        </w:tc>
        <w:tc>
          <w:tcPr>
            <w:tcW w:w="2598"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宋体"/>
                <w:color w:val="000000"/>
                <w:kern w:val="0"/>
                <w:sz w:val="20"/>
                <w:szCs w:val="20"/>
              </w:rPr>
            </w:pPr>
            <w:r>
              <w:rPr>
                <w:rFonts w:eastAsia="宋体" w:cs="宋体" w:hint="eastAsia"/>
                <w:color w:val="000000"/>
                <w:kern w:val="0"/>
                <w:sz w:val="20"/>
                <w:szCs w:val="20"/>
              </w:rPr>
              <w:t>　</w:t>
            </w:r>
          </w:p>
        </w:tc>
      </w:tr>
      <w:tr>
        <w:trPr>
          <w:trHeight w:hRule="exact" w:val="567"/>
        </w:trPr>
        <w:tc>
          <w:tcPr>
            <w:tcW w:w="3119" w:type="dxa"/>
            <w:tcBorders>
              <w:top w:val="nil"/>
              <w:left w:val="single" w:sz="4" w:space="0" w:color="auto"/>
              <w:bottom w:val="single" w:sz="4" w:space="0" w:color="auto"/>
              <w:right w:val="single" w:sz="4" w:space="0" w:color="auto"/>
            </w:tcBorders>
            <w:shd w:val="clear" w:color="auto" w:fill="auto"/>
            <w:noWrap/>
            <w:vAlign w:val="center"/>
          </w:tcPr>
          <w:p>
            <w:pPr>
              <w:widowControl/>
              <w:overflowPunct/>
              <w:spacing w:line="240" w:lineRule="auto"/>
              <w:ind w:firstLineChars="0" w:firstLine="0"/>
              <w:jc w:val="left"/>
              <w:rPr>
                <w:rFonts w:eastAsia="宋体" w:cs="宋体"/>
                <w:color w:val="000000"/>
                <w:kern w:val="0"/>
                <w:sz w:val="20"/>
                <w:szCs w:val="20"/>
              </w:rPr>
            </w:pPr>
            <w:r>
              <w:rPr>
                <w:rFonts w:eastAsia="宋体" w:cs="宋体" w:hint="eastAsia"/>
                <w:color w:val="000000"/>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left"/>
              <w:rPr>
                <w:rFonts w:eastAsia="宋体" w:cs="宋体"/>
                <w:color w:val="000000"/>
                <w:kern w:val="0"/>
                <w:sz w:val="20"/>
                <w:szCs w:val="20"/>
              </w:rPr>
            </w:pPr>
            <w:r>
              <w:rPr>
                <w:rFonts w:eastAsia="宋体" w:cs="宋体" w:hint="eastAsia"/>
                <w:color w:val="000000"/>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宋体"/>
                <w:color w:val="000000"/>
                <w:kern w:val="0"/>
                <w:sz w:val="20"/>
                <w:szCs w:val="20"/>
              </w:rPr>
            </w:pPr>
            <w:r>
              <w:rPr>
                <w:rFonts w:eastAsia="宋体" w:cs="宋体" w:hint="eastAsia"/>
                <w:color w:val="000000"/>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宋体"/>
                <w:color w:val="000000"/>
                <w:kern w:val="0"/>
                <w:sz w:val="20"/>
                <w:szCs w:val="20"/>
              </w:rPr>
            </w:pPr>
            <w:r>
              <w:rPr>
                <w:rFonts w:eastAsia="宋体" w:cs="宋体" w:hint="eastAsia"/>
                <w:color w:val="000000"/>
                <w:kern w:val="0"/>
                <w:sz w:val="20"/>
                <w:szCs w:val="20"/>
              </w:rPr>
              <w:t>　</w:t>
            </w:r>
          </w:p>
        </w:tc>
        <w:tc>
          <w:tcPr>
            <w:tcW w:w="2598"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宋体"/>
                <w:color w:val="000000"/>
                <w:kern w:val="0"/>
                <w:sz w:val="20"/>
                <w:szCs w:val="20"/>
              </w:rPr>
            </w:pPr>
            <w:r>
              <w:rPr>
                <w:rFonts w:eastAsia="宋体" w:cs="宋体" w:hint="eastAsia"/>
                <w:color w:val="000000"/>
                <w:kern w:val="0"/>
                <w:sz w:val="20"/>
                <w:szCs w:val="20"/>
              </w:rPr>
              <w:t>　</w:t>
            </w:r>
          </w:p>
        </w:tc>
      </w:tr>
      <w:tr>
        <w:trPr>
          <w:trHeight w:hRule="exact" w:val="567"/>
        </w:trPr>
        <w:tc>
          <w:tcPr>
            <w:tcW w:w="3119" w:type="dxa"/>
            <w:tcBorders>
              <w:top w:val="nil"/>
              <w:left w:val="single" w:sz="4" w:space="0" w:color="auto"/>
              <w:bottom w:val="single" w:sz="4" w:space="0" w:color="auto"/>
              <w:right w:val="single" w:sz="4" w:space="0" w:color="auto"/>
            </w:tcBorders>
            <w:shd w:val="clear" w:color="auto" w:fill="auto"/>
            <w:noWrap/>
            <w:vAlign w:val="center"/>
          </w:tcPr>
          <w:p>
            <w:pPr>
              <w:widowControl/>
              <w:overflowPunct/>
              <w:spacing w:line="240" w:lineRule="auto"/>
              <w:ind w:firstLineChars="0" w:firstLine="0"/>
              <w:jc w:val="left"/>
              <w:rPr>
                <w:rFonts w:eastAsia="宋体" w:cs="宋体"/>
                <w:color w:val="000000"/>
                <w:kern w:val="0"/>
                <w:sz w:val="20"/>
                <w:szCs w:val="20"/>
              </w:rPr>
            </w:pPr>
            <w:r>
              <w:rPr>
                <w:rFonts w:eastAsia="宋体" w:cs="宋体" w:hint="eastAsia"/>
                <w:color w:val="000000"/>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left"/>
              <w:rPr>
                <w:rFonts w:eastAsia="宋体" w:cs="宋体"/>
                <w:color w:val="000000"/>
                <w:kern w:val="0"/>
                <w:sz w:val="20"/>
                <w:szCs w:val="20"/>
              </w:rPr>
            </w:pPr>
            <w:r>
              <w:rPr>
                <w:rFonts w:eastAsia="宋体" w:cs="宋体" w:hint="eastAsia"/>
                <w:color w:val="000000"/>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宋体"/>
                <w:color w:val="000000"/>
                <w:kern w:val="0"/>
                <w:sz w:val="20"/>
                <w:szCs w:val="20"/>
              </w:rPr>
            </w:pPr>
            <w:r>
              <w:rPr>
                <w:rFonts w:eastAsia="宋体" w:cs="宋体" w:hint="eastAsia"/>
                <w:color w:val="000000"/>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宋体"/>
                <w:color w:val="000000"/>
                <w:kern w:val="0"/>
                <w:sz w:val="20"/>
                <w:szCs w:val="20"/>
              </w:rPr>
            </w:pPr>
            <w:r>
              <w:rPr>
                <w:rFonts w:eastAsia="宋体" w:cs="宋体" w:hint="eastAsia"/>
                <w:color w:val="000000"/>
                <w:kern w:val="0"/>
                <w:sz w:val="20"/>
                <w:szCs w:val="20"/>
              </w:rPr>
              <w:t>　</w:t>
            </w:r>
          </w:p>
        </w:tc>
        <w:tc>
          <w:tcPr>
            <w:tcW w:w="2598"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宋体"/>
                <w:color w:val="000000"/>
                <w:kern w:val="0"/>
                <w:sz w:val="20"/>
                <w:szCs w:val="20"/>
              </w:rPr>
            </w:pPr>
            <w:r>
              <w:rPr>
                <w:rFonts w:eastAsia="宋体" w:cs="宋体" w:hint="eastAsia"/>
                <w:color w:val="000000"/>
                <w:kern w:val="0"/>
                <w:sz w:val="20"/>
                <w:szCs w:val="20"/>
              </w:rPr>
              <w:t>　</w:t>
            </w:r>
          </w:p>
        </w:tc>
      </w:tr>
      <w:tr>
        <w:trPr>
          <w:trHeight w:hRule="exact" w:val="567"/>
        </w:trPr>
        <w:tc>
          <w:tcPr>
            <w:tcW w:w="652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宋体"/>
                <w:color w:val="000000"/>
                <w:kern w:val="0"/>
                <w:sz w:val="20"/>
                <w:szCs w:val="20"/>
              </w:rPr>
            </w:pPr>
            <w:r>
              <w:rPr>
                <w:rFonts w:eastAsia="宋体" w:cs="宋体" w:hint="eastAsia"/>
                <w:color w:val="000000"/>
                <w:kern w:val="0"/>
                <w:sz w:val="20"/>
                <w:szCs w:val="20"/>
              </w:rPr>
              <w:t>合   计</w:t>
            </w:r>
          </w:p>
        </w:tc>
        <w:tc>
          <w:tcPr>
            <w:tcW w:w="2551"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宋体"/>
                <w:color w:val="000000"/>
                <w:kern w:val="0"/>
                <w:sz w:val="20"/>
                <w:szCs w:val="20"/>
              </w:rPr>
            </w:pPr>
            <w:r>
              <w:rPr>
                <w:rFonts w:eastAsia="宋体" w:cs="宋体" w:hint="eastAsia"/>
                <w:color w:val="000000"/>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宋体"/>
                <w:color w:val="000000"/>
                <w:kern w:val="0"/>
                <w:sz w:val="20"/>
                <w:szCs w:val="20"/>
              </w:rPr>
            </w:pPr>
            <w:r>
              <w:rPr>
                <w:rFonts w:eastAsia="宋体" w:cs="宋体" w:hint="eastAsia"/>
                <w:color w:val="000000"/>
                <w:kern w:val="0"/>
                <w:sz w:val="20"/>
                <w:szCs w:val="20"/>
              </w:rPr>
              <w:t>　</w:t>
            </w:r>
          </w:p>
        </w:tc>
        <w:tc>
          <w:tcPr>
            <w:tcW w:w="2598"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center"/>
              <w:rPr>
                <w:rFonts w:eastAsia="宋体" w:cs="宋体"/>
                <w:color w:val="000000"/>
                <w:kern w:val="0"/>
                <w:sz w:val="20"/>
                <w:szCs w:val="20"/>
              </w:rPr>
            </w:pPr>
            <w:r>
              <w:rPr>
                <w:rFonts w:eastAsia="宋体" w:cs="宋体" w:hint="eastAsia"/>
                <w:color w:val="000000"/>
                <w:kern w:val="0"/>
                <w:sz w:val="20"/>
                <w:szCs w:val="20"/>
              </w:rPr>
              <w:t>　</w:t>
            </w:r>
          </w:p>
        </w:tc>
      </w:tr>
    </w:tbl>
    <w:p>
      <w:pPr>
        <w:overflowPunct/>
        <w:spacing w:line="240" w:lineRule="auto"/>
        <w:ind w:firstLineChars="0" w:firstLine="0"/>
        <w:rPr>
          <w:rFonts w:cs="Times New Roman"/>
          <w:sz w:val="24"/>
          <w:szCs w:val="24"/>
        </w:rPr>
      </w:pPr>
      <w:r>
        <w:rPr>
          <w:rFonts w:cs="Times New Roman" w:hint="eastAsia"/>
          <w:sz w:val="24"/>
          <w:szCs w:val="24"/>
        </w:rPr>
        <w:t>注：大连海关无国有资本经营预算收入，也无国有资本经营预算安排的支出，故本表无数据。</w:t>
      </w:r>
    </w:p>
    <w:p>
      <w:pPr>
        <w:widowControl/>
        <w:overflowPunct/>
        <w:spacing w:line="240" w:lineRule="auto"/>
        <w:ind w:firstLineChars="0" w:firstLine="0"/>
        <w:jc w:val="left"/>
      </w:pPr>
      <w:r>
        <w:br w:type="page"/>
      </w:r>
    </w:p>
    <w:p>
      <w:pPr>
        <w:pStyle w:val="22"/>
        <w:outlineLvl w:val="1"/>
      </w:pPr>
      <w:r>
        <w:rPr>
          <w:rFonts w:hint="eastAsia"/>
        </w:rPr>
        <w:t>九、财政拨款预算“三公”经费支出表</w:t>
      </w:r>
    </w:p>
    <w:p/>
    <w:tbl>
      <w:tblPr>
        <w:jc w:val="left"/>
        <w:tblW w:w="14174"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458"/>
        <w:gridCol w:w="131"/>
        <w:gridCol w:w="642"/>
        <w:gridCol w:w="1458"/>
        <w:gridCol w:w="1192"/>
        <w:gridCol w:w="1458"/>
        <w:gridCol w:w="1014"/>
        <w:gridCol w:w="325"/>
        <w:gridCol w:w="714"/>
        <w:gridCol w:w="748"/>
        <w:gridCol w:w="1414"/>
        <w:gridCol w:w="1192"/>
        <w:gridCol w:w="1262"/>
        <w:gridCol w:w="152"/>
        <w:gridCol w:w="1014"/>
      </w:tblGrid>
      <w:tr>
        <w:trPr>
          <w:cantSplit/>
          <w:trHeight w:val="313"/>
        </w:trPr>
        <w:tc>
          <w:tcPr>
            <w:tcW w:w="1589" w:type="dxa"/>
            <w:gridSpan w:val="2"/>
            <w:tcBorders>
              <w:top w:val="nil"/>
              <w:left w:val="nil"/>
              <w:bottom w:val="nil"/>
              <w:right w:val="nil"/>
            </w:tcBorders>
            <w:shd w:val="clear" w:color="auto" w:fill="auto"/>
            <w:noWrap/>
            <w:vAlign w:val="center"/>
          </w:tcPr>
          <w:p>
            <w:pPr>
              <w:widowControl/>
              <w:overflowPunct/>
              <w:spacing w:line="240" w:lineRule="auto"/>
              <w:ind w:firstLineChars="0" w:firstLine="0"/>
              <w:jc w:val="left"/>
              <w:rPr>
                <w:rFonts w:eastAsia="宋体" w:cs="宋体"/>
                <w:kern w:val="0"/>
                <w:sz w:val="24"/>
                <w:szCs w:val="24"/>
              </w:rPr>
            </w:pPr>
          </w:p>
        </w:tc>
        <w:tc>
          <w:tcPr>
            <w:tcW w:w="642" w:type="dxa"/>
            <w:tcBorders>
              <w:top w:val="nil"/>
              <w:left w:val="nil"/>
              <w:bottom w:val="nil"/>
              <w:right w:val="nil"/>
            </w:tcBorders>
            <w:shd w:val="clear" w:color="auto" w:fill="auto"/>
            <w:noWrap/>
            <w:vAlign w:val="center"/>
          </w:tcPr>
          <w:p>
            <w:pPr>
              <w:widowControl/>
              <w:overflowPunct/>
              <w:spacing w:line="240" w:lineRule="auto"/>
              <w:ind w:firstLineChars="0" w:firstLine="0"/>
              <w:jc w:val="left"/>
              <w:rPr>
                <w:rFonts w:eastAsia="Times New Roman" w:cs="Times New Roman"/>
                <w:kern w:val="0"/>
                <w:sz w:val="20"/>
                <w:szCs w:val="20"/>
              </w:rPr>
            </w:pPr>
          </w:p>
        </w:tc>
        <w:tc>
          <w:tcPr>
            <w:tcW w:w="1458" w:type="dxa"/>
            <w:tcBorders>
              <w:top w:val="nil"/>
              <w:left w:val="nil"/>
              <w:bottom w:val="nil"/>
              <w:right w:val="nil"/>
            </w:tcBorders>
            <w:shd w:val="clear" w:color="auto" w:fill="auto"/>
            <w:noWrap/>
            <w:vAlign w:val="center"/>
          </w:tcPr>
          <w:p>
            <w:pPr>
              <w:widowControl/>
              <w:overflowPunct/>
              <w:spacing w:line="240" w:lineRule="auto"/>
              <w:ind w:firstLineChars="0" w:firstLine="0"/>
              <w:jc w:val="left"/>
              <w:rPr>
                <w:rFonts w:eastAsia="Times New Roman" w:cs="Times New Roman"/>
                <w:kern w:val="0"/>
                <w:sz w:val="20"/>
                <w:szCs w:val="20"/>
              </w:rPr>
            </w:pPr>
          </w:p>
        </w:tc>
        <w:tc>
          <w:tcPr>
            <w:tcW w:w="1192" w:type="dxa"/>
            <w:tcBorders>
              <w:top w:val="nil"/>
              <w:left w:val="nil"/>
              <w:bottom w:val="nil"/>
              <w:right w:val="nil"/>
            </w:tcBorders>
            <w:shd w:val="clear" w:color="auto" w:fill="auto"/>
            <w:noWrap/>
            <w:vAlign w:val="center"/>
          </w:tcPr>
          <w:p>
            <w:pPr>
              <w:widowControl/>
              <w:overflowPunct/>
              <w:spacing w:line="240" w:lineRule="auto"/>
              <w:ind w:firstLineChars="0" w:firstLine="0"/>
              <w:jc w:val="left"/>
              <w:rPr>
                <w:rFonts w:eastAsia="Times New Roman" w:cs="Times New Roman"/>
                <w:kern w:val="0"/>
                <w:sz w:val="20"/>
                <w:szCs w:val="20"/>
              </w:rPr>
            </w:pPr>
          </w:p>
        </w:tc>
        <w:tc>
          <w:tcPr>
            <w:tcW w:w="1458" w:type="dxa"/>
            <w:tcBorders>
              <w:top w:val="nil"/>
              <w:left w:val="nil"/>
              <w:bottom w:val="nil"/>
              <w:right w:val="nil"/>
            </w:tcBorders>
            <w:shd w:val="clear" w:color="auto" w:fill="auto"/>
            <w:noWrap/>
            <w:vAlign w:val="center"/>
          </w:tcPr>
          <w:p>
            <w:pPr>
              <w:widowControl/>
              <w:overflowPunct/>
              <w:spacing w:line="240" w:lineRule="auto"/>
              <w:ind w:firstLineChars="0" w:firstLine="0"/>
              <w:jc w:val="left"/>
              <w:rPr>
                <w:rFonts w:eastAsia="Times New Roman" w:cs="Times New Roman"/>
                <w:kern w:val="0"/>
                <w:sz w:val="20"/>
                <w:szCs w:val="20"/>
              </w:rPr>
            </w:pPr>
          </w:p>
        </w:tc>
        <w:tc>
          <w:tcPr>
            <w:tcW w:w="1339" w:type="dxa"/>
            <w:gridSpan w:val="2"/>
            <w:tcBorders>
              <w:top w:val="nil"/>
              <w:left w:val="nil"/>
              <w:bottom w:val="nil"/>
              <w:right w:val="nil"/>
            </w:tcBorders>
            <w:shd w:val="clear" w:color="auto" w:fill="auto"/>
            <w:noWrap/>
            <w:vAlign w:val="center"/>
          </w:tcPr>
          <w:p>
            <w:pPr>
              <w:widowControl/>
              <w:overflowPunct/>
              <w:spacing w:line="240" w:lineRule="auto"/>
              <w:ind w:firstLineChars="0" w:firstLine="0"/>
              <w:jc w:val="left"/>
              <w:rPr>
                <w:rFonts w:eastAsia="Times New Roman" w:cs="Times New Roman"/>
                <w:kern w:val="0"/>
                <w:sz w:val="20"/>
                <w:szCs w:val="20"/>
              </w:rPr>
            </w:pPr>
          </w:p>
        </w:tc>
        <w:tc>
          <w:tcPr>
            <w:tcW w:w="714" w:type="dxa"/>
            <w:tcBorders>
              <w:top w:val="nil"/>
              <w:left w:val="nil"/>
              <w:bottom w:val="nil"/>
              <w:right w:val="nil"/>
            </w:tcBorders>
            <w:shd w:val="clear" w:color="auto" w:fill="auto"/>
            <w:noWrap/>
            <w:vAlign w:val="center"/>
          </w:tcPr>
          <w:p>
            <w:pPr>
              <w:widowControl/>
              <w:overflowPunct/>
              <w:spacing w:line="240" w:lineRule="auto"/>
              <w:ind w:firstLineChars="0" w:firstLine="0"/>
              <w:jc w:val="left"/>
              <w:rPr>
                <w:rFonts w:eastAsia="Times New Roman" w:cs="Times New Roman"/>
                <w:kern w:val="0"/>
                <w:sz w:val="20"/>
                <w:szCs w:val="20"/>
              </w:rPr>
            </w:pPr>
          </w:p>
        </w:tc>
        <w:tc>
          <w:tcPr>
            <w:tcW w:w="748" w:type="dxa"/>
            <w:tcBorders>
              <w:top w:val="nil"/>
              <w:left w:val="nil"/>
              <w:bottom w:val="nil"/>
              <w:right w:val="nil"/>
            </w:tcBorders>
            <w:shd w:val="clear" w:color="auto" w:fill="auto"/>
            <w:noWrap/>
            <w:vAlign w:val="center"/>
          </w:tcPr>
          <w:p>
            <w:pPr>
              <w:widowControl/>
              <w:overflowPunct/>
              <w:spacing w:line="240" w:lineRule="auto"/>
              <w:ind w:firstLineChars="0" w:firstLine="0"/>
              <w:jc w:val="left"/>
              <w:rPr>
                <w:rFonts w:eastAsia="Times New Roman" w:cs="Times New Roman"/>
                <w:kern w:val="0"/>
                <w:sz w:val="20"/>
                <w:szCs w:val="20"/>
              </w:rPr>
            </w:pPr>
          </w:p>
        </w:tc>
        <w:tc>
          <w:tcPr>
            <w:tcW w:w="1414" w:type="dxa"/>
            <w:tcBorders>
              <w:top w:val="nil"/>
              <w:left w:val="nil"/>
              <w:bottom w:val="nil"/>
              <w:right w:val="nil"/>
            </w:tcBorders>
            <w:shd w:val="clear" w:color="auto" w:fill="auto"/>
            <w:noWrap/>
            <w:vAlign w:val="center"/>
          </w:tcPr>
          <w:p>
            <w:pPr>
              <w:widowControl/>
              <w:overflowPunct/>
              <w:spacing w:line="240" w:lineRule="auto"/>
              <w:ind w:firstLineChars="0" w:firstLine="0"/>
              <w:jc w:val="left"/>
              <w:rPr>
                <w:rFonts w:eastAsia="Times New Roman" w:cs="Times New Roman"/>
                <w:kern w:val="0"/>
                <w:sz w:val="20"/>
                <w:szCs w:val="20"/>
              </w:rPr>
            </w:pPr>
          </w:p>
        </w:tc>
        <w:tc>
          <w:tcPr>
            <w:tcW w:w="1192" w:type="dxa"/>
            <w:tcBorders>
              <w:top w:val="nil"/>
              <w:left w:val="nil"/>
              <w:bottom w:val="nil"/>
              <w:right w:val="nil"/>
            </w:tcBorders>
            <w:shd w:val="clear" w:color="auto" w:fill="auto"/>
            <w:noWrap/>
            <w:vAlign w:val="center"/>
          </w:tcPr>
          <w:p>
            <w:pPr>
              <w:widowControl/>
              <w:overflowPunct/>
              <w:spacing w:line="240" w:lineRule="auto"/>
              <w:ind w:firstLineChars="0" w:firstLine="0"/>
              <w:jc w:val="left"/>
              <w:rPr>
                <w:rFonts w:eastAsia="Times New Roman" w:cs="Times New Roman"/>
                <w:kern w:val="0"/>
                <w:sz w:val="20"/>
                <w:szCs w:val="20"/>
              </w:rPr>
            </w:pPr>
          </w:p>
        </w:tc>
        <w:tc>
          <w:tcPr>
            <w:tcW w:w="1414" w:type="dxa"/>
            <w:gridSpan w:val="2"/>
            <w:tcBorders>
              <w:top w:val="nil"/>
              <w:left w:val="nil"/>
              <w:bottom w:val="nil"/>
              <w:right w:val="nil"/>
            </w:tcBorders>
            <w:shd w:val="clear" w:color="auto" w:fill="auto"/>
            <w:noWrap/>
            <w:vAlign w:val="center"/>
          </w:tcPr>
          <w:p>
            <w:pPr>
              <w:widowControl/>
              <w:overflowPunct/>
              <w:spacing w:line="240" w:lineRule="auto"/>
              <w:ind w:firstLineChars="0" w:firstLine="0"/>
              <w:jc w:val="left"/>
              <w:rPr>
                <w:rFonts w:eastAsia="Times New Roman" w:cs="Times New Roman"/>
                <w:kern w:val="0"/>
                <w:sz w:val="20"/>
                <w:szCs w:val="20"/>
              </w:rPr>
            </w:pPr>
          </w:p>
        </w:tc>
        <w:tc>
          <w:tcPr>
            <w:tcW w:w="1014" w:type="dxa"/>
            <w:tcBorders>
              <w:top w:val="nil"/>
              <w:left w:val="nil"/>
              <w:bottom w:val="nil"/>
              <w:right w:val="nil"/>
            </w:tcBorders>
            <w:shd w:val="clear" w:color="auto" w:fill="auto"/>
            <w:noWrap/>
            <w:vAlign w:val="center"/>
          </w:tcPr>
          <w:p>
            <w:pPr>
              <w:widowControl/>
              <w:overflowPunct/>
              <w:spacing w:line="240" w:lineRule="auto"/>
              <w:ind w:firstLineChars="0" w:firstLine="0"/>
              <w:jc w:val="right"/>
              <w:rPr>
                <w:rFonts w:eastAsia="黑体" w:cs="宋体"/>
                <w:kern w:val="0"/>
                <w:sz w:val="20"/>
                <w:szCs w:val="20"/>
              </w:rPr>
            </w:pPr>
            <w:r>
              <w:rPr>
                <w:rFonts w:eastAsia="黑体" w:cs="宋体" w:hint="eastAsia"/>
                <w:kern w:val="0"/>
                <w:sz w:val="20"/>
                <w:szCs w:val="20"/>
              </w:rPr>
              <w:t>部门公开表9</w:t>
            </w:r>
          </w:p>
        </w:tc>
      </w:tr>
      <w:tr>
        <w:trPr>
          <w:cantSplit/>
          <w:trHeight w:val="446"/>
        </w:trPr>
        <w:tc>
          <w:tcPr>
            <w:tcW w:w="14174" w:type="dxa"/>
            <w:gridSpan w:val="15"/>
            <w:tcBorders>
              <w:top w:val="nil"/>
              <w:left w:val="nil"/>
              <w:bottom w:val="nil"/>
              <w:right w:val="nil"/>
            </w:tcBorders>
            <w:shd w:val="clear" w:color="auto" w:fill="auto"/>
            <w:noWrap/>
            <w:vAlign w:val="center"/>
          </w:tcPr>
          <w:p>
            <w:pPr>
              <w:widowControl/>
              <w:overflowPunct/>
              <w:spacing w:line="240" w:lineRule="auto"/>
              <w:ind w:firstLineChars="0" w:firstLine="0"/>
              <w:jc w:val="center"/>
              <w:rPr>
                <w:rFonts w:eastAsia="宋体" w:cs="宋体"/>
                <w:kern w:val="0"/>
                <w:sz w:val="36"/>
                <w:szCs w:val="36"/>
              </w:rPr>
            </w:pPr>
            <w:r>
              <w:rPr>
                <w:rFonts w:eastAsia="宋体" w:cs="宋体" w:hint="eastAsia"/>
                <w:kern w:val="0"/>
                <w:sz w:val="36"/>
                <w:szCs w:val="36"/>
              </w:rPr>
              <w:t>财政拨款预算“三公”经费支出表</w:t>
            </w:r>
          </w:p>
        </w:tc>
      </w:tr>
      <w:tr>
        <w:trPr>
          <w:cantSplit/>
          <w:trHeight w:val="360"/>
        </w:trPr>
        <w:tc>
          <w:tcPr>
            <w:tcW w:w="1589" w:type="dxa"/>
            <w:gridSpan w:val="2"/>
            <w:tcBorders>
              <w:top w:val="nil"/>
              <w:left w:val="nil"/>
              <w:bottom w:val="single" w:sz="4" w:space="0" w:color="auto"/>
              <w:right w:val="nil"/>
            </w:tcBorders>
            <w:shd w:val="clear" w:color="auto" w:fill="auto"/>
            <w:noWrap/>
            <w:vAlign w:val="center"/>
          </w:tcPr>
          <w:p>
            <w:pPr>
              <w:widowControl/>
              <w:overflowPunct/>
              <w:spacing w:line="240" w:lineRule="auto"/>
              <w:ind w:firstLineChars="0" w:firstLine="0"/>
              <w:jc w:val="left"/>
              <w:rPr>
                <w:rFonts w:eastAsia="宋体" w:cs="宋体"/>
                <w:kern w:val="0"/>
                <w:sz w:val="18"/>
                <w:szCs w:val="18"/>
              </w:rPr>
            </w:pPr>
            <w:r>
              <w:rPr>
                <w:rFonts w:eastAsia="宋体" w:cs="宋体" w:hint="eastAsia"/>
                <w:kern w:val="0"/>
                <w:sz w:val="18"/>
                <w:szCs w:val="18"/>
              </w:rPr>
              <w:t>　</w:t>
            </w:r>
          </w:p>
        </w:tc>
        <w:tc>
          <w:tcPr>
            <w:tcW w:w="642" w:type="dxa"/>
            <w:tcBorders>
              <w:top w:val="nil"/>
              <w:left w:val="nil"/>
              <w:bottom w:val="single" w:sz="4" w:space="0" w:color="auto"/>
              <w:right w:val="nil"/>
            </w:tcBorders>
            <w:shd w:val="clear" w:color="auto" w:fill="auto"/>
            <w:noWrap/>
            <w:vAlign w:val="center"/>
          </w:tcPr>
          <w:p>
            <w:pPr>
              <w:widowControl/>
              <w:overflowPunct/>
              <w:spacing w:line="240" w:lineRule="auto"/>
              <w:ind w:firstLineChars="0" w:firstLine="0"/>
              <w:jc w:val="left"/>
              <w:rPr>
                <w:rFonts w:eastAsia="宋体" w:cs="宋体"/>
                <w:kern w:val="0"/>
                <w:sz w:val="18"/>
                <w:szCs w:val="18"/>
              </w:rPr>
            </w:pPr>
            <w:r>
              <w:rPr>
                <w:rFonts w:eastAsia="宋体" w:cs="宋体" w:hint="eastAsia"/>
                <w:kern w:val="0"/>
                <w:sz w:val="18"/>
                <w:szCs w:val="18"/>
              </w:rPr>
              <w:t>　</w:t>
            </w:r>
          </w:p>
        </w:tc>
        <w:tc>
          <w:tcPr>
            <w:tcW w:w="1458" w:type="dxa"/>
            <w:tcBorders>
              <w:top w:val="nil"/>
              <w:left w:val="nil"/>
              <w:bottom w:val="single" w:sz="4" w:space="0" w:color="auto"/>
              <w:right w:val="nil"/>
            </w:tcBorders>
            <w:shd w:val="clear" w:color="auto" w:fill="auto"/>
            <w:noWrap/>
            <w:vAlign w:val="center"/>
          </w:tcPr>
          <w:p>
            <w:pPr>
              <w:widowControl/>
              <w:overflowPunct/>
              <w:spacing w:line="240" w:lineRule="auto"/>
              <w:ind w:firstLineChars="0" w:firstLine="0"/>
              <w:jc w:val="left"/>
              <w:rPr>
                <w:rFonts w:eastAsia="宋体" w:cs="宋体"/>
                <w:kern w:val="0"/>
                <w:sz w:val="18"/>
                <w:szCs w:val="18"/>
              </w:rPr>
            </w:pPr>
            <w:r>
              <w:rPr>
                <w:rFonts w:eastAsia="宋体" w:cs="宋体" w:hint="eastAsia"/>
                <w:kern w:val="0"/>
                <w:sz w:val="18"/>
                <w:szCs w:val="18"/>
              </w:rPr>
              <w:t>　</w:t>
            </w:r>
          </w:p>
        </w:tc>
        <w:tc>
          <w:tcPr>
            <w:tcW w:w="1192" w:type="dxa"/>
            <w:tcBorders>
              <w:top w:val="nil"/>
              <w:left w:val="nil"/>
              <w:bottom w:val="single" w:sz="4" w:space="0" w:color="auto"/>
              <w:right w:val="nil"/>
            </w:tcBorders>
            <w:shd w:val="clear" w:color="auto" w:fill="auto"/>
            <w:noWrap/>
            <w:vAlign w:val="center"/>
          </w:tcPr>
          <w:p>
            <w:pPr>
              <w:widowControl/>
              <w:overflowPunct/>
              <w:spacing w:line="240" w:lineRule="auto"/>
              <w:ind w:firstLineChars="0" w:firstLine="0"/>
              <w:jc w:val="left"/>
              <w:rPr>
                <w:rFonts w:eastAsia="宋体" w:cs="宋体"/>
                <w:kern w:val="0"/>
                <w:sz w:val="18"/>
                <w:szCs w:val="18"/>
              </w:rPr>
            </w:pPr>
            <w:r>
              <w:rPr>
                <w:rFonts w:eastAsia="宋体" w:cs="宋体" w:hint="eastAsia"/>
                <w:kern w:val="0"/>
                <w:sz w:val="18"/>
                <w:szCs w:val="18"/>
              </w:rPr>
              <w:t>　</w:t>
            </w:r>
          </w:p>
        </w:tc>
        <w:tc>
          <w:tcPr>
            <w:tcW w:w="1458" w:type="dxa"/>
            <w:tcBorders>
              <w:top w:val="nil"/>
              <w:left w:val="nil"/>
              <w:bottom w:val="single" w:sz="4" w:space="0" w:color="auto"/>
              <w:right w:val="nil"/>
            </w:tcBorders>
            <w:shd w:val="clear" w:color="auto" w:fill="auto"/>
            <w:noWrap/>
            <w:vAlign w:val="center"/>
          </w:tcPr>
          <w:p>
            <w:pPr>
              <w:widowControl/>
              <w:overflowPunct/>
              <w:spacing w:line="240" w:lineRule="auto"/>
              <w:ind w:firstLineChars="0" w:firstLine="0"/>
              <w:jc w:val="left"/>
              <w:rPr>
                <w:rFonts w:eastAsia="宋体" w:cs="宋体"/>
                <w:kern w:val="0"/>
                <w:sz w:val="18"/>
                <w:szCs w:val="18"/>
              </w:rPr>
            </w:pPr>
            <w:r>
              <w:rPr>
                <w:rFonts w:eastAsia="宋体" w:cs="宋体" w:hint="eastAsia"/>
                <w:kern w:val="0"/>
                <w:sz w:val="18"/>
                <w:szCs w:val="18"/>
              </w:rPr>
              <w:t>　</w:t>
            </w:r>
          </w:p>
        </w:tc>
        <w:tc>
          <w:tcPr>
            <w:tcW w:w="1014" w:type="dxa"/>
            <w:tcBorders>
              <w:top w:val="nil"/>
              <w:left w:val="nil"/>
              <w:bottom w:val="single" w:sz="4" w:space="0" w:color="auto"/>
              <w:right w:val="nil"/>
            </w:tcBorders>
            <w:shd w:val="clear" w:color="auto" w:fill="auto"/>
            <w:noWrap/>
            <w:vAlign w:val="center"/>
          </w:tcPr>
          <w:p>
            <w:pPr>
              <w:widowControl/>
              <w:overflowPunct/>
              <w:spacing w:line="240" w:lineRule="auto"/>
              <w:ind w:firstLineChars="0" w:firstLine="0"/>
              <w:jc w:val="left"/>
              <w:rPr>
                <w:rFonts w:eastAsia="宋体" w:cs="宋体"/>
                <w:kern w:val="0"/>
                <w:sz w:val="18"/>
                <w:szCs w:val="18"/>
              </w:rPr>
            </w:pPr>
            <w:r>
              <w:rPr>
                <w:rFonts w:eastAsia="宋体" w:cs="宋体" w:hint="eastAsia"/>
                <w:kern w:val="0"/>
                <w:sz w:val="18"/>
                <w:szCs w:val="18"/>
              </w:rPr>
              <w:t>　</w:t>
            </w:r>
          </w:p>
        </w:tc>
        <w:tc>
          <w:tcPr>
            <w:tcW w:w="1039" w:type="dxa"/>
            <w:gridSpan w:val="2"/>
            <w:tcBorders>
              <w:top w:val="nil"/>
              <w:left w:val="nil"/>
              <w:bottom w:val="single" w:sz="4" w:space="0" w:color="auto"/>
              <w:right w:val="nil"/>
            </w:tcBorders>
            <w:shd w:val="clear" w:color="auto" w:fill="auto"/>
            <w:noWrap/>
            <w:vAlign w:val="center"/>
          </w:tcPr>
          <w:p>
            <w:pPr>
              <w:widowControl/>
              <w:overflowPunct/>
              <w:spacing w:line="240" w:lineRule="auto"/>
              <w:ind w:firstLineChars="0" w:firstLine="0"/>
              <w:jc w:val="left"/>
              <w:rPr>
                <w:rFonts w:eastAsia="宋体" w:cs="宋体"/>
                <w:kern w:val="0"/>
                <w:sz w:val="18"/>
                <w:szCs w:val="18"/>
              </w:rPr>
            </w:pPr>
            <w:r>
              <w:rPr>
                <w:rFonts w:eastAsia="宋体" w:cs="宋体" w:hint="eastAsia"/>
                <w:kern w:val="0"/>
                <w:sz w:val="18"/>
                <w:szCs w:val="18"/>
              </w:rPr>
              <w:t>　</w:t>
            </w:r>
          </w:p>
        </w:tc>
        <w:tc>
          <w:tcPr>
            <w:tcW w:w="748" w:type="dxa"/>
            <w:tcBorders>
              <w:top w:val="nil"/>
              <w:left w:val="nil"/>
              <w:bottom w:val="single" w:sz="4" w:space="0" w:color="auto"/>
              <w:right w:val="nil"/>
            </w:tcBorders>
            <w:shd w:val="clear" w:color="auto" w:fill="auto"/>
            <w:noWrap/>
            <w:vAlign w:val="center"/>
          </w:tcPr>
          <w:p>
            <w:pPr>
              <w:widowControl/>
              <w:overflowPunct/>
              <w:spacing w:line="240" w:lineRule="auto"/>
              <w:ind w:firstLineChars="0" w:firstLine="0"/>
              <w:jc w:val="left"/>
              <w:rPr>
                <w:rFonts w:eastAsia="宋体" w:cs="宋体"/>
                <w:kern w:val="0"/>
                <w:sz w:val="18"/>
                <w:szCs w:val="18"/>
              </w:rPr>
            </w:pPr>
            <w:r>
              <w:rPr>
                <w:rFonts w:eastAsia="宋体" w:cs="宋体" w:hint="eastAsia"/>
                <w:kern w:val="0"/>
                <w:sz w:val="18"/>
                <w:szCs w:val="18"/>
              </w:rPr>
              <w:t>　</w:t>
            </w:r>
          </w:p>
        </w:tc>
        <w:tc>
          <w:tcPr>
            <w:tcW w:w="1414" w:type="dxa"/>
            <w:tcBorders>
              <w:top w:val="nil"/>
              <w:left w:val="nil"/>
              <w:bottom w:val="single" w:sz="4" w:space="0" w:color="auto"/>
              <w:right w:val="nil"/>
            </w:tcBorders>
            <w:shd w:val="clear" w:color="auto" w:fill="auto"/>
            <w:noWrap/>
            <w:vAlign w:val="center"/>
          </w:tcPr>
          <w:p>
            <w:pPr>
              <w:widowControl/>
              <w:overflowPunct/>
              <w:spacing w:line="240" w:lineRule="auto"/>
              <w:ind w:firstLineChars="0" w:firstLine="0"/>
              <w:jc w:val="left"/>
              <w:rPr>
                <w:rFonts w:eastAsia="宋体" w:cs="宋体"/>
                <w:kern w:val="0"/>
                <w:sz w:val="18"/>
                <w:szCs w:val="18"/>
              </w:rPr>
            </w:pPr>
            <w:r>
              <w:rPr>
                <w:rFonts w:eastAsia="宋体" w:cs="宋体" w:hint="eastAsia"/>
                <w:kern w:val="0"/>
                <w:sz w:val="18"/>
                <w:szCs w:val="18"/>
              </w:rPr>
              <w:t>　</w:t>
            </w:r>
          </w:p>
        </w:tc>
        <w:tc>
          <w:tcPr>
            <w:tcW w:w="1192" w:type="dxa"/>
            <w:tcBorders>
              <w:top w:val="nil"/>
              <w:left w:val="nil"/>
              <w:bottom w:val="single" w:sz="4" w:space="0" w:color="auto"/>
              <w:right w:val="nil"/>
            </w:tcBorders>
            <w:shd w:val="clear" w:color="auto" w:fill="auto"/>
            <w:noWrap/>
            <w:vAlign w:val="center"/>
          </w:tcPr>
          <w:p>
            <w:pPr>
              <w:widowControl/>
              <w:overflowPunct/>
              <w:spacing w:line="240" w:lineRule="auto"/>
              <w:ind w:firstLineChars="0" w:firstLine="0"/>
              <w:jc w:val="left"/>
              <w:rPr>
                <w:rFonts w:eastAsia="宋体" w:cs="宋体"/>
                <w:kern w:val="0"/>
                <w:sz w:val="18"/>
                <w:szCs w:val="18"/>
              </w:rPr>
            </w:pPr>
            <w:r>
              <w:rPr>
                <w:rFonts w:eastAsia="宋体" w:cs="宋体" w:hint="eastAsia"/>
                <w:kern w:val="0"/>
                <w:sz w:val="18"/>
                <w:szCs w:val="18"/>
              </w:rPr>
              <w:t>　</w:t>
            </w:r>
          </w:p>
        </w:tc>
        <w:tc>
          <w:tcPr>
            <w:tcW w:w="1262" w:type="dxa"/>
            <w:tcBorders>
              <w:top w:val="nil"/>
              <w:left w:val="nil"/>
              <w:bottom w:val="single" w:sz="4" w:space="0" w:color="auto"/>
              <w:right w:val="nil"/>
            </w:tcBorders>
            <w:shd w:val="clear" w:color="auto" w:fill="auto"/>
            <w:noWrap/>
            <w:vAlign w:val="center"/>
          </w:tcPr>
          <w:p>
            <w:pPr>
              <w:widowControl/>
              <w:overflowPunct/>
              <w:spacing w:line="240" w:lineRule="auto"/>
              <w:ind w:firstLineChars="0" w:firstLine="0"/>
              <w:jc w:val="left"/>
              <w:rPr>
                <w:rFonts w:eastAsia="宋体" w:cs="宋体"/>
                <w:kern w:val="0"/>
                <w:sz w:val="18"/>
                <w:szCs w:val="18"/>
              </w:rPr>
            </w:pPr>
            <w:r>
              <w:rPr>
                <w:rFonts w:eastAsia="宋体" w:cs="宋体" w:hint="eastAsia"/>
                <w:kern w:val="0"/>
                <w:sz w:val="18"/>
                <w:szCs w:val="18"/>
              </w:rPr>
              <w:t>　</w:t>
            </w:r>
          </w:p>
        </w:tc>
        <w:tc>
          <w:tcPr>
            <w:tcW w:w="1166" w:type="dxa"/>
            <w:gridSpan w:val="2"/>
            <w:tcBorders>
              <w:top w:val="nil"/>
              <w:left w:val="nil"/>
              <w:bottom w:val="single" w:sz="4" w:space="0" w:color="auto"/>
              <w:right w:val="nil"/>
            </w:tcBorders>
            <w:shd w:val="clear" w:color="auto" w:fill="auto"/>
            <w:noWrap/>
            <w:vAlign w:val="center"/>
          </w:tcPr>
          <w:p>
            <w:pPr>
              <w:widowControl/>
              <w:overflowPunct/>
              <w:spacing w:line="240" w:lineRule="auto"/>
              <w:ind w:firstLineChars="0" w:firstLine="0"/>
              <w:jc w:val="right"/>
              <w:rPr>
                <w:rFonts w:eastAsia="宋体" w:cs="宋体"/>
                <w:kern w:val="0"/>
                <w:sz w:val="18"/>
                <w:szCs w:val="18"/>
              </w:rPr>
            </w:pPr>
            <w:r>
              <w:rPr>
                <w:rFonts w:eastAsia="宋体" w:cs="宋体" w:hint="eastAsia"/>
                <w:kern w:val="0"/>
                <w:sz w:val="18"/>
                <w:szCs w:val="18"/>
              </w:rPr>
              <w:t>单位：万元</w:t>
            </w:r>
          </w:p>
        </w:tc>
      </w:tr>
      <w:tr>
        <w:trPr>
          <w:cantSplit/>
          <w:trHeight w:val="642"/>
        </w:trPr>
        <w:tc>
          <w:tcPr>
            <w:tcW w:w="7353" w:type="dxa"/>
            <w:gridSpan w:val="7"/>
            <w:tcBorders>
              <w:top w:val="single" w:sz="4" w:space="0" w:color="auto"/>
              <w:left w:val="single" w:sz="4" w:space="0" w:color="auto"/>
              <w:bottom w:val="single" w:sz="4" w:space="0" w:color="auto"/>
              <w:right w:val="single" w:sz="4" w:space="0" w:color="000000"/>
            </w:tcBorders>
            <w:shd w:val="clear" w:color="auto" w:fill="auto"/>
            <w:vAlign w:val="center"/>
          </w:tcPr>
          <w:p>
            <w:pPr>
              <w:widowControl/>
              <w:overflowPunct/>
              <w:spacing w:line="240" w:lineRule="auto"/>
              <w:ind w:firstLineChars="0" w:firstLine="0"/>
              <w:jc w:val="center"/>
              <w:rPr>
                <w:rFonts w:eastAsia="宋体" w:cs="宋体"/>
                <w:kern w:val="0"/>
                <w:sz w:val="20"/>
                <w:szCs w:val="20"/>
              </w:rPr>
            </w:pPr>
            <w:r>
              <w:rPr>
                <w:rFonts w:eastAsia="宋体" w:cs="宋体" w:hint="eastAsia"/>
                <w:kern w:val="0"/>
                <w:sz w:val="20"/>
                <w:szCs w:val="20"/>
              </w:rPr>
              <w:t>2024年预算数</w:t>
            </w:r>
          </w:p>
        </w:tc>
        <w:tc>
          <w:tcPr>
            <w:tcW w:w="6821" w:type="dxa"/>
            <w:gridSpan w:val="8"/>
            <w:tcBorders>
              <w:top w:val="single" w:sz="4" w:space="0" w:color="auto"/>
              <w:left w:val="nil"/>
              <w:bottom w:val="single" w:sz="4" w:space="0" w:color="auto"/>
              <w:right w:val="single" w:sz="4" w:space="0" w:color="000000"/>
            </w:tcBorders>
            <w:shd w:val="clear" w:color="auto" w:fill="auto"/>
            <w:vAlign w:val="center"/>
          </w:tcPr>
          <w:p>
            <w:pPr>
              <w:widowControl/>
              <w:overflowPunct/>
              <w:spacing w:line="240" w:lineRule="auto"/>
              <w:ind w:firstLineChars="0" w:firstLine="0"/>
              <w:jc w:val="center"/>
              <w:rPr>
                <w:rFonts w:eastAsia="宋体" w:cs="宋体"/>
                <w:kern w:val="0"/>
                <w:sz w:val="20"/>
                <w:szCs w:val="20"/>
              </w:rPr>
            </w:pPr>
            <w:r>
              <w:rPr>
                <w:rFonts w:eastAsia="宋体" w:cs="宋体" w:hint="eastAsia"/>
                <w:kern w:val="0"/>
                <w:sz w:val="20"/>
                <w:szCs w:val="20"/>
              </w:rPr>
              <w:t>2025年预算数</w:t>
            </w:r>
          </w:p>
        </w:tc>
      </w:tr>
      <w:tr>
        <w:trPr>
          <w:cantSplit/>
          <w:trHeight w:val="957"/>
        </w:trPr>
        <w:tc>
          <w:tcPr>
            <w:tcW w:w="1458" w:type="dxa"/>
            <w:vMerge w:val="restart"/>
            <w:tcBorders>
              <w:top w:val="nil"/>
              <w:left w:val="single" w:sz="4" w:space="0" w:color="auto"/>
              <w:bottom w:val="single" w:sz="4" w:space="0" w:color="000000"/>
              <w:right w:val="single" w:sz="4" w:space="0" w:color="auto"/>
            </w:tcBorders>
            <w:shd w:val="clear" w:color="auto" w:fill="auto"/>
            <w:vAlign w:val="center"/>
          </w:tcPr>
          <w:p>
            <w:pPr>
              <w:widowControl/>
              <w:overflowPunct/>
              <w:spacing w:line="240" w:lineRule="auto"/>
              <w:ind w:firstLineChars="0" w:firstLine="0"/>
              <w:jc w:val="center"/>
              <w:rPr>
                <w:rFonts w:eastAsia="宋体" w:cs="宋体"/>
                <w:kern w:val="0"/>
                <w:sz w:val="20"/>
                <w:szCs w:val="20"/>
              </w:rPr>
            </w:pPr>
            <w:r>
              <w:rPr>
                <w:rFonts w:eastAsia="宋体" w:cs="宋体" w:hint="eastAsia"/>
                <w:kern w:val="0"/>
                <w:sz w:val="20"/>
                <w:szCs w:val="20"/>
              </w:rPr>
              <w:t>合计</w:t>
            </w:r>
          </w:p>
        </w:tc>
        <w:tc>
          <w:tcPr>
            <w:tcW w:w="773" w:type="dxa"/>
            <w:gridSpan w:val="2"/>
            <w:vMerge w:val="restart"/>
            <w:tcBorders>
              <w:top w:val="nil"/>
              <w:left w:val="single" w:sz="4" w:space="0" w:color="auto"/>
              <w:bottom w:val="single" w:sz="4" w:space="0" w:color="000000"/>
              <w:right w:val="single" w:sz="4" w:space="0" w:color="auto"/>
            </w:tcBorders>
            <w:shd w:val="clear" w:color="auto" w:fill="auto"/>
            <w:vAlign w:val="center"/>
          </w:tcPr>
          <w:p>
            <w:pPr>
              <w:widowControl/>
              <w:overflowPunct/>
              <w:spacing w:line="240" w:lineRule="auto"/>
              <w:ind w:firstLineChars="0" w:firstLine="0"/>
              <w:jc w:val="center"/>
              <w:rPr>
                <w:rFonts w:eastAsia="宋体" w:cs="宋体"/>
                <w:kern w:val="0"/>
                <w:sz w:val="20"/>
                <w:szCs w:val="20"/>
              </w:rPr>
            </w:pPr>
            <w:r>
              <w:rPr>
                <w:rFonts w:eastAsia="宋体" w:cs="宋体" w:hint="eastAsia"/>
                <w:kern w:val="0"/>
                <w:sz w:val="20"/>
                <w:szCs w:val="20"/>
              </w:rPr>
              <w:t>因公出国（境）费</w:t>
            </w:r>
          </w:p>
        </w:tc>
        <w:tc>
          <w:tcPr>
            <w:tcW w:w="4108" w:type="dxa"/>
            <w:gridSpan w:val="3"/>
            <w:tcBorders>
              <w:top w:val="single" w:sz="4" w:space="0" w:color="auto"/>
              <w:left w:val="nil"/>
              <w:bottom w:val="single" w:sz="4" w:space="0" w:color="auto"/>
              <w:right w:val="single" w:sz="4" w:space="0" w:color="000000"/>
            </w:tcBorders>
            <w:shd w:val="clear" w:color="auto" w:fill="auto"/>
            <w:vAlign w:val="center"/>
          </w:tcPr>
          <w:p>
            <w:pPr>
              <w:widowControl/>
              <w:overflowPunct/>
              <w:spacing w:line="240" w:lineRule="auto"/>
              <w:ind w:firstLineChars="0" w:firstLine="0"/>
              <w:jc w:val="center"/>
              <w:rPr>
                <w:rFonts w:eastAsia="宋体" w:cs="宋体"/>
                <w:kern w:val="0"/>
                <w:sz w:val="20"/>
                <w:szCs w:val="20"/>
              </w:rPr>
            </w:pPr>
            <w:r>
              <w:rPr>
                <w:rFonts w:eastAsia="宋体" w:cs="宋体" w:hint="eastAsia"/>
                <w:kern w:val="0"/>
                <w:sz w:val="20"/>
                <w:szCs w:val="20"/>
              </w:rPr>
              <w:t>公务用车购置及运行费</w:t>
            </w:r>
          </w:p>
        </w:tc>
        <w:tc>
          <w:tcPr>
            <w:tcW w:w="1014" w:type="dxa"/>
            <w:vMerge w:val="restart"/>
            <w:tcBorders>
              <w:top w:val="nil"/>
              <w:left w:val="single" w:sz="4" w:space="0" w:color="auto"/>
              <w:bottom w:val="single" w:sz="4" w:space="0" w:color="000000"/>
              <w:right w:val="single" w:sz="4" w:space="0" w:color="auto"/>
            </w:tcBorders>
            <w:shd w:val="clear" w:color="auto" w:fill="auto"/>
            <w:vAlign w:val="center"/>
          </w:tcPr>
          <w:p>
            <w:pPr>
              <w:widowControl/>
              <w:overflowPunct/>
              <w:spacing w:line="240" w:lineRule="auto"/>
              <w:ind w:firstLineChars="0" w:firstLine="0"/>
              <w:jc w:val="center"/>
              <w:rPr>
                <w:rFonts w:eastAsia="宋体" w:cs="宋体"/>
                <w:kern w:val="0"/>
                <w:sz w:val="20"/>
                <w:szCs w:val="20"/>
              </w:rPr>
            </w:pPr>
            <w:r>
              <w:rPr>
                <w:rFonts w:eastAsia="宋体" w:cs="宋体" w:hint="eastAsia"/>
                <w:kern w:val="0"/>
                <w:sz w:val="20"/>
                <w:szCs w:val="20"/>
              </w:rPr>
              <w:t>公务接待费</w:t>
            </w:r>
          </w:p>
        </w:tc>
        <w:tc>
          <w:tcPr>
            <w:tcW w:w="1039" w:type="dxa"/>
            <w:gridSpan w:val="2"/>
            <w:vMerge w:val="restart"/>
            <w:tcBorders>
              <w:top w:val="nil"/>
              <w:left w:val="single" w:sz="4" w:space="0" w:color="auto"/>
              <w:bottom w:val="single" w:sz="4" w:space="0" w:color="000000"/>
              <w:right w:val="single" w:sz="4" w:space="0" w:color="auto"/>
            </w:tcBorders>
            <w:shd w:val="clear" w:color="auto" w:fill="auto"/>
            <w:vAlign w:val="center"/>
          </w:tcPr>
          <w:p>
            <w:pPr>
              <w:widowControl/>
              <w:overflowPunct/>
              <w:spacing w:line="240" w:lineRule="auto"/>
              <w:ind w:firstLineChars="0" w:firstLine="0"/>
              <w:jc w:val="center"/>
              <w:rPr>
                <w:rFonts w:eastAsia="宋体" w:cs="宋体"/>
                <w:kern w:val="0"/>
                <w:sz w:val="20"/>
                <w:szCs w:val="20"/>
              </w:rPr>
            </w:pPr>
            <w:r>
              <w:rPr>
                <w:rFonts w:eastAsia="宋体" w:cs="宋体" w:hint="eastAsia"/>
                <w:kern w:val="0"/>
                <w:sz w:val="20"/>
                <w:szCs w:val="20"/>
              </w:rPr>
              <w:t>合计</w:t>
            </w:r>
          </w:p>
        </w:tc>
        <w:tc>
          <w:tcPr>
            <w:tcW w:w="748" w:type="dxa"/>
            <w:vMerge w:val="restart"/>
            <w:tcBorders>
              <w:top w:val="nil"/>
              <w:left w:val="single" w:sz="4" w:space="0" w:color="auto"/>
              <w:bottom w:val="single" w:sz="4" w:space="0" w:color="000000"/>
              <w:right w:val="single" w:sz="4" w:space="0" w:color="auto"/>
            </w:tcBorders>
            <w:shd w:val="clear" w:color="auto" w:fill="auto"/>
            <w:vAlign w:val="center"/>
          </w:tcPr>
          <w:p>
            <w:pPr>
              <w:widowControl/>
              <w:overflowPunct/>
              <w:spacing w:line="240" w:lineRule="auto"/>
              <w:ind w:firstLineChars="0" w:firstLine="0"/>
              <w:jc w:val="center"/>
              <w:rPr>
                <w:rFonts w:eastAsia="宋体" w:cs="宋体"/>
                <w:kern w:val="0"/>
                <w:sz w:val="20"/>
                <w:szCs w:val="20"/>
              </w:rPr>
            </w:pPr>
            <w:r>
              <w:rPr>
                <w:rFonts w:eastAsia="宋体" w:cs="宋体" w:hint="eastAsia"/>
                <w:kern w:val="0"/>
                <w:sz w:val="20"/>
                <w:szCs w:val="20"/>
              </w:rPr>
              <w:t>因公出国（境）费</w:t>
            </w:r>
          </w:p>
        </w:tc>
        <w:tc>
          <w:tcPr>
            <w:tcW w:w="4020" w:type="dxa"/>
            <w:gridSpan w:val="4"/>
            <w:tcBorders>
              <w:top w:val="single" w:sz="4" w:space="0" w:color="auto"/>
              <w:left w:val="nil"/>
              <w:bottom w:val="single" w:sz="4" w:space="0" w:color="auto"/>
              <w:right w:val="single" w:sz="4" w:space="0" w:color="000000"/>
            </w:tcBorders>
            <w:shd w:val="clear" w:color="auto" w:fill="auto"/>
            <w:vAlign w:val="center"/>
          </w:tcPr>
          <w:p>
            <w:pPr>
              <w:widowControl/>
              <w:overflowPunct/>
              <w:spacing w:line="240" w:lineRule="auto"/>
              <w:ind w:firstLineChars="0" w:firstLine="0"/>
              <w:jc w:val="center"/>
              <w:rPr>
                <w:rFonts w:eastAsia="宋体" w:cs="宋体"/>
                <w:kern w:val="0"/>
                <w:sz w:val="20"/>
                <w:szCs w:val="20"/>
              </w:rPr>
            </w:pPr>
            <w:r>
              <w:rPr>
                <w:rFonts w:eastAsia="宋体" w:cs="宋体" w:hint="eastAsia"/>
                <w:kern w:val="0"/>
                <w:sz w:val="20"/>
                <w:szCs w:val="20"/>
              </w:rPr>
              <w:t>公务用车购置及运行费</w:t>
            </w:r>
          </w:p>
        </w:tc>
        <w:tc>
          <w:tcPr>
            <w:tcW w:w="1014" w:type="dxa"/>
            <w:vMerge w:val="restart"/>
            <w:tcBorders>
              <w:top w:val="nil"/>
              <w:left w:val="single" w:sz="4" w:space="0" w:color="auto"/>
              <w:bottom w:val="single" w:sz="4" w:space="0" w:color="000000"/>
              <w:right w:val="single" w:sz="4" w:space="0" w:color="auto"/>
            </w:tcBorders>
            <w:shd w:val="clear" w:color="auto" w:fill="auto"/>
            <w:vAlign w:val="center"/>
          </w:tcPr>
          <w:p>
            <w:pPr>
              <w:widowControl/>
              <w:overflowPunct/>
              <w:spacing w:line="240" w:lineRule="auto"/>
              <w:ind w:firstLineChars="0" w:firstLine="0"/>
              <w:jc w:val="center"/>
              <w:rPr>
                <w:rFonts w:eastAsia="宋体" w:cs="宋体"/>
                <w:kern w:val="0"/>
                <w:sz w:val="20"/>
                <w:szCs w:val="20"/>
              </w:rPr>
            </w:pPr>
            <w:r>
              <w:rPr>
                <w:rFonts w:eastAsia="宋体" w:cs="宋体" w:hint="eastAsia"/>
                <w:kern w:val="0"/>
                <w:sz w:val="20"/>
                <w:szCs w:val="20"/>
              </w:rPr>
              <w:t>公务接待费</w:t>
            </w:r>
          </w:p>
        </w:tc>
      </w:tr>
      <w:tr>
        <w:trPr>
          <w:cantSplit/>
          <w:trHeight w:val="809"/>
        </w:trPr>
        <w:tc>
          <w:tcPr>
            <w:tcW w:w="1458" w:type="dxa"/>
            <w:vMerge/>
            <w:tcBorders>
              <w:top w:val="nil"/>
              <w:left w:val="single" w:sz="4" w:space="0" w:color="auto"/>
              <w:bottom w:val="single" w:sz="4" w:space="0" w:color="000000"/>
              <w:right w:val="single" w:sz="4" w:space="0" w:color="auto"/>
            </w:tcBorders>
            <w:vAlign w:val="center"/>
          </w:tcPr>
          <w:p/>
        </w:tc>
        <w:tc>
          <w:tcPr>
            <w:tcW w:w="773" w:type="dxa"/>
            <w:gridSpan w:val="2"/>
            <w:vMerge/>
            <w:tcBorders>
              <w:top w:val="nil"/>
              <w:left w:val="single" w:sz="4" w:space="0" w:color="auto"/>
              <w:bottom w:val="single" w:sz="4" w:space="0" w:color="000000"/>
              <w:right w:val="single" w:sz="4" w:space="0" w:color="auto"/>
            </w:tcBorders>
            <w:vAlign w:val="center"/>
          </w:tcPr>
          <w:p/>
        </w:tc>
        <w:tc>
          <w:tcPr>
            <w:tcW w:w="1458" w:type="dxa"/>
            <w:tcBorders>
              <w:top w:val="nil"/>
              <w:left w:val="nil"/>
              <w:bottom w:val="single" w:sz="4" w:space="0" w:color="auto"/>
              <w:right w:val="single" w:sz="4" w:space="0" w:color="auto"/>
            </w:tcBorders>
            <w:shd w:val="clear" w:color="auto" w:fill="auto"/>
            <w:vAlign w:val="center"/>
          </w:tcPr>
          <w:p>
            <w:pPr>
              <w:widowControl/>
              <w:overflowPunct/>
              <w:spacing w:line="240" w:lineRule="auto"/>
              <w:ind w:firstLineChars="0" w:firstLine="0"/>
              <w:jc w:val="center"/>
              <w:rPr>
                <w:rFonts w:eastAsia="宋体" w:cs="宋体"/>
                <w:kern w:val="0"/>
                <w:sz w:val="20"/>
                <w:szCs w:val="20"/>
              </w:rPr>
            </w:pPr>
            <w:r>
              <w:rPr>
                <w:rFonts w:eastAsia="宋体" w:cs="宋体" w:hint="eastAsia"/>
                <w:kern w:val="0"/>
                <w:sz w:val="20"/>
                <w:szCs w:val="20"/>
              </w:rPr>
              <w:t>小计</w:t>
            </w:r>
          </w:p>
        </w:tc>
        <w:tc>
          <w:tcPr>
            <w:tcW w:w="1192" w:type="dxa"/>
            <w:tcBorders>
              <w:top w:val="nil"/>
              <w:left w:val="nil"/>
              <w:bottom w:val="single" w:sz="4" w:space="0" w:color="auto"/>
              <w:right w:val="single" w:sz="4" w:space="0" w:color="auto"/>
            </w:tcBorders>
            <w:shd w:val="clear" w:color="auto" w:fill="auto"/>
            <w:vAlign w:val="center"/>
          </w:tcPr>
          <w:p>
            <w:pPr>
              <w:widowControl/>
              <w:overflowPunct/>
              <w:spacing w:line="240" w:lineRule="auto"/>
              <w:ind w:firstLineChars="0" w:firstLine="0"/>
              <w:jc w:val="center"/>
              <w:rPr>
                <w:rFonts w:eastAsia="宋体" w:cs="宋体"/>
                <w:kern w:val="0"/>
                <w:sz w:val="20"/>
                <w:szCs w:val="20"/>
              </w:rPr>
            </w:pPr>
            <w:r>
              <w:rPr>
                <w:rFonts w:eastAsia="宋体" w:cs="宋体" w:hint="eastAsia"/>
                <w:kern w:val="0"/>
                <w:sz w:val="20"/>
                <w:szCs w:val="20"/>
              </w:rPr>
              <w:t>公务用车购置费</w:t>
            </w:r>
          </w:p>
        </w:tc>
        <w:tc>
          <w:tcPr>
            <w:tcW w:w="1458" w:type="dxa"/>
            <w:tcBorders>
              <w:top w:val="nil"/>
              <w:left w:val="nil"/>
              <w:bottom w:val="single" w:sz="4" w:space="0" w:color="auto"/>
              <w:right w:val="single" w:sz="4" w:space="0" w:color="auto"/>
            </w:tcBorders>
            <w:shd w:val="clear" w:color="auto" w:fill="auto"/>
            <w:vAlign w:val="center"/>
          </w:tcPr>
          <w:p>
            <w:pPr>
              <w:widowControl/>
              <w:overflowPunct/>
              <w:spacing w:line="240" w:lineRule="auto"/>
              <w:ind w:firstLineChars="0" w:firstLine="0"/>
              <w:jc w:val="center"/>
              <w:rPr>
                <w:rFonts w:eastAsia="宋体" w:cs="宋体"/>
                <w:kern w:val="0"/>
                <w:sz w:val="20"/>
                <w:szCs w:val="20"/>
              </w:rPr>
            </w:pPr>
            <w:r>
              <w:rPr>
                <w:rFonts w:eastAsia="宋体" w:cs="宋体" w:hint="eastAsia"/>
                <w:kern w:val="0"/>
                <w:sz w:val="20"/>
                <w:szCs w:val="20"/>
              </w:rPr>
              <w:t>公务用车运行费</w:t>
            </w:r>
          </w:p>
        </w:tc>
        <w:tc>
          <w:tcPr>
            <w:tcW w:w="1014" w:type="dxa"/>
            <w:vMerge/>
            <w:tcBorders>
              <w:top w:val="nil"/>
              <w:left w:val="single" w:sz="4" w:space="0" w:color="auto"/>
              <w:bottom w:val="single" w:sz="4" w:space="0" w:color="000000"/>
              <w:right w:val="single" w:sz="4" w:space="0" w:color="auto"/>
            </w:tcBorders>
            <w:vAlign w:val="center"/>
          </w:tcPr>
          <w:p/>
        </w:tc>
        <w:tc>
          <w:tcPr>
            <w:tcW w:w="1039" w:type="dxa"/>
            <w:gridSpan w:val="2"/>
            <w:vMerge/>
            <w:tcBorders>
              <w:top w:val="nil"/>
              <w:left w:val="single" w:sz="4" w:space="0" w:color="auto"/>
              <w:bottom w:val="single" w:sz="4" w:space="0" w:color="000000"/>
              <w:right w:val="single" w:sz="4" w:space="0" w:color="auto"/>
            </w:tcBorders>
            <w:vAlign w:val="center"/>
          </w:tcPr>
          <w:p/>
        </w:tc>
        <w:tc>
          <w:tcPr>
            <w:tcW w:w="748" w:type="dxa"/>
            <w:vMerge/>
            <w:tcBorders>
              <w:top w:val="nil"/>
              <w:left w:val="single" w:sz="4" w:space="0" w:color="auto"/>
              <w:bottom w:val="single" w:sz="4" w:space="0" w:color="000000"/>
              <w:right w:val="single" w:sz="4" w:space="0" w:color="auto"/>
            </w:tcBorders>
            <w:vAlign w:val="center"/>
          </w:tcPr>
          <w:p/>
        </w:tc>
        <w:tc>
          <w:tcPr>
            <w:tcW w:w="1414" w:type="dxa"/>
            <w:tcBorders>
              <w:top w:val="nil"/>
              <w:left w:val="nil"/>
              <w:bottom w:val="single" w:sz="4" w:space="0" w:color="auto"/>
              <w:right w:val="single" w:sz="4" w:space="0" w:color="auto"/>
            </w:tcBorders>
            <w:shd w:val="clear" w:color="auto" w:fill="auto"/>
            <w:vAlign w:val="center"/>
          </w:tcPr>
          <w:p>
            <w:pPr>
              <w:widowControl/>
              <w:overflowPunct/>
              <w:spacing w:line="240" w:lineRule="auto"/>
              <w:ind w:firstLineChars="0" w:firstLine="0"/>
              <w:jc w:val="center"/>
              <w:rPr>
                <w:rFonts w:eastAsia="宋体" w:cs="宋体"/>
                <w:kern w:val="0"/>
                <w:sz w:val="20"/>
                <w:szCs w:val="20"/>
              </w:rPr>
            </w:pPr>
            <w:r>
              <w:rPr>
                <w:rFonts w:eastAsia="宋体" w:cs="宋体" w:hint="eastAsia"/>
                <w:kern w:val="0"/>
                <w:sz w:val="20"/>
                <w:szCs w:val="20"/>
              </w:rPr>
              <w:t>小计</w:t>
            </w:r>
          </w:p>
        </w:tc>
        <w:tc>
          <w:tcPr>
            <w:tcW w:w="1192" w:type="dxa"/>
            <w:tcBorders>
              <w:top w:val="nil"/>
              <w:left w:val="nil"/>
              <w:bottom w:val="single" w:sz="4" w:space="0" w:color="auto"/>
              <w:right w:val="single" w:sz="4" w:space="0" w:color="auto"/>
            </w:tcBorders>
            <w:shd w:val="clear" w:color="auto" w:fill="auto"/>
            <w:vAlign w:val="center"/>
          </w:tcPr>
          <w:p>
            <w:pPr>
              <w:widowControl/>
              <w:overflowPunct/>
              <w:spacing w:line="240" w:lineRule="auto"/>
              <w:ind w:firstLineChars="0" w:firstLine="0"/>
              <w:jc w:val="center"/>
              <w:rPr>
                <w:rFonts w:eastAsia="宋体" w:cs="宋体"/>
                <w:kern w:val="0"/>
                <w:sz w:val="20"/>
                <w:szCs w:val="20"/>
              </w:rPr>
            </w:pPr>
            <w:r>
              <w:rPr>
                <w:rFonts w:eastAsia="宋体" w:cs="宋体" w:hint="eastAsia"/>
                <w:kern w:val="0"/>
                <w:sz w:val="20"/>
                <w:szCs w:val="20"/>
              </w:rPr>
              <w:t>公务用车购置费</w:t>
            </w:r>
          </w:p>
        </w:tc>
        <w:tc>
          <w:tcPr>
            <w:tcW w:w="1414" w:type="dxa"/>
            <w:gridSpan w:val="2"/>
            <w:tcBorders>
              <w:top w:val="nil"/>
              <w:left w:val="nil"/>
              <w:bottom w:val="single" w:sz="4" w:space="0" w:color="auto"/>
              <w:right w:val="single" w:sz="4" w:space="0" w:color="auto"/>
            </w:tcBorders>
            <w:shd w:val="clear" w:color="auto" w:fill="auto"/>
            <w:vAlign w:val="center"/>
          </w:tcPr>
          <w:p>
            <w:pPr>
              <w:widowControl/>
              <w:overflowPunct/>
              <w:spacing w:line="240" w:lineRule="auto"/>
              <w:ind w:firstLineChars="0" w:firstLine="0"/>
              <w:jc w:val="center"/>
              <w:rPr>
                <w:rFonts w:eastAsia="宋体" w:cs="宋体"/>
                <w:kern w:val="0"/>
                <w:sz w:val="20"/>
                <w:szCs w:val="20"/>
              </w:rPr>
            </w:pPr>
            <w:r>
              <w:rPr>
                <w:rFonts w:eastAsia="宋体" w:cs="宋体" w:hint="eastAsia"/>
                <w:kern w:val="0"/>
                <w:sz w:val="20"/>
                <w:szCs w:val="20"/>
              </w:rPr>
              <w:t>公务用车运行费</w:t>
            </w:r>
          </w:p>
        </w:tc>
        <w:tc>
          <w:tcPr>
            <w:tcW w:w="1014" w:type="dxa"/>
            <w:vMerge/>
            <w:tcBorders>
              <w:top w:val="nil"/>
              <w:left w:val="single" w:sz="4" w:space="0" w:color="auto"/>
              <w:bottom w:val="single" w:sz="4" w:space="0" w:color="000000"/>
              <w:right w:val="single" w:sz="4" w:space="0" w:color="auto"/>
            </w:tcBorders>
            <w:vAlign w:val="center"/>
          </w:tcPr>
          <w:p/>
        </w:tc>
      </w:tr>
      <w:tr>
        <w:trPr>
          <w:cantSplit/>
          <w:trHeight w:val="1470"/>
        </w:trPr>
        <w:tc>
          <w:tcPr>
            <w:tcW w:w="1458" w:type="dxa"/>
            <w:tcBorders>
              <w:top w:val="nil"/>
              <w:left w:val="single" w:sz="4" w:space="0" w:color="auto"/>
              <w:bottom w:val="single" w:sz="4" w:space="0" w:color="auto"/>
              <w:right w:val="single" w:sz="4" w:space="0" w:color="auto"/>
            </w:tcBorders>
            <w:shd w:val="clear" w:color="auto" w:fill="auto"/>
            <w:noWrap/>
            <w:vAlign w:val="center"/>
          </w:tcPr>
          <w:p>
            <w:pPr>
              <w:widowControl/>
              <w:overflowPunct/>
              <w:spacing w:line="240" w:lineRule="auto"/>
              <w:ind w:firstLineChars="0" w:firstLine="0"/>
              <w:jc w:val="right"/>
              <w:rPr>
                <w:rFonts w:eastAsia="宋体" w:cs="Times New Roman"/>
                <w:kern w:val="0"/>
                <w:sz w:val="20"/>
                <w:szCs w:val="20"/>
              </w:rPr>
            </w:pPr>
            <w:r>
              <w:rPr>
                <w:rFonts w:eastAsia="宋体" w:cs="Times New Roman" w:hint="eastAsia"/>
                <w:kern w:val="0"/>
                <w:sz w:val="20"/>
                <w:szCs w:val="20"/>
              </w:rPr>
              <w:t>1,669.84</w:t>
            </w:r>
          </w:p>
        </w:tc>
        <w:tc>
          <w:tcPr>
            <w:tcW w:w="773" w:type="dxa"/>
            <w:gridSpan w:val="2"/>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right"/>
              <w:rPr>
                <w:rFonts w:eastAsia="宋体" w:cs="Times New Roman"/>
                <w:kern w:val="0"/>
                <w:sz w:val="20"/>
                <w:szCs w:val="20"/>
              </w:rPr>
            </w:pPr>
          </w:p>
        </w:tc>
        <w:tc>
          <w:tcPr>
            <w:tcW w:w="1458"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right"/>
              <w:rPr>
                <w:rFonts w:eastAsia="宋体" w:cs="Times New Roman"/>
                <w:kern w:val="0"/>
                <w:sz w:val="20"/>
                <w:szCs w:val="20"/>
              </w:rPr>
            </w:pPr>
            <w:r>
              <w:rPr>
                <w:rFonts w:eastAsia="宋体" w:cs="Times New Roman" w:hint="eastAsia"/>
                <w:kern w:val="0"/>
                <w:sz w:val="20"/>
                <w:szCs w:val="20"/>
              </w:rPr>
              <w:t>1,621.14</w:t>
            </w:r>
          </w:p>
        </w:tc>
        <w:tc>
          <w:tcPr>
            <w:tcW w:w="1192"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right"/>
              <w:rPr>
                <w:rFonts w:eastAsia="宋体" w:cs="Times New Roman"/>
                <w:kern w:val="0"/>
                <w:sz w:val="20"/>
                <w:szCs w:val="20"/>
              </w:rPr>
            </w:pPr>
            <w:r>
              <w:rPr>
                <w:rFonts w:eastAsia="宋体" w:cs="Times New Roman" w:hint="eastAsia"/>
                <w:kern w:val="0"/>
                <w:sz w:val="20"/>
                <w:szCs w:val="20"/>
              </w:rPr>
              <w:t>251.80</w:t>
            </w:r>
          </w:p>
        </w:tc>
        <w:tc>
          <w:tcPr>
            <w:tcW w:w="1458"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right"/>
              <w:rPr>
                <w:rFonts w:eastAsia="宋体" w:cs="Times New Roman"/>
                <w:kern w:val="0"/>
                <w:sz w:val="20"/>
                <w:szCs w:val="20"/>
              </w:rPr>
            </w:pPr>
            <w:r>
              <w:rPr>
                <w:rFonts w:eastAsia="宋体" w:cs="Times New Roman" w:hint="eastAsia"/>
                <w:kern w:val="0"/>
                <w:sz w:val="20"/>
                <w:szCs w:val="20"/>
              </w:rPr>
              <w:t>1,369.34</w:t>
            </w:r>
          </w:p>
        </w:tc>
        <w:tc>
          <w:tcPr>
            <w:tcW w:w="1014"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right"/>
              <w:rPr>
                <w:rFonts w:eastAsia="宋体" w:cs="Times New Roman"/>
                <w:kern w:val="0"/>
                <w:sz w:val="20"/>
                <w:szCs w:val="20"/>
              </w:rPr>
            </w:pPr>
            <w:r>
              <w:rPr>
                <w:rFonts w:eastAsia="宋体" w:cs="Times New Roman"/>
                <w:kern w:val="0"/>
                <w:sz w:val="20"/>
                <w:szCs w:val="20"/>
              </w:rPr>
              <w:t>48.70</w:t>
            </w:r>
          </w:p>
        </w:tc>
        <w:tc>
          <w:tcPr>
            <w:tcW w:w="1039" w:type="dxa"/>
            <w:gridSpan w:val="2"/>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right"/>
              <w:rPr>
                <w:rFonts w:eastAsia="宋体" w:cs="Times New Roman"/>
                <w:kern w:val="0"/>
                <w:sz w:val="20"/>
                <w:szCs w:val="20"/>
              </w:rPr>
            </w:pPr>
            <w:r>
              <w:rPr>
                <w:rFonts w:eastAsia="宋体" w:cs="Times New Roman" w:hint="eastAsia"/>
                <w:kern w:val="0"/>
                <w:sz w:val="20"/>
                <w:szCs w:val="20"/>
              </w:rPr>
              <w:t>1,669.85</w:t>
            </w:r>
          </w:p>
        </w:tc>
        <w:tc>
          <w:tcPr>
            <w:tcW w:w="748"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right"/>
              <w:rPr>
                <w:rFonts w:eastAsia="宋体" w:cs="Times New Roman"/>
                <w:kern w:val="0"/>
                <w:sz w:val="20"/>
                <w:szCs w:val="20"/>
              </w:rPr>
            </w:pPr>
            <w:r>
              <w:rPr>
                <w:rFonts w:eastAsia="宋体" w:cs="Times New Roman" w:hint="eastAsia"/>
                <w:kern w:val="0"/>
                <w:sz w:val="20"/>
                <w:szCs w:val="20"/>
              </w:rPr>
              <w:t>10.00</w:t>
            </w:r>
          </w:p>
        </w:tc>
        <w:tc>
          <w:tcPr>
            <w:tcW w:w="1414"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right"/>
              <w:rPr>
                <w:rFonts w:eastAsia="宋体" w:cs="Times New Roman"/>
                <w:kern w:val="0"/>
                <w:sz w:val="20"/>
                <w:szCs w:val="20"/>
              </w:rPr>
            </w:pPr>
            <w:r>
              <w:rPr>
                <w:rFonts w:eastAsia="宋体" w:cs="Times New Roman" w:hint="eastAsia"/>
                <w:kern w:val="0"/>
                <w:sz w:val="20"/>
                <w:szCs w:val="20"/>
              </w:rPr>
              <w:t>1613.58</w:t>
            </w:r>
          </w:p>
        </w:tc>
        <w:tc>
          <w:tcPr>
            <w:tcW w:w="1192"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right"/>
              <w:rPr>
                <w:rFonts w:eastAsia="宋体" w:cs="Times New Roman"/>
                <w:kern w:val="0"/>
                <w:sz w:val="20"/>
                <w:szCs w:val="20"/>
              </w:rPr>
            </w:pPr>
            <w:r>
              <w:rPr>
                <w:rFonts w:eastAsia="宋体" w:cs="Times New Roman" w:hint="eastAsia"/>
                <w:kern w:val="0"/>
                <w:sz w:val="20"/>
                <w:szCs w:val="20"/>
              </w:rPr>
              <w:t>444.10</w:t>
            </w:r>
          </w:p>
        </w:tc>
        <w:tc>
          <w:tcPr>
            <w:tcW w:w="1414" w:type="dxa"/>
            <w:gridSpan w:val="2"/>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right"/>
              <w:rPr>
                <w:rFonts w:eastAsia="宋体" w:cs="Times New Roman"/>
                <w:kern w:val="0"/>
                <w:sz w:val="20"/>
                <w:szCs w:val="20"/>
              </w:rPr>
            </w:pPr>
            <w:r>
              <w:rPr>
                <w:rFonts w:eastAsia="宋体" w:cs="Times New Roman" w:hint="eastAsia"/>
                <w:kern w:val="0"/>
                <w:sz w:val="20"/>
                <w:szCs w:val="20"/>
              </w:rPr>
              <w:t>1169.48</w:t>
            </w:r>
          </w:p>
        </w:tc>
        <w:tc>
          <w:tcPr>
            <w:tcW w:w="1014" w:type="dxa"/>
            <w:tcBorders>
              <w:top w:val="nil"/>
              <w:left w:val="nil"/>
              <w:bottom w:val="single" w:sz="4" w:space="0" w:color="auto"/>
              <w:right w:val="single" w:sz="4" w:space="0" w:color="auto"/>
            </w:tcBorders>
            <w:shd w:val="clear" w:color="auto" w:fill="auto"/>
            <w:noWrap/>
            <w:vAlign w:val="center"/>
          </w:tcPr>
          <w:p>
            <w:pPr>
              <w:widowControl/>
              <w:overflowPunct/>
              <w:spacing w:line="240" w:lineRule="auto"/>
              <w:ind w:firstLineChars="0" w:firstLine="0"/>
              <w:jc w:val="right"/>
              <w:rPr>
                <w:rFonts w:eastAsia="宋体" w:cs="Times New Roman"/>
                <w:kern w:val="0"/>
                <w:sz w:val="20"/>
                <w:szCs w:val="20"/>
              </w:rPr>
            </w:pPr>
            <w:r>
              <w:rPr>
                <w:rFonts w:eastAsia="宋体" w:cs="Times New Roman" w:hint="eastAsia"/>
                <w:kern w:val="0"/>
                <w:sz w:val="20"/>
                <w:szCs w:val="20"/>
              </w:rPr>
              <w:t>46.27</w:t>
            </w:r>
          </w:p>
        </w:tc>
      </w:tr>
    </w:tbl>
    <w:p>
      <w:pPr>
        <w:sectPr>
          <w:pgSz w:w="16838" w:h="11906" w:orient="landscape"/>
          <w:pgMar w:top="1797" w:right="1440" w:bottom="1797" w:left="1440" w:header="851" w:footer="992" w:gutter="0"/>
          <w:docGrid w:type="linesAndChars" w:linePitch="312" w:charSpace="0"/>
        </w:sectPr>
      </w:pPr>
    </w:p>
    <w:p>
      <w:pPr>
        <w:spacing w:line="240" w:lineRule="auto"/>
        <w:ind w:firstLineChars="0" w:firstLine="0"/>
        <w:jc w:val="center"/>
        <w:rPr>
          <w:rFonts w:ascii="方正小标宋_GBK" w:eastAsia="方正小标宋_GBK"/>
          <w:sz w:val="72"/>
          <w:szCs w:val="72"/>
        </w:rPr>
      </w:pPr>
      <w:bookmarkStart w:id="1" w:name="_Hlk133953791"/>
    </w:p>
    <w:p>
      <w:pPr>
        <w:spacing w:line="240" w:lineRule="auto"/>
        <w:ind w:firstLineChars="0" w:firstLine="0"/>
        <w:jc w:val="center"/>
        <w:rPr>
          <w:rFonts w:ascii="方正小标宋_GBK" w:eastAsia="方正小标宋_GBK"/>
          <w:sz w:val="72"/>
          <w:szCs w:val="72"/>
        </w:rPr>
      </w:pPr>
    </w:p>
    <w:p>
      <w:pPr>
        <w:spacing w:line="240" w:lineRule="auto"/>
        <w:ind w:firstLineChars="0" w:firstLine="0"/>
        <w:jc w:val="center"/>
        <w:rPr>
          <w:rFonts w:ascii="方正小标宋_GBK" w:eastAsia="方正小标宋_GBK"/>
          <w:sz w:val="72"/>
          <w:szCs w:val="72"/>
        </w:rPr>
      </w:pPr>
    </w:p>
    <w:p>
      <w:pPr>
        <w:spacing w:line="240" w:lineRule="auto"/>
        <w:ind w:firstLineChars="0" w:firstLine="0"/>
        <w:jc w:val="center"/>
        <w:rPr>
          <w:rFonts w:ascii="方正小标宋_GBK" w:eastAsia="方正小标宋_GBK"/>
          <w:sz w:val="72"/>
          <w:szCs w:val="72"/>
        </w:rPr>
      </w:pPr>
    </w:p>
    <w:p>
      <w:pPr>
        <w:spacing w:line="240" w:lineRule="auto"/>
        <w:ind w:firstLineChars="0" w:firstLine="0"/>
        <w:jc w:val="center"/>
        <w:outlineLvl w:val="0"/>
        <w:rPr>
          <w:rFonts w:ascii="方正小标宋_GBK" w:eastAsia="方正小标宋_GBK"/>
          <w:sz w:val="84"/>
          <w:szCs w:val="84"/>
        </w:rPr>
      </w:pPr>
      <w:bookmarkEnd w:id="1"/>
      <w:r>
        <w:rPr>
          <w:rFonts w:ascii="方正小标宋_GBK" w:eastAsia="方正小标宋_GBK" w:hint="eastAsia"/>
          <w:sz w:val="84"/>
          <w:szCs w:val="84"/>
        </w:rPr>
        <w:t>第三部分</w:t>
      </w:r>
      <w:r>
        <w:rPr>
          <w:rFonts w:ascii="方正小标宋_GBK" w:eastAsia="方正小标宋_GBK"/>
          <w:sz w:val="84"/>
          <w:szCs w:val="84"/>
        </w:rPr>
        <w:br/>
      </w:r>
      <w:r>
        <w:rPr>
          <w:rFonts w:ascii="方正小标宋_GBK" w:eastAsia="方正小标宋_GBK" w:hint="eastAsia"/>
          <w:sz w:val="84"/>
          <w:szCs w:val="84"/>
        </w:rPr>
        <w:t>大连海关2025年部门预算情况说明</w:t>
      </w:r>
    </w:p>
    <w:p>
      <w:pPr>
        <w:widowControl/>
        <w:overflowPunct/>
        <w:spacing w:line="240" w:lineRule="auto"/>
        <w:ind w:firstLineChars="0" w:firstLine="0"/>
        <w:jc w:val="left"/>
        <w:rPr>
          <w:rFonts w:ascii="方正小标宋_GBK" w:eastAsia="方正小标宋_GBK"/>
          <w:sz w:val="84"/>
          <w:szCs w:val="84"/>
        </w:rPr>
      </w:pPr>
      <w:r>
        <w:rPr>
          <w:rFonts w:ascii="方正小标宋_GBK" w:eastAsia="方正小标宋_GBK"/>
          <w:sz w:val="84"/>
          <w:szCs w:val="84"/>
        </w:rPr>
        <w:br w:type="page"/>
      </w:r>
    </w:p>
    <w:p>
      <w:pPr>
        <w:pStyle w:val="22"/>
        <w:outlineLvl w:val="1"/>
      </w:pPr>
      <w:r>
        <w:rPr>
          <w:rFonts w:hint="eastAsia"/>
        </w:rPr>
        <w:t>一、关于大连海关2025年收支预算情况的总体说明</w:t>
      </w:r>
    </w:p>
    <w:p>
      <w:r>
        <w:rPr>
          <w:rFonts w:hint="eastAsia"/>
        </w:rPr>
        <w:t>按照综合预算的原则，大连海关所有收入和支出均纳入部门预算管理。收入包括：一般公共预算拨款收入、事业收入、其他收入、使用非财政拨款结余、上年结转资金；支出包括：一般公共服务支出、公共安全支出、社会保障和就业支出、卫生健康支出、住房保障支出、其他支出。大连海关2025年收支总预算</w:t>
      </w:r>
      <w:r>
        <w:t>153,800.92</w:t>
      </w:r>
      <w:r>
        <w:rPr>
          <w:rFonts w:hint="eastAsia"/>
        </w:rPr>
        <w:t>万元。</w:t>
      </w:r>
    </w:p>
    <w:p>
      <w:pPr>
        <w:pStyle w:val="22"/>
        <w:outlineLvl w:val="1"/>
      </w:pPr>
      <w:r>
        <w:rPr>
          <w:rFonts w:hint="eastAsia"/>
        </w:rPr>
        <w:t>二、关于大连海关2</w:t>
      </w:r>
      <w:r>
        <w:t>02</w:t>
      </w:r>
      <w:r>
        <w:rPr>
          <w:rFonts w:hint="eastAsia"/>
        </w:rPr>
        <w:t>5年收入预算情况说明</w:t>
      </w:r>
    </w:p>
    <w:p>
      <w:r>
        <w:rPr>
          <w:rFonts w:hint="eastAsia"/>
        </w:rPr>
        <w:t>大连海关</w:t>
      </w:r>
      <w:r>
        <w:t>202</w:t>
      </w:r>
      <w:r>
        <w:rPr>
          <w:rFonts w:hint="eastAsia"/>
        </w:rPr>
        <w:t>5年收入预算</w:t>
      </w:r>
      <w:r>
        <w:t>153,800.92</w:t>
      </w:r>
      <w:r>
        <w:rPr>
          <w:rFonts w:hint="eastAsia"/>
        </w:rPr>
        <w:t>万元，其中：上年结转</w:t>
      </w:r>
      <w:r>
        <w:t>11,268.25</w:t>
      </w:r>
      <w:r>
        <w:rPr>
          <w:rFonts w:hint="eastAsia"/>
        </w:rPr>
        <w:t>万元，占比7.32</w:t>
      </w:r>
      <w:r>
        <w:t>%</w:t>
      </w:r>
      <w:r>
        <w:rPr>
          <w:rFonts w:hint="eastAsia"/>
        </w:rPr>
        <w:t>；一般公共预算财政拨款</w:t>
      </w:r>
      <w:r>
        <w:t>91,539.51</w:t>
      </w:r>
      <w:r>
        <w:rPr>
          <w:rFonts w:hint="eastAsia"/>
        </w:rPr>
        <w:t>万元，占比</w:t>
      </w:r>
      <w:r>
        <w:t>5</w:t>
      </w:r>
      <w:r>
        <w:rPr>
          <w:rFonts w:hint="eastAsia"/>
        </w:rPr>
        <w:t>9.52</w:t>
      </w:r>
      <w:r>
        <w:t>%</w:t>
      </w:r>
      <w:r>
        <w:rPr>
          <w:rFonts w:hint="eastAsia"/>
        </w:rPr>
        <w:t>；事业收入</w:t>
      </w:r>
      <w:r>
        <w:t>17,498.10</w:t>
      </w:r>
      <w:r>
        <w:rPr>
          <w:rFonts w:hint="eastAsia"/>
        </w:rPr>
        <w:t>万元，占比</w:t>
      </w:r>
      <w:r>
        <w:t>1</w:t>
      </w:r>
      <w:r>
        <w:rPr>
          <w:rFonts w:hint="eastAsia"/>
        </w:rPr>
        <w:t>1.38</w:t>
      </w:r>
      <w:r>
        <w:t>%</w:t>
      </w:r>
      <w:r>
        <w:rPr>
          <w:rFonts w:hint="eastAsia"/>
        </w:rPr>
        <w:t>；其他收入</w:t>
      </w:r>
      <w:r>
        <w:t>22,714.07</w:t>
      </w:r>
      <w:r>
        <w:rPr>
          <w:rFonts w:hint="eastAsia"/>
        </w:rPr>
        <w:t>万元，占比</w:t>
      </w:r>
      <w:r>
        <w:t>1</w:t>
      </w:r>
      <w:r>
        <w:rPr>
          <w:rFonts w:hint="eastAsia"/>
        </w:rPr>
        <w:t>4.77</w:t>
      </w:r>
      <w:r>
        <w:t>%</w:t>
      </w:r>
      <w:r>
        <w:rPr>
          <w:rFonts w:hint="eastAsia"/>
        </w:rPr>
        <w:t>；使用非财政拨款结余</w:t>
      </w:r>
      <w:r>
        <w:t>10,780.99</w:t>
      </w:r>
      <w:r>
        <w:rPr>
          <w:rFonts w:hint="eastAsia"/>
        </w:rPr>
        <w:t>万元，占比7.0</w:t>
      </w:r>
      <w:r>
        <w:t>1%</w:t>
      </w:r>
      <w:r>
        <w:rPr>
          <w:rFonts w:hint="eastAsia"/>
        </w:rPr>
        <w:t>。</w:t>
      </w:r>
    </w:p>
    <w:p>
      <w:pPr>
        <w:spacing w:line="240" w:lineRule="auto"/>
        <w:ind w:firstLineChars="0" w:firstLine="0"/>
        <w:jc w:val="center"/>
      </w:pPr>
      <w:r>
        <w:drawing>
          <wp:inline distT="0" distB="0" distL="0" distR="0">
            <wp:extent cx="4584700" cy="2755900"/>
            <wp:effectExtent l="0" t="0" r="0" b="0"/>
            <wp:docPr id="4" name="图片 12"/>
            <wp:cNvGraphicFramePr>
              <a:graphicFrameLocks noChangeAspect="1"/>
            </wp:cNvGraphicFramePr>
            <a:graphic>
              <a:graphicData uri="http://schemas.openxmlformats.org/drawingml/2006/picture">
                <pic:pic>
                  <pic:nvPicPr>
                    <pic:cNvPr id="6" name="图片 12 6"/>
                    <pic:cNvPicPr/>
                  </pic:nvPicPr>
                  <pic:blipFill>
                    <a:blip r:embed="rId6"/>
                    <a:stretch>
                      <a:fillRect/>
                    </a:stretch>
                  </pic:blipFill>
                  <pic:spPr>
                    <a:xfrm rot="0">
                      <a:off x="0" y="0"/>
                      <a:ext cx="4584700" cy="2755900"/>
                    </a:xfrm>
                    <a:prstGeom prst="rect"/>
                    <a:noFill/>
                    <a:ln w="9525" cmpd="sng" cap="flat">
                      <a:noFill/>
                      <a:prstDash val="solid"/>
                      <a:miter/>
                    </a:ln>
                  </pic:spPr>
                </pic:pic>
              </a:graphicData>
            </a:graphic>
          </wp:inline>
        </w:drawing>
      </w:r>
    </w:p>
    <w:p>
      <w:pPr>
        <w:pStyle w:val="22"/>
        <w:outlineLvl w:val="1"/>
      </w:pPr>
      <w:r>
        <w:rPr>
          <w:rFonts w:hint="eastAsia"/>
        </w:rPr>
        <w:t>三、关于大连海关2</w:t>
      </w:r>
      <w:r>
        <w:t>02</w:t>
      </w:r>
      <w:r>
        <w:rPr>
          <w:rFonts w:hint="eastAsia"/>
        </w:rPr>
        <w:t>5年支出预算情况说明</w:t>
      </w:r>
    </w:p>
    <w:p>
      <w:r>
        <w:rPr>
          <w:rFonts w:hint="eastAsia"/>
        </w:rPr>
        <w:t>大连海关2</w:t>
      </w:r>
      <w:r>
        <w:t>02</w:t>
      </w:r>
      <w:r>
        <w:rPr>
          <w:rFonts w:hint="eastAsia"/>
        </w:rPr>
        <w:t>5年支出预算</w:t>
      </w:r>
      <w:r>
        <w:t>153,800.92</w:t>
      </w:r>
      <w:r>
        <w:rPr>
          <w:rFonts w:hint="eastAsia"/>
        </w:rPr>
        <w:t>万元，其中基本支出</w:t>
      </w:r>
      <w:r>
        <w:t>135,577.94</w:t>
      </w:r>
      <w:r>
        <w:rPr>
          <w:rFonts w:hint="eastAsia"/>
        </w:rPr>
        <w:t>万元，占比88.15</w:t>
      </w:r>
      <w:r>
        <w:t>%</w:t>
      </w:r>
      <w:r>
        <w:rPr>
          <w:rFonts w:hint="eastAsia"/>
        </w:rPr>
        <w:t>；项目支出</w:t>
      </w:r>
      <w:r>
        <w:t>18,222.98</w:t>
      </w:r>
      <w:r>
        <w:rPr>
          <w:rFonts w:hint="eastAsia"/>
        </w:rPr>
        <w:t>万元，占比11.85</w:t>
      </w:r>
      <w:r>
        <w:t>%</w:t>
      </w:r>
      <w:r>
        <w:rPr>
          <w:rFonts w:hint="eastAsia"/>
        </w:rPr>
        <w:t>。</w:t>
      </w:r>
    </w:p>
    <w:p>
      <w:pPr>
        <w:spacing w:line="240" w:lineRule="auto"/>
        <w:ind w:firstLineChars="0" w:firstLine="0"/>
        <w:jc w:val="center"/>
      </w:pPr>
      <w:r>
        <w:drawing>
          <wp:inline distT="0" distB="0" distL="0" distR="0">
            <wp:extent cx="4584700" cy="2755900"/>
            <wp:effectExtent l="0" t="0" r="0" b="0"/>
            <wp:docPr id="7" name="图片 14"/>
            <wp:cNvGraphicFramePr>
              <a:graphicFrameLocks noChangeAspect="1"/>
            </wp:cNvGraphicFramePr>
            <a:graphic>
              <a:graphicData uri="http://schemas.openxmlformats.org/drawingml/2006/picture">
                <pic:pic>
                  <pic:nvPicPr>
                    <pic:cNvPr id="9" name="图片 14 9"/>
                    <pic:cNvPicPr/>
                  </pic:nvPicPr>
                  <pic:blipFill>
                    <a:blip r:embed="rId7"/>
                    <a:stretch>
                      <a:fillRect/>
                    </a:stretch>
                  </pic:blipFill>
                  <pic:spPr>
                    <a:xfrm rot="0">
                      <a:off x="0" y="0"/>
                      <a:ext cx="4584700" cy="2755900"/>
                    </a:xfrm>
                    <a:prstGeom prst="rect"/>
                    <a:noFill/>
                    <a:ln w="9525" cmpd="sng" cap="flat">
                      <a:noFill/>
                      <a:prstDash val="solid"/>
                      <a:miter/>
                    </a:ln>
                  </pic:spPr>
                </pic:pic>
              </a:graphicData>
            </a:graphic>
          </wp:inline>
        </w:drawing>
      </w:r>
    </w:p>
    <w:p>
      <w:pPr>
        <w:pStyle w:val="22"/>
        <w:outlineLvl w:val="1"/>
      </w:pPr>
      <w:r>
        <w:rPr>
          <w:rFonts w:hint="eastAsia"/>
        </w:rPr>
        <w:t>四、关于大连海关2025年财政拨款收支预算情况的总体说明</w:t>
      </w:r>
    </w:p>
    <w:p>
      <w:r>
        <w:rPr>
          <w:rFonts w:hint="eastAsia"/>
        </w:rPr>
        <w:t>大连海关2025年财政拨款收支总预算</w:t>
      </w:r>
      <w:r>
        <w:t>94,494.43</w:t>
      </w:r>
      <w:r>
        <w:rPr>
          <w:rFonts w:hint="eastAsia"/>
        </w:rPr>
        <w:t>万元。收入包括：一般公共预算当年财政拨款收入</w:t>
      </w:r>
      <w:r>
        <w:t>91,539.51</w:t>
      </w:r>
      <w:r>
        <w:rPr>
          <w:rFonts w:hint="eastAsia"/>
        </w:rPr>
        <w:t>万元、上年结转</w:t>
      </w:r>
      <w:r>
        <w:t>6.69</w:t>
      </w:r>
      <w:r>
        <w:rPr>
          <w:rFonts w:hint="eastAsia"/>
        </w:rPr>
        <w:t>万元；政府性基金预算上年结转</w:t>
      </w:r>
      <w:r>
        <w:t>2,948.23</w:t>
      </w:r>
      <w:r>
        <w:rPr>
          <w:rFonts w:hint="eastAsia"/>
        </w:rPr>
        <w:t>万元。支出包括：一般公共服务支出</w:t>
      </w:r>
      <w:r>
        <w:t>60,498.83</w:t>
      </w:r>
      <w:r>
        <w:rPr>
          <w:rFonts w:hint="eastAsia"/>
        </w:rPr>
        <w:t>万元、公共安全支出</w:t>
      </w:r>
      <w:r>
        <w:t>6,230.59</w:t>
      </w:r>
      <w:r>
        <w:rPr>
          <w:rFonts w:hint="eastAsia"/>
        </w:rPr>
        <w:t>万元、社会保障和就业支出</w:t>
      </w:r>
      <w:r>
        <w:t>7,817.71</w:t>
      </w:r>
      <w:r>
        <w:rPr>
          <w:rFonts w:hint="eastAsia"/>
        </w:rPr>
        <w:t>万元、卫生健康支出</w:t>
      </w:r>
      <w:r>
        <w:t>4,258.84</w:t>
      </w:r>
      <w:r>
        <w:rPr>
          <w:rFonts w:hint="eastAsia"/>
        </w:rPr>
        <w:t>万元、住房保障支出</w:t>
      </w:r>
      <w:r>
        <w:t>12,740.23</w:t>
      </w:r>
      <w:r>
        <w:rPr>
          <w:rFonts w:hint="eastAsia"/>
        </w:rPr>
        <w:t>万元、其他支出</w:t>
      </w:r>
      <w:r>
        <w:t>2,948.23</w:t>
      </w:r>
      <w:r>
        <w:rPr>
          <w:rFonts w:hint="eastAsia"/>
        </w:rPr>
        <w:t>万元。</w:t>
      </w:r>
    </w:p>
    <w:p>
      <w:pPr>
        <w:spacing w:line="240" w:lineRule="auto"/>
        <w:ind w:firstLineChars="0" w:firstLine="0"/>
        <w:jc w:val="center"/>
      </w:pPr>
      <w:r>
        <w:drawing>
          <wp:inline distT="0" distB="0" distL="0" distR="0">
            <wp:extent cx="4584700" cy="2755900"/>
            <wp:effectExtent l="0" t="0" r="0" b="0"/>
            <wp:docPr id="10" name="图片 16"/>
            <wp:cNvGraphicFramePr>
              <a:graphicFrameLocks noChangeAspect="1"/>
            </wp:cNvGraphicFramePr>
            <a:graphic>
              <a:graphicData uri="http://schemas.openxmlformats.org/drawingml/2006/picture">
                <pic:pic>
                  <pic:nvPicPr>
                    <pic:cNvPr id="12" name="图片 16 12"/>
                    <pic:cNvPicPr/>
                  </pic:nvPicPr>
                  <pic:blipFill>
                    <a:blip r:embed="rId8"/>
                    <a:stretch>
                      <a:fillRect/>
                    </a:stretch>
                  </pic:blipFill>
                  <pic:spPr>
                    <a:xfrm rot="0">
                      <a:off x="0" y="0"/>
                      <a:ext cx="4584700" cy="2755900"/>
                    </a:xfrm>
                    <a:prstGeom prst="rect"/>
                    <a:noFill/>
                    <a:ln w="9525" cmpd="sng" cap="flat">
                      <a:noFill/>
                      <a:prstDash val="solid"/>
                      <a:miter/>
                    </a:ln>
                  </pic:spPr>
                </pic:pic>
              </a:graphicData>
            </a:graphic>
          </wp:inline>
        </w:drawing>
      </w:r>
    </w:p>
    <w:p>
      <w:pPr>
        <w:pStyle w:val="22"/>
        <w:outlineLvl w:val="1"/>
      </w:pPr>
      <w:r>
        <w:rPr>
          <w:rFonts w:hint="eastAsia"/>
        </w:rPr>
        <w:t>五、关于大连海关2</w:t>
      </w:r>
      <w:r>
        <w:t>02</w:t>
      </w:r>
      <w:r>
        <w:rPr>
          <w:rFonts w:hint="eastAsia"/>
        </w:rPr>
        <w:t>5年一般公共预算当年财政拨款情况说明</w:t>
      </w:r>
    </w:p>
    <w:p>
      <w:pPr>
        <w:pStyle w:val="23"/>
        <w:rPr>
          <w:b/>
          <w:bCs w:val="0"/>
        </w:rPr>
      </w:pPr>
      <w:r>
        <w:rPr>
          <w:rFonts w:hint="eastAsia"/>
          <w:b/>
          <w:bCs w:val="0"/>
        </w:rPr>
        <w:t>（一）一般公共预算当年财政拨款规模变化情况。</w:t>
      </w:r>
    </w:p>
    <w:p>
      <w:r>
        <w:rPr>
          <w:rFonts w:hint="eastAsia"/>
        </w:rPr>
        <w:t>大连海关2</w:t>
      </w:r>
      <w:r>
        <w:t>02</w:t>
      </w:r>
      <w:r>
        <w:rPr>
          <w:rFonts w:hint="eastAsia"/>
        </w:rPr>
        <w:t>5年一般公共预算当年财政拨款预算</w:t>
      </w:r>
      <w:r>
        <w:t>91,539.51</w:t>
      </w:r>
      <w:r>
        <w:rPr>
          <w:rFonts w:hint="eastAsia"/>
        </w:rPr>
        <w:t>万元，比2</w:t>
      </w:r>
      <w:r>
        <w:t>02</w:t>
      </w:r>
      <w:r>
        <w:rPr>
          <w:rFonts w:hint="eastAsia"/>
        </w:rPr>
        <w:t>4年执行数增加</w:t>
      </w:r>
      <w:r>
        <w:t>3,089.09</w:t>
      </w:r>
      <w:r>
        <w:rPr>
          <w:rFonts w:hint="eastAsia"/>
        </w:rPr>
        <w:t>万元，增幅</w:t>
      </w:r>
      <w:r>
        <w:t>3.49%</w:t>
      </w:r>
      <w:r>
        <w:rPr>
          <w:rFonts w:hint="eastAsia"/>
        </w:rPr>
        <w:t>。2</w:t>
      </w:r>
      <w:r>
        <w:t>02</w:t>
      </w:r>
      <w:r>
        <w:rPr>
          <w:rFonts w:hint="eastAsia"/>
        </w:rPr>
        <w:t>5年，大连海关按照党中央、国务院和海关总署关于过紧日子的有关要求，优化资源统筹、强化预算管理、细化支出审批，切实确保各项资金用在实处。始终坚持优先保障民生、突出保障刚性运转需求，大力缩减一般性支出，重点缩减非急需非刚性支出，合理保障海关关务、检验检疫、缉私警察等必要支出需，以实际行动促进海关改革发展。</w:t>
      </w:r>
    </w:p>
    <w:p>
      <w:pPr>
        <w:pStyle w:val="23"/>
        <w:rPr>
          <w:b/>
          <w:bCs w:val="0"/>
        </w:rPr>
      </w:pPr>
      <w:r>
        <w:rPr>
          <w:rFonts w:hint="eastAsia"/>
          <w:b/>
          <w:bCs w:val="0"/>
        </w:rPr>
        <w:t>（二）一般公共预算当年财政拨款结构情况。</w:t>
      </w:r>
    </w:p>
    <w:p>
      <w:r>
        <w:rPr>
          <w:rFonts w:hint="eastAsia"/>
        </w:rPr>
        <w:t>2</w:t>
      </w:r>
      <w:r>
        <w:t>02</w:t>
      </w:r>
      <w:r>
        <w:rPr>
          <w:rFonts w:hint="eastAsia"/>
        </w:rPr>
        <w:t>5年部门预算中，一般公共预算当年财政拨款用于以下方面：一般公共服务（类）支出</w:t>
      </w:r>
      <w:r>
        <w:t>60,498.79</w:t>
      </w:r>
      <w:r>
        <w:rPr>
          <w:rFonts w:hint="eastAsia"/>
        </w:rPr>
        <w:t>万元，占比</w:t>
      </w:r>
      <w:r>
        <w:t>66.09%</w:t>
      </w:r>
      <w:r>
        <w:rPr>
          <w:rFonts w:hint="eastAsia"/>
        </w:rPr>
        <w:t>；公共安全（类）支出</w:t>
      </w:r>
      <w:r>
        <w:t>6,223.94</w:t>
      </w:r>
      <w:r>
        <w:rPr>
          <w:rFonts w:hint="eastAsia"/>
        </w:rPr>
        <w:t>万元，占比6</w:t>
      </w:r>
      <w:r>
        <w:t>.</w:t>
      </w:r>
      <w:r>
        <w:rPr>
          <w:rFonts w:hint="eastAsia"/>
        </w:rPr>
        <w:t>80</w:t>
      </w:r>
      <w:r>
        <w:t>%</w:t>
      </w:r>
      <w:r>
        <w:rPr>
          <w:rFonts w:hint="eastAsia"/>
        </w:rPr>
        <w:t>；社会保障和就业（类）支出</w:t>
      </w:r>
      <w:r>
        <w:t>7,817.71</w:t>
      </w:r>
      <w:r>
        <w:rPr>
          <w:rFonts w:hint="eastAsia"/>
        </w:rPr>
        <w:t>万元，占比8.54</w:t>
      </w:r>
      <w:r>
        <w:t>%</w:t>
      </w:r>
      <w:r>
        <w:rPr>
          <w:rFonts w:hint="eastAsia"/>
        </w:rPr>
        <w:t>；卫生健康（类）支出</w:t>
      </w:r>
      <w:r>
        <w:t>4,258.84</w:t>
      </w:r>
      <w:r>
        <w:rPr>
          <w:rFonts w:hint="eastAsia"/>
        </w:rPr>
        <w:t>万元，占比4.65</w:t>
      </w:r>
      <w:r>
        <w:t>%</w:t>
      </w:r>
      <w:r>
        <w:rPr>
          <w:rFonts w:hint="eastAsia"/>
        </w:rPr>
        <w:t>；住房保障（类）支出</w:t>
      </w:r>
      <w:r>
        <w:t>12,740.23</w:t>
      </w:r>
      <w:r>
        <w:rPr>
          <w:rFonts w:hint="eastAsia"/>
        </w:rPr>
        <w:t>万元，占比13.92</w:t>
      </w:r>
      <w:r>
        <w:t>%</w:t>
      </w:r>
      <w:r>
        <w:rPr>
          <w:rFonts w:hint="eastAsia"/>
        </w:rPr>
        <w:t>。</w:t>
      </w:r>
    </w:p>
    <w:p>
      <w:pPr>
        <w:spacing w:line="240" w:lineRule="auto"/>
        <w:ind w:firstLineChars="0" w:firstLine="0"/>
        <w:jc w:val="center"/>
      </w:pPr>
      <w:r>
        <w:drawing>
          <wp:inline distT="0" distB="0" distL="0" distR="0">
            <wp:extent cx="4584700" cy="2755900"/>
            <wp:effectExtent l="0" t="0" r="0" b="0"/>
            <wp:docPr id="13" name="图片 20"/>
            <wp:cNvGraphicFramePr>
              <a:graphicFrameLocks noChangeAspect="1"/>
            </wp:cNvGraphicFramePr>
            <a:graphic>
              <a:graphicData uri="http://schemas.openxmlformats.org/drawingml/2006/picture">
                <pic:pic>
                  <pic:nvPicPr>
                    <pic:cNvPr id="15" name="图片 20 15"/>
                    <pic:cNvPicPr/>
                  </pic:nvPicPr>
                  <pic:blipFill>
                    <a:blip r:embed="rId9"/>
                    <a:stretch>
                      <a:fillRect/>
                    </a:stretch>
                  </pic:blipFill>
                  <pic:spPr>
                    <a:xfrm rot="0">
                      <a:off x="0" y="0"/>
                      <a:ext cx="4584700" cy="2755900"/>
                    </a:xfrm>
                    <a:prstGeom prst="rect"/>
                    <a:noFill/>
                    <a:ln w="9525" cmpd="sng" cap="flat">
                      <a:noFill/>
                      <a:prstDash val="solid"/>
                      <a:miter/>
                    </a:ln>
                  </pic:spPr>
                </pic:pic>
              </a:graphicData>
            </a:graphic>
          </wp:inline>
        </w:drawing>
      </w:r>
    </w:p>
    <w:p>
      <w:pPr>
        <w:pStyle w:val="23"/>
        <w:rPr>
          <w:b/>
          <w:bCs w:val="0"/>
        </w:rPr>
      </w:pPr>
      <w:r>
        <w:rPr>
          <w:rFonts w:hint="eastAsia"/>
          <w:b/>
          <w:bCs w:val="0"/>
        </w:rPr>
        <w:t>（三）一般公共预算当年财政拨款具体使用情况。</w:t>
      </w:r>
    </w:p>
    <w:p>
      <w:r>
        <w:rPr>
          <w:rFonts w:hint="eastAsia"/>
        </w:rPr>
        <w:t>1．一般公共服务支出（类）海关事务（款）2025年预算</w:t>
      </w:r>
      <w:r>
        <w:t>60,498.79</w:t>
      </w:r>
      <w:r>
        <w:rPr>
          <w:rFonts w:hint="eastAsia"/>
        </w:rPr>
        <w:t>万元，比2024年执行数增加</w:t>
      </w:r>
      <w:r>
        <w:t>2,409.56</w:t>
      </w:r>
      <w:r>
        <w:rPr>
          <w:rFonts w:hint="eastAsia"/>
        </w:rPr>
        <w:t>万元，增长4.15</w:t>
      </w:r>
      <w:r>
        <w:t>%</w:t>
      </w:r>
      <w:r>
        <w:rPr>
          <w:rFonts w:hint="eastAsia"/>
        </w:rPr>
        <w:t>，其中：</w:t>
      </w:r>
    </w:p>
    <w:p>
      <w:r>
        <w:rPr>
          <w:rFonts w:hint="eastAsia"/>
        </w:rPr>
        <w:t>（1）行政运行（项）2025年预算</w:t>
      </w:r>
      <w:r>
        <w:t>43,963.62</w:t>
      </w:r>
      <w:r>
        <w:rPr>
          <w:rFonts w:hint="eastAsia"/>
        </w:rPr>
        <w:t>万元，比2024年执行数增加</w:t>
      </w:r>
      <w:r>
        <w:t>370.28</w:t>
      </w:r>
      <w:r>
        <w:rPr>
          <w:rFonts w:hint="eastAsia"/>
        </w:rPr>
        <w:t>万元，增长0.85</w:t>
      </w:r>
      <w:r>
        <w:t>%</w:t>
      </w:r>
      <w:r>
        <w:rPr>
          <w:rFonts w:hint="eastAsia"/>
        </w:rPr>
        <w:t>。</w:t>
      </w:r>
    </w:p>
    <w:p>
      <w:r>
        <w:rPr>
          <w:rFonts w:hint="eastAsia"/>
        </w:rPr>
        <w:t>（2）一般行政管理事务（项）2025年预算</w:t>
      </w:r>
      <w:r>
        <w:t>28.00</w:t>
      </w:r>
      <w:r>
        <w:rPr>
          <w:rFonts w:hint="eastAsia"/>
        </w:rPr>
        <w:t>万元，比2024年执行数减少40万元，下降58.82</w:t>
      </w:r>
      <w:r>
        <w:t>%</w:t>
      </w:r>
      <w:r>
        <w:rPr>
          <w:rFonts w:hint="eastAsia"/>
        </w:rPr>
        <w:t>。主要是2025年中央基建投资尚未下达预算。</w:t>
      </w:r>
    </w:p>
    <w:p>
      <w:r>
        <w:rPr>
          <w:rFonts w:hint="eastAsia"/>
        </w:rPr>
        <w:t>（3）机关服务（项）2025年预算</w:t>
      </w:r>
      <w:r>
        <w:t>703.44</w:t>
      </w:r>
      <w:r>
        <w:rPr>
          <w:rFonts w:hint="eastAsia"/>
        </w:rPr>
        <w:t>万元，比2024年执行数增加32.85万元，增长4.90</w:t>
      </w:r>
      <w:r>
        <w:t>%</w:t>
      </w:r>
      <w:r>
        <w:rPr>
          <w:rFonts w:hint="eastAsia"/>
        </w:rPr>
        <w:t>。主要是机关服务支出略有增加。</w:t>
      </w:r>
    </w:p>
    <w:p>
      <w:pPr>
        <w:rPr>
          <w:szCs w:val="32"/>
        </w:rPr>
      </w:pPr>
      <w:r>
        <w:rPr>
          <w:rFonts w:hint="eastAsia"/>
        </w:rPr>
        <w:t>（4）缉私办案（项）2025年预算</w:t>
      </w:r>
      <w:r>
        <w:t>513.32</w:t>
      </w:r>
      <w:r>
        <w:rPr>
          <w:rFonts w:hint="eastAsia"/>
        </w:rPr>
        <w:t>万元，比2024年执行数减少</w:t>
      </w:r>
      <w:r>
        <w:t>168.68</w:t>
      </w:r>
      <w:r>
        <w:rPr>
          <w:rFonts w:hint="eastAsia"/>
        </w:rPr>
        <w:t>万元，下降24.73</w:t>
      </w:r>
      <w:r>
        <w:t>%</w:t>
      </w:r>
      <w:r>
        <w:rPr>
          <w:rFonts w:hint="eastAsia"/>
        </w:rPr>
        <w:t>。</w:t>
      </w:r>
      <w:r>
        <w:rPr>
          <w:rFonts w:hint="eastAsia"/>
          <w:szCs w:val="32"/>
        </w:rPr>
        <w:t>主要是落实过紧日子要求，压减相关经费。</w:t>
      </w:r>
    </w:p>
    <w:p>
      <w:r>
        <w:rPr>
          <w:rFonts w:hint="eastAsia"/>
        </w:rPr>
        <w:t>（5）口岸管理（项）2025年预算</w:t>
      </w:r>
      <w:r>
        <w:t>65.72</w:t>
      </w:r>
      <w:r>
        <w:rPr>
          <w:rFonts w:hint="eastAsia"/>
        </w:rPr>
        <w:t>万元，与2024年执行数规模保持一致。</w:t>
      </w:r>
    </w:p>
    <w:p>
      <w:r>
        <w:rPr>
          <w:rFonts w:hint="eastAsia"/>
        </w:rPr>
        <w:t>（6）信息化建设（项）2025年预算</w:t>
      </w:r>
      <w:r>
        <w:t>1,854.00</w:t>
      </w:r>
      <w:r>
        <w:rPr>
          <w:rFonts w:hint="eastAsia"/>
        </w:rPr>
        <w:t>万元，比2024年执行数增加</w:t>
      </w:r>
      <w:r>
        <w:t>1,011.00</w:t>
      </w:r>
      <w:r>
        <w:rPr>
          <w:rFonts w:hint="eastAsia"/>
        </w:rPr>
        <w:t>万元，增长119.93</w:t>
      </w:r>
      <w:r>
        <w:t>%</w:t>
      </w:r>
      <w:r>
        <w:rPr>
          <w:rFonts w:hint="eastAsia"/>
        </w:rPr>
        <w:t>。主要是信息化建设支出增加。</w:t>
      </w:r>
    </w:p>
    <w:p>
      <w:pPr>
        <w:rPr>
          <w:szCs w:val="32"/>
        </w:rPr>
      </w:pPr>
      <w:r>
        <w:rPr>
          <w:rFonts w:hint="eastAsia"/>
        </w:rPr>
        <w:t>（7）海关关务（项）2025年预算</w:t>
      </w:r>
      <w:r>
        <w:t>5,910.52</w:t>
      </w:r>
      <w:r>
        <w:rPr>
          <w:rFonts w:hint="eastAsia"/>
        </w:rPr>
        <w:t>万元，比2024年执行数减少</w:t>
      </w:r>
      <w:r>
        <w:t>480.42</w:t>
      </w:r>
      <w:r>
        <w:rPr>
          <w:rFonts w:hint="eastAsia"/>
        </w:rPr>
        <w:t>万元，下降7.52</w:t>
      </w:r>
      <w:r>
        <w:t>%</w:t>
      </w:r>
      <w:r>
        <w:rPr>
          <w:rFonts w:hint="eastAsia"/>
        </w:rPr>
        <w:t>。</w:t>
      </w:r>
      <w:r>
        <w:rPr>
          <w:rFonts w:hint="eastAsia"/>
          <w:szCs w:val="32"/>
        </w:rPr>
        <w:t>主要是海关法检业务工作专项从海关关务调整至检验检疫项下。</w:t>
      </w:r>
    </w:p>
    <w:p>
      <w:pPr>
        <w:rPr>
          <w:szCs w:val="32"/>
        </w:rPr>
      </w:pPr>
      <w:r>
        <w:rPr>
          <w:rFonts w:hint="eastAsia"/>
        </w:rPr>
        <w:t>（8）关税征管（项）2025年预算</w:t>
      </w:r>
      <w:r>
        <w:t>60.00</w:t>
      </w:r>
      <w:r>
        <w:rPr>
          <w:rFonts w:hint="eastAsia"/>
        </w:rPr>
        <w:t>万元，比2024年执行数减少10.00万元，下降14.29</w:t>
      </w:r>
      <w:r>
        <w:t>%</w:t>
      </w:r>
      <w:r>
        <w:rPr>
          <w:rFonts w:hint="eastAsia"/>
        </w:rPr>
        <w:t>。</w:t>
      </w:r>
      <w:r>
        <w:rPr>
          <w:rFonts w:hint="eastAsia"/>
          <w:szCs w:val="32"/>
        </w:rPr>
        <w:t>主要是海关关税征管工作相关支出减少。</w:t>
      </w:r>
    </w:p>
    <w:p>
      <w:r>
        <w:rPr>
          <w:rFonts w:hint="eastAsia"/>
        </w:rPr>
        <w:t>（9）海关监管（项）2025年预算</w:t>
      </w:r>
      <w:r>
        <w:t>642.41</w:t>
      </w:r>
      <w:r>
        <w:rPr>
          <w:rFonts w:hint="eastAsia"/>
        </w:rPr>
        <w:t>万元，比2024年执行数增加251.41万元，增长64.30</w:t>
      </w:r>
      <w:r>
        <w:t>%</w:t>
      </w:r>
      <w:r>
        <w:rPr>
          <w:rFonts w:hint="eastAsia"/>
        </w:rPr>
        <w:t>。主要是海关监管业务改革相关工作支出增加。</w:t>
      </w:r>
    </w:p>
    <w:p>
      <w:r>
        <w:rPr>
          <w:rFonts w:hint="eastAsia"/>
        </w:rPr>
        <w:t>（10）检验检疫（项）2025年预算</w:t>
      </w:r>
      <w:r>
        <w:t>3,406.33</w:t>
      </w:r>
      <w:r>
        <w:rPr>
          <w:rFonts w:hint="eastAsia"/>
        </w:rPr>
        <w:t>万元，比2024年执行数增加</w:t>
      </w:r>
      <w:r>
        <w:t>1,413.72</w:t>
      </w:r>
      <w:r>
        <w:rPr>
          <w:rFonts w:hint="eastAsia"/>
        </w:rPr>
        <w:t>万元，增长70.95</w:t>
      </w:r>
      <w:r>
        <w:t>%</w:t>
      </w:r>
      <w:r>
        <w:rPr>
          <w:rFonts w:hint="eastAsia"/>
        </w:rPr>
        <w:t>。主要是2025年海关法检业务工作专项支出增加。</w:t>
      </w:r>
    </w:p>
    <w:p>
      <w:r>
        <w:rPr>
          <w:rFonts w:hint="eastAsia"/>
        </w:rPr>
        <w:t>（11）事业运行（项）2025年预算</w:t>
      </w:r>
      <w:r>
        <w:t>3,351.43</w:t>
      </w:r>
      <w:r>
        <w:rPr>
          <w:rFonts w:hint="eastAsia"/>
        </w:rPr>
        <w:t>万元，比2024年执行数增加</w:t>
      </w:r>
      <w:r>
        <w:t>29.40</w:t>
      </w:r>
      <w:r>
        <w:rPr>
          <w:rFonts w:hint="eastAsia"/>
        </w:rPr>
        <w:t>万元，增长</w:t>
      </w:r>
      <w:r>
        <w:t>0.89%</w:t>
      </w:r>
      <w:r>
        <w:rPr>
          <w:rFonts w:hint="eastAsia"/>
        </w:rPr>
        <w:t>。</w:t>
      </w:r>
    </w:p>
    <w:p>
      <w:r>
        <w:rPr>
          <w:rFonts w:hint="eastAsia"/>
        </w:rPr>
        <w:t>2．公共安全支出（类）缉私警察（款）2025年预算</w:t>
      </w:r>
      <w:r>
        <w:t>6,223.94</w:t>
      </w:r>
      <w:r>
        <w:rPr>
          <w:rFonts w:hint="eastAsia"/>
        </w:rPr>
        <w:t>万元，比2024年执行数增加</w:t>
      </w:r>
      <w:r>
        <w:t>477.23</w:t>
      </w:r>
      <w:r>
        <w:rPr>
          <w:rFonts w:hint="eastAsia"/>
        </w:rPr>
        <w:t>万元，增长8.30</w:t>
      </w:r>
      <w:r>
        <w:t>%</w:t>
      </w:r>
      <w:r>
        <w:rPr>
          <w:rFonts w:hint="eastAsia"/>
        </w:rPr>
        <w:t>。主要是打击走私等项目支出增长。</w:t>
      </w:r>
    </w:p>
    <w:p>
      <w:r>
        <w:rPr>
          <w:rFonts w:hint="eastAsia"/>
        </w:rPr>
        <w:t>3．社会保障和就业支出（类）行政事业单位养老支出（款）2025年预算</w:t>
      </w:r>
      <w:r>
        <w:t>7,817.71</w:t>
      </w:r>
      <w:r>
        <w:rPr>
          <w:rFonts w:hint="eastAsia"/>
        </w:rPr>
        <w:t>万元，比2024年执行数减少90.12万元，下降1.14%。其中：</w:t>
      </w:r>
    </w:p>
    <w:p>
      <w:r>
        <w:rPr>
          <w:rFonts w:hint="eastAsia"/>
        </w:rPr>
        <w:t>（1）行政单位离退休（项）2025年预算</w:t>
      </w:r>
      <w:r>
        <w:t>453.38</w:t>
      </w:r>
      <w:r>
        <w:rPr>
          <w:rFonts w:hint="eastAsia"/>
        </w:rPr>
        <w:t>万元，比2024年执行数增加</w:t>
      </w:r>
      <w:r>
        <w:t>25.60</w:t>
      </w:r>
      <w:r>
        <w:rPr>
          <w:rFonts w:hint="eastAsia"/>
        </w:rPr>
        <w:t>万元，增长5.98</w:t>
      </w:r>
      <w:r>
        <w:t>%</w:t>
      </w:r>
      <w:r>
        <w:rPr>
          <w:rFonts w:hint="eastAsia"/>
        </w:rPr>
        <w:t>。主要是行政单位离退休经费减少。</w:t>
      </w:r>
    </w:p>
    <w:p>
      <w:r>
        <w:rPr>
          <w:rFonts w:hint="eastAsia"/>
        </w:rPr>
        <w:t>（</w:t>
      </w:r>
      <w:r>
        <w:t>2</w:t>
      </w:r>
      <w:r>
        <w:rPr>
          <w:rFonts w:hint="eastAsia"/>
        </w:rPr>
        <w:t>）机关事业单位基本养老保险缴费支出（项）2025年预算</w:t>
      </w:r>
      <w:r>
        <w:t>4,916.37</w:t>
      </w:r>
      <w:r>
        <w:rPr>
          <w:rFonts w:hint="eastAsia"/>
        </w:rPr>
        <w:t>万元，比2024年执行数增加86.91万元，增长1.80</w:t>
      </w:r>
      <w:r>
        <w:t>%</w:t>
      </w:r>
      <w:r>
        <w:rPr>
          <w:rFonts w:hint="eastAsia"/>
        </w:rPr>
        <w:t>。主要是养老保险缴费经费增长。</w:t>
      </w:r>
    </w:p>
    <w:p>
      <w:r>
        <w:rPr>
          <w:rFonts w:hint="eastAsia"/>
        </w:rPr>
        <w:t>（</w:t>
      </w:r>
      <w:r>
        <w:t>3</w:t>
      </w:r>
      <w:r>
        <w:rPr>
          <w:rFonts w:hint="eastAsia"/>
        </w:rPr>
        <w:t>）机关事业单位职业年金缴费支出（项）2025年预算</w:t>
      </w:r>
      <w:r>
        <w:t>2,447.96</w:t>
      </w:r>
      <w:r>
        <w:rPr>
          <w:rFonts w:hint="eastAsia"/>
        </w:rPr>
        <w:t>万元，比2024年执行数减少</w:t>
      </w:r>
      <w:r>
        <w:t>202.63</w:t>
      </w:r>
      <w:r>
        <w:rPr>
          <w:rFonts w:hint="eastAsia"/>
        </w:rPr>
        <w:t>万元，下降7.64</w:t>
      </w:r>
      <w:r>
        <w:t>%</w:t>
      </w:r>
      <w:r>
        <w:rPr>
          <w:rFonts w:hint="eastAsia"/>
        </w:rPr>
        <w:t>。主要是2024年安排离职人员职业年金补记经费</w:t>
      </w:r>
      <w:r>
        <w:rPr>
          <w:rFonts w:hint="eastAsia"/>
          <w:szCs w:val="32"/>
        </w:rPr>
        <w:t>。</w:t>
      </w:r>
    </w:p>
    <w:p>
      <w:r>
        <w:rPr>
          <w:rFonts w:hint="eastAsia"/>
        </w:rPr>
        <w:t>4．卫生健康支出（类）行政事业单位医疗（款）2025年预算</w:t>
      </w:r>
      <w:r>
        <w:t>4,258.84</w:t>
      </w:r>
      <w:r>
        <w:rPr>
          <w:rFonts w:hint="eastAsia"/>
        </w:rPr>
        <w:t>万元，比2024年执行数增加</w:t>
      </w:r>
      <w:r>
        <w:t>13.21</w:t>
      </w:r>
      <w:r>
        <w:rPr>
          <w:rFonts w:hint="eastAsia"/>
        </w:rPr>
        <w:t>万元，增长0.31</w:t>
      </w:r>
      <w:r>
        <w:t>%</w:t>
      </w:r>
      <w:r>
        <w:rPr>
          <w:rFonts w:hint="eastAsia"/>
        </w:rPr>
        <w:t>。其中：</w:t>
      </w:r>
    </w:p>
    <w:p>
      <w:r>
        <w:rPr>
          <w:rFonts w:hint="eastAsia"/>
        </w:rPr>
        <w:t>（1）行政单位医疗（项）2025年预算</w:t>
      </w:r>
      <w:r>
        <w:t>2,414.74</w:t>
      </w:r>
      <w:r>
        <w:rPr>
          <w:rFonts w:hint="eastAsia"/>
        </w:rPr>
        <w:t>万元，比2024年执行数减少</w:t>
      </w:r>
      <w:r>
        <w:t>138.07</w:t>
      </w:r>
      <w:r>
        <w:rPr>
          <w:rFonts w:hint="eastAsia"/>
        </w:rPr>
        <w:t>万元，下降5.41</w:t>
      </w:r>
      <w:r>
        <w:t>%</w:t>
      </w:r>
      <w:r>
        <w:rPr>
          <w:rFonts w:hint="eastAsia"/>
        </w:rPr>
        <w:t>。主要是行政单位医疗经费减少。</w:t>
      </w:r>
    </w:p>
    <w:p>
      <w:r>
        <w:rPr>
          <w:rFonts w:hint="eastAsia"/>
        </w:rPr>
        <w:t>（2）公务员医疗补助（项）2025年预算</w:t>
      </w:r>
      <w:r>
        <w:t>1,732.00</w:t>
      </w:r>
      <w:r>
        <w:rPr>
          <w:rFonts w:hint="eastAsia"/>
        </w:rPr>
        <w:t>万元，比2024年执行数增加128.58万元，增长8.02</w:t>
      </w:r>
      <w:r>
        <w:t>%</w:t>
      </w:r>
      <w:r>
        <w:rPr>
          <w:rFonts w:hint="eastAsia"/>
        </w:rPr>
        <w:t>。主要是公务员医疗补助经费增长。</w:t>
      </w:r>
    </w:p>
    <w:p>
      <w:r>
        <w:rPr>
          <w:rFonts w:hint="eastAsia"/>
        </w:rPr>
        <w:t>（3）其他行政事业单位医疗支出（项）2025年预算</w:t>
      </w:r>
      <w:r>
        <w:t>112.10</w:t>
      </w:r>
      <w:r>
        <w:rPr>
          <w:rFonts w:hint="eastAsia"/>
        </w:rPr>
        <w:t>万元，比2024年执行数增加</w:t>
      </w:r>
      <w:r>
        <w:t>22.70</w:t>
      </w:r>
      <w:r>
        <w:rPr>
          <w:rFonts w:hint="eastAsia"/>
        </w:rPr>
        <w:t>万元，增长25.39%。主要是其他行政事业单位医疗支出增长。</w:t>
      </w:r>
    </w:p>
    <w:p>
      <w:r>
        <w:t>5</w:t>
      </w:r>
      <w:r>
        <w:rPr>
          <w:rFonts w:hint="eastAsia"/>
        </w:rPr>
        <w:t>．住房保障支出（类）住房改革支出（款）2025年预算</w:t>
      </w:r>
      <w:r>
        <w:t>12,740.23</w:t>
      </w:r>
      <w:r>
        <w:rPr>
          <w:rFonts w:hint="eastAsia"/>
        </w:rPr>
        <w:t>万元，比2024年执行数增加279.21万元，增长2.24</w:t>
      </w:r>
      <w:r>
        <w:t>%</w:t>
      </w:r>
      <w:r>
        <w:rPr>
          <w:rFonts w:hint="eastAsia"/>
        </w:rPr>
        <w:t>。其中：</w:t>
      </w:r>
    </w:p>
    <w:p>
      <w:r>
        <w:rPr>
          <w:rFonts w:hint="eastAsia"/>
        </w:rPr>
        <w:t>（1）住房公积金（项）2025年预算</w:t>
      </w:r>
      <w:r>
        <w:t>4,919.33</w:t>
      </w:r>
      <w:r>
        <w:rPr>
          <w:rFonts w:hint="eastAsia"/>
        </w:rPr>
        <w:t>万元，比2024年执行数增加48.25万元，增长0.99</w:t>
      </w:r>
      <w:r>
        <w:t>%</w:t>
      </w:r>
      <w:r>
        <w:rPr>
          <w:rFonts w:hint="eastAsia"/>
        </w:rPr>
        <w:t>。</w:t>
      </w:r>
    </w:p>
    <w:p>
      <w:r>
        <w:rPr>
          <w:rFonts w:hint="eastAsia"/>
        </w:rPr>
        <w:t>（2）购房补贴（项）2025年预算</w:t>
      </w:r>
      <w:r>
        <w:t>7,820.90</w:t>
      </w:r>
      <w:r>
        <w:rPr>
          <w:rFonts w:hint="eastAsia"/>
        </w:rPr>
        <w:t>万元，比2024年执行数增加</w:t>
      </w:r>
      <w:r>
        <w:t>230.96</w:t>
      </w:r>
      <w:r>
        <w:rPr>
          <w:rFonts w:hint="eastAsia"/>
        </w:rPr>
        <w:t>万元，增长3.04</w:t>
      </w:r>
      <w:r>
        <w:t>%</w:t>
      </w:r>
      <w:r>
        <w:rPr>
          <w:rFonts w:hint="eastAsia"/>
        </w:rPr>
        <w:t>。主要是购房补贴支出增长。</w:t>
      </w:r>
    </w:p>
    <w:p>
      <w:pPr>
        <w:pStyle w:val="22"/>
        <w:outlineLvl w:val="1"/>
      </w:pPr>
      <w:r>
        <w:rPr>
          <w:rFonts w:hint="eastAsia"/>
        </w:rPr>
        <w:t>六、关于大连海关2</w:t>
      </w:r>
      <w:r>
        <w:t>02</w:t>
      </w:r>
      <w:r>
        <w:rPr>
          <w:rFonts w:hint="eastAsia"/>
        </w:rPr>
        <w:t>5年一般公共预算基本支出情况说明</w:t>
      </w:r>
    </w:p>
    <w:p>
      <w:r>
        <w:rPr>
          <w:rFonts w:hint="eastAsia"/>
        </w:rPr>
        <w:t>大连海关2025年一般公共预算基本支出</w:t>
      </w:r>
      <w:r>
        <w:t>76,954.21</w:t>
      </w:r>
      <w:r>
        <w:rPr>
          <w:rFonts w:hint="eastAsia"/>
        </w:rPr>
        <w:t>万元，其中：</w:t>
      </w:r>
    </w:p>
    <w:p>
      <w:r>
        <w:rPr>
          <w:rFonts w:hint="eastAsia"/>
        </w:rPr>
        <w:t>人员经费</w:t>
      </w:r>
      <w:r>
        <w:t>59,475.87</w:t>
      </w:r>
      <w:r>
        <w:rPr>
          <w:rFonts w:hint="eastAsia"/>
        </w:rPr>
        <w:t>万元，主要包括：基本工资、津贴补贴、奖金、绩效工资、机关事业单位基本养老保险缴费、职业年金缴费、职工基本医疗保险缴费、公务员医疗补助缴费、其他社会保障缴费、住房公积金、其他工资福利支出</w:t>
      </w:r>
      <w:r>
        <w:t>、</w:t>
      </w:r>
      <w:r>
        <w:rPr>
          <w:rFonts w:hint="eastAsia"/>
        </w:rPr>
        <w:t>离休费、退休费、抚恤金、生活补助、奖励金、其他对个人和家庭的补助；</w:t>
      </w:r>
    </w:p>
    <w:p>
      <w:r>
        <w:rPr>
          <w:rFonts w:hint="eastAsia"/>
        </w:rPr>
        <w:t>日常公用经费</w:t>
      </w:r>
      <w:r>
        <w:t>17,478.34</w:t>
      </w:r>
      <w:r>
        <w:rPr>
          <w:rFonts w:hint="eastAsia"/>
        </w:rPr>
        <w:t>万元，主要包括：办公费、印刷费、手续费、水费、电费、邮电费、取暖费、物业管理费、差旅费、维修（护）费、租赁费、会议费、培训费、公务接待费、专用材料费、被装购置费、专用燃料费、劳务费、委托业务费、工会经费、福利费、公务用车运行维护费、其他交通费用、税金及附加费用、其他商品和服务支出</w:t>
      </w:r>
      <w:r>
        <w:t>、</w:t>
      </w:r>
      <w:r>
        <w:rPr>
          <w:rFonts w:hint="eastAsia"/>
        </w:rPr>
        <w:t>办公设备购置、专用设备购置、信息网络及软件购置更新、公务用车购置。</w:t>
      </w:r>
    </w:p>
    <w:p>
      <w:pPr>
        <w:pStyle w:val="22"/>
        <w:outlineLvl w:val="1"/>
      </w:pPr>
      <w:r>
        <w:rPr>
          <w:rFonts w:hint="eastAsia"/>
        </w:rPr>
        <w:t>七、关于大连海关2025年“三公”经费预算情况说明</w:t>
      </w:r>
    </w:p>
    <w:p>
      <w:r>
        <w:rPr>
          <w:rFonts w:hint="eastAsia"/>
        </w:rPr>
        <w:t>大连海关2025年“三公”经费预算数为</w:t>
      </w:r>
      <w:r>
        <w:t>1,669.8</w:t>
      </w:r>
      <w:r>
        <w:rPr>
          <w:rFonts w:hint="eastAsia"/>
        </w:rPr>
        <w:t>5万元，比2024年预算数增加0.01万元。其中因公出国（境）费10万元</w:t>
      </w:r>
      <w:r>
        <w:rPr>
          <w:rFonts w:hint="eastAsia"/>
          <w:szCs w:val="32"/>
        </w:rPr>
        <w:t>，比2024年预算数增加10万元</w:t>
      </w:r>
      <w:r>
        <w:rPr>
          <w:rFonts w:hint="eastAsia"/>
        </w:rPr>
        <w:t>；公务用车购置费</w:t>
      </w:r>
      <w:r>
        <w:t>444.1</w:t>
      </w:r>
      <w:r>
        <w:rPr>
          <w:rFonts w:hint="eastAsia"/>
        </w:rPr>
        <w:t>万元，比2024年预算数增加192.30万元；公务用车运行费</w:t>
      </w:r>
      <w:r>
        <w:t>1169.48</w:t>
      </w:r>
      <w:r>
        <w:rPr>
          <w:rFonts w:hint="eastAsia"/>
        </w:rPr>
        <w:t>万元，比2024年预算数减少</w:t>
      </w:r>
      <w:r>
        <w:t>199.86</w:t>
      </w:r>
      <w:r>
        <w:rPr>
          <w:rFonts w:hint="eastAsia"/>
        </w:rPr>
        <w:t>万元；公务接待费</w:t>
      </w:r>
      <w:r>
        <w:t>4</w:t>
      </w:r>
      <w:r>
        <w:rPr>
          <w:rFonts w:hint="eastAsia"/>
        </w:rPr>
        <w:t>6.27万元，比2024年预算数减少2.43万元。主要是2025年公务用车购置批复规模比2024年增加。</w:t>
      </w:r>
    </w:p>
    <w:p>
      <w:pPr>
        <w:pStyle w:val="22"/>
        <w:outlineLvl w:val="1"/>
      </w:pPr>
      <w:r>
        <w:rPr>
          <w:rFonts w:hint="eastAsia"/>
        </w:rPr>
        <w:t>八、关于大连海关2025年政府性基金预算收支情况说明</w:t>
      </w:r>
    </w:p>
    <w:p>
      <w:r>
        <w:rPr>
          <w:rFonts w:hint="eastAsia"/>
        </w:rPr>
        <w:t>大连海关2025年政府性基金预算数为零，比2024年执行数减少5,783万元，降低100%，主要是超长期特别国债安排的其他支出减少。</w:t>
      </w:r>
    </w:p>
    <w:p>
      <w:pPr>
        <w:pStyle w:val="22"/>
        <w:outlineLvl w:val="1"/>
      </w:pPr>
      <w:r>
        <w:rPr>
          <w:rFonts w:hint="eastAsia"/>
        </w:rPr>
        <w:t>九、关于大连海关2025年国有资本经营预算收支情况说明</w:t>
      </w:r>
    </w:p>
    <w:p>
      <w:r>
        <w:rPr>
          <w:rFonts w:hint="eastAsia"/>
        </w:rPr>
        <w:t>大连海关2025年无国有资本经营预算收支。</w:t>
      </w:r>
    </w:p>
    <w:p>
      <w:pPr>
        <w:pStyle w:val="22"/>
        <w:outlineLvl w:val="1"/>
      </w:pPr>
      <w:r>
        <w:rPr>
          <w:rFonts w:hint="eastAsia"/>
        </w:rPr>
        <w:t>十、其他重要事项情况说明</w:t>
      </w:r>
    </w:p>
    <w:p>
      <w:pPr>
        <w:pStyle w:val="23"/>
        <w:rPr>
          <w:b/>
          <w:bCs w:val="0"/>
        </w:rPr>
      </w:pPr>
      <w:r>
        <w:rPr>
          <w:rFonts w:hint="eastAsia"/>
          <w:b/>
          <w:bCs w:val="0"/>
        </w:rPr>
        <w:t>（一）机关运行经费。</w:t>
      </w:r>
    </w:p>
    <w:p>
      <w:r>
        <w:rPr>
          <w:rFonts w:hint="eastAsia"/>
        </w:rPr>
        <w:t>2025年大连海关本级及18个隶属海关（单位）的机关运行经费财政拨款预算16192.63万元，较2024年预算数增加8.16万元，增长0</w:t>
      </w:r>
      <w:r>
        <w:t>.</w:t>
      </w:r>
      <w:r>
        <w:rPr>
          <w:rFonts w:hint="eastAsia"/>
        </w:rPr>
        <w:t>05</w:t>
      </w:r>
      <w:r>
        <w:t>%</w:t>
      </w:r>
      <w:r>
        <w:rPr>
          <w:rFonts w:hint="eastAsia"/>
        </w:rPr>
        <w:t>。</w:t>
      </w:r>
    </w:p>
    <w:p>
      <w:pPr>
        <w:pStyle w:val="23"/>
        <w:rPr>
          <w:b/>
          <w:bCs w:val="0"/>
        </w:rPr>
      </w:pPr>
      <w:r>
        <w:rPr>
          <w:rFonts w:hint="eastAsia"/>
          <w:b/>
          <w:bCs w:val="0"/>
        </w:rPr>
        <w:t>（二）政府采购情况。</w:t>
      </w:r>
    </w:p>
    <w:p>
      <w:r>
        <w:rPr>
          <w:rFonts w:hint="eastAsia"/>
        </w:rPr>
        <w:t>2025年大连海关政府采购预算总额</w:t>
      </w:r>
      <w:r>
        <w:t>14,973.06</w:t>
      </w:r>
      <w:r>
        <w:rPr>
          <w:rFonts w:hint="eastAsia"/>
        </w:rPr>
        <w:t>万元，其中：政府采购货物预算</w:t>
      </w:r>
      <w:r>
        <w:t>7,403.89</w:t>
      </w:r>
      <w:r>
        <w:rPr>
          <w:rFonts w:hint="eastAsia"/>
        </w:rPr>
        <w:t>万元、政府采购工程预算</w:t>
      </w:r>
      <w:r>
        <w:t>185.00</w:t>
      </w:r>
      <w:r>
        <w:rPr>
          <w:rFonts w:hint="eastAsia"/>
        </w:rPr>
        <w:t>万元、政府采购服务预算</w:t>
      </w:r>
      <w:r>
        <w:t>7,384.17</w:t>
      </w:r>
      <w:r>
        <w:rPr>
          <w:rFonts w:hint="eastAsia"/>
        </w:rPr>
        <w:t>万元。</w:t>
      </w:r>
    </w:p>
    <w:p>
      <w:pPr>
        <w:pStyle w:val="23"/>
        <w:rPr>
          <w:b/>
          <w:bCs w:val="0"/>
        </w:rPr>
      </w:pPr>
      <w:r>
        <w:rPr>
          <w:rFonts w:hint="eastAsia"/>
          <w:b/>
          <w:bCs w:val="0"/>
        </w:rPr>
        <w:t>（三）国有资产占有使用情况。</w:t>
      </w:r>
    </w:p>
    <w:p>
      <w:pPr>
        <w:rPr>
          <w:bCs/>
          <w:shd w:val="clear" w:color="auto" w:fill="FFFFFF"/>
        </w:rPr>
      </w:pPr>
      <w:r>
        <w:rPr>
          <w:rFonts w:hint="eastAsia"/>
          <w:shd w:val="clear" w:color="auto" w:fill="FFFFFF"/>
        </w:rPr>
        <w:t>截至</w:t>
      </w:r>
      <w:r>
        <w:rPr>
          <w:shd w:val="clear" w:color="auto" w:fill="FFFFFF"/>
        </w:rPr>
        <w:t>2024</w:t>
      </w:r>
      <w:r>
        <w:rPr>
          <w:rFonts w:hint="eastAsia"/>
          <w:shd w:val="clear" w:color="auto" w:fill="FFFFFF"/>
        </w:rPr>
        <w:t>年</w:t>
      </w:r>
      <w:r>
        <w:rPr>
          <w:shd w:val="clear" w:color="auto" w:fill="FFFFFF"/>
        </w:rPr>
        <w:t>12</w:t>
      </w:r>
      <w:r>
        <w:rPr>
          <w:rFonts w:hint="eastAsia"/>
          <w:shd w:val="clear" w:color="auto" w:fill="FFFFFF"/>
        </w:rPr>
        <w:t>月</w:t>
      </w:r>
      <w:r>
        <w:rPr>
          <w:shd w:val="clear" w:color="auto" w:fill="FFFFFF"/>
        </w:rPr>
        <w:t>31</w:t>
      </w:r>
      <w:r>
        <w:rPr>
          <w:rFonts w:hint="eastAsia"/>
          <w:shd w:val="clear" w:color="auto" w:fill="FFFFFF"/>
        </w:rPr>
        <w:t>日，大连海关所属各预算单位共有车辆</w:t>
      </w:r>
      <w:r>
        <w:rPr>
          <w:shd w:val="clear" w:color="auto" w:fill="FFFFFF"/>
        </w:rPr>
        <w:t>30</w:t>
      </w:r>
      <w:r>
        <w:rPr>
          <w:rFonts w:hint="eastAsia"/>
          <w:shd w:val="clear" w:color="auto" w:fill="FFFFFF"/>
        </w:rPr>
        <w:t>5辆，其中，轿车</w:t>
      </w:r>
      <w:r>
        <w:rPr>
          <w:shd w:val="clear" w:color="auto" w:fill="FFFFFF"/>
        </w:rPr>
        <w:t>94</w:t>
      </w:r>
      <w:r>
        <w:rPr>
          <w:rFonts w:hint="eastAsia"/>
          <w:shd w:val="clear" w:color="auto" w:fill="FFFFFF"/>
        </w:rPr>
        <w:t>辆、越野车</w:t>
      </w:r>
      <w:r>
        <w:rPr>
          <w:shd w:val="clear" w:color="auto" w:fill="FFFFFF"/>
        </w:rPr>
        <w:t>31</w:t>
      </w:r>
      <w:r>
        <w:rPr>
          <w:rFonts w:hint="eastAsia"/>
          <w:shd w:val="clear" w:color="auto" w:fill="FFFFFF"/>
        </w:rPr>
        <w:t>辆、小型载客汽车</w:t>
      </w:r>
      <w:r>
        <w:rPr>
          <w:shd w:val="clear" w:color="auto" w:fill="FFFFFF"/>
        </w:rPr>
        <w:t>91</w:t>
      </w:r>
      <w:r>
        <w:rPr>
          <w:rFonts w:hint="eastAsia"/>
          <w:shd w:val="clear" w:color="auto" w:fill="FFFFFF"/>
        </w:rPr>
        <w:t>辆、大中型载客汽车</w:t>
      </w:r>
      <w:r>
        <w:rPr>
          <w:shd w:val="clear" w:color="auto" w:fill="FFFFFF"/>
        </w:rPr>
        <w:t>8</w:t>
      </w:r>
      <w:r>
        <w:rPr>
          <w:rFonts w:hint="eastAsia"/>
          <w:shd w:val="clear" w:color="auto" w:fill="FFFFFF"/>
        </w:rPr>
        <w:t>5辆、其他用车</w:t>
      </w:r>
      <w:r>
        <w:rPr>
          <w:shd w:val="clear" w:color="auto" w:fill="FFFFFF"/>
        </w:rPr>
        <w:t>4</w:t>
      </w:r>
      <w:r>
        <w:rPr>
          <w:rFonts w:hint="eastAsia"/>
          <w:shd w:val="clear" w:color="auto" w:fill="FFFFFF"/>
        </w:rPr>
        <w:t>辆，其他用车主要是特种专业用车、事业单位载客载货车辆。</w:t>
      </w:r>
    </w:p>
    <w:p>
      <w:pPr>
        <w:rPr>
          <w:bCs/>
          <w:shd w:val="clear" w:color="auto" w:fill="FFFFFF"/>
        </w:rPr>
      </w:pPr>
      <w:r>
        <w:rPr>
          <w:shd w:val="clear" w:color="auto" w:fill="FFFFFF"/>
        </w:rPr>
        <w:t>2025</w:t>
      </w:r>
      <w:r>
        <w:rPr>
          <w:rFonts w:hint="eastAsia"/>
          <w:shd w:val="clear" w:color="auto" w:fill="FFFFFF"/>
        </w:rPr>
        <w:t>年部门预算安排购置车辆</w:t>
      </w:r>
      <w:r>
        <w:rPr>
          <w:shd w:val="clear" w:color="auto" w:fill="FFFFFF"/>
        </w:rPr>
        <w:t>10</w:t>
      </w:r>
      <w:r>
        <w:rPr>
          <w:rFonts w:hint="eastAsia"/>
          <w:shd w:val="clear" w:color="auto" w:fill="FFFFFF"/>
        </w:rPr>
        <w:t>辆，其中，执法执勤用车</w:t>
      </w:r>
      <w:r>
        <w:rPr>
          <w:shd w:val="clear" w:color="auto" w:fill="FFFFFF"/>
        </w:rPr>
        <w:t>7</w:t>
      </w:r>
      <w:r>
        <w:rPr>
          <w:rFonts w:hint="eastAsia"/>
          <w:shd w:val="clear" w:color="auto" w:fill="FFFFFF"/>
        </w:rPr>
        <w:t>辆、机要通信用车</w:t>
      </w:r>
      <w:r>
        <w:rPr>
          <w:shd w:val="clear" w:color="auto" w:fill="FFFFFF"/>
        </w:rPr>
        <w:t>1</w:t>
      </w:r>
      <w:r>
        <w:rPr>
          <w:rFonts w:hint="eastAsia"/>
          <w:shd w:val="clear" w:color="auto" w:fill="FFFFFF"/>
        </w:rPr>
        <w:t>辆、应急保障用车</w:t>
      </w:r>
      <w:r>
        <w:rPr>
          <w:shd w:val="clear" w:color="auto" w:fill="FFFFFF"/>
        </w:rPr>
        <w:t>2</w:t>
      </w:r>
      <w:r>
        <w:rPr>
          <w:rFonts w:hint="eastAsia"/>
          <w:shd w:val="clear" w:color="auto" w:fill="FFFFFF"/>
        </w:rPr>
        <w:t>辆。单位价值</w:t>
      </w:r>
      <w:r>
        <w:rPr>
          <w:shd w:val="clear" w:color="auto" w:fill="FFFFFF"/>
        </w:rPr>
        <w:t>100</w:t>
      </w:r>
      <w:r>
        <w:rPr>
          <w:rFonts w:hint="eastAsia"/>
          <w:shd w:val="clear" w:color="auto" w:fill="FFFFFF"/>
        </w:rPr>
        <w:t>万元以上的设备</w:t>
      </w:r>
      <w:r>
        <w:rPr>
          <w:shd w:val="clear" w:color="auto" w:fill="FFFFFF"/>
        </w:rPr>
        <w:t>8</w:t>
      </w:r>
      <w:r>
        <w:rPr>
          <w:rFonts w:hint="eastAsia"/>
          <w:shd w:val="clear" w:color="auto" w:fill="FFFFFF"/>
        </w:rPr>
        <w:t>台（套）。</w:t>
      </w:r>
    </w:p>
    <w:p>
      <w:pPr>
        <w:pStyle w:val="23"/>
        <w:rPr>
          <w:b/>
          <w:bCs w:val="0"/>
        </w:rPr>
      </w:pPr>
      <w:r>
        <w:rPr>
          <w:rFonts w:hint="eastAsia"/>
          <w:b/>
          <w:bCs w:val="0"/>
        </w:rPr>
        <w:t>（四）预算绩效情况说明。</w:t>
      </w:r>
    </w:p>
    <w:p>
      <w:pPr>
        <w:rPr>
          <w:shd w:val="clear" w:color="auto" w:fill="FFFFFF"/>
        </w:rPr>
      </w:pPr>
      <w:r>
        <w:rPr>
          <w:rFonts w:hint="eastAsia"/>
          <w:shd w:val="clear" w:color="auto" w:fill="FFFFFF"/>
        </w:rPr>
        <w:t>2025年大连海关一般公共预算拨款项目实施全面绩效目标管理，涉及</w:t>
      </w:r>
      <w:r>
        <w:rPr>
          <w:shd w:val="clear" w:color="auto" w:fill="FFFFFF"/>
        </w:rPr>
        <w:t>21</w:t>
      </w:r>
      <w:r>
        <w:rPr>
          <w:rFonts w:hint="eastAsia"/>
          <w:shd w:val="clear" w:color="auto" w:fill="FFFFFF"/>
        </w:rPr>
        <w:t>个三级预算单位的一般公共预算财政拨款</w:t>
      </w:r>
      <w:r>
        <w:rPr>
          <w:shd w:val="clear" w:color="auto" w:fill="FFFFFF"/>
        </w:rPr>
        <w:t>1</w:t>
      </w:r>
      <w:r>
        <w:rPr>
          <w:rFonts w:hint="eastAsia"/>
          <w:shd w:val="clear" w:color="auto" w:fill="FFFFFF"/>
        </w:rPr>
        <w:t>4</w:t>
      </w:r>
      <w:r>
        <w:rPr>
          <w:shd w:val="clear" w:color="auto" w:fill="FFFFFF"/>
        </w:rPr>
        <w:t>,</w:t>
      </w:r>
      <w:r>
        <w:rPr>
          <w:rFonts w:hint="eastAsia"/>
          <w:shd w:val="clear" w:color="auto" w:fill="FFFFFF"/>
        </w:rPr>
        <w:t>585.30万元，一级项目11个，二级项目</w:t>
      </w:r>
      <w:r>
        <w:rPr>
          <w:shd w:val="clear" w:color="auto" w:fill="FFFFFF"/>
        </w:rPr>
        <w:t>1</w:t>
      </w:r>
      <w:r>
        <w:rPr>
          <w:rFonts w:hint="eastAsia"/>
          <w:shd w:val="clear" w:color="auto" w:fill="FFFFFF"/>
        </w:rPr>
        <w:t>30个。大连海关项目绩效目标表由各项目实施单位具体负责公开。</w:t>
      </w:r>
    </w:p>
    <w:p/>
    <w:p>
      <w:r>
        <w:br w:type="page"/>
      </w:r>
    </w:p>
    <w:p>
      <w:pPr>
        <w:spacing w:line="240" w:lineRule="auto"/>
        <w:ind w:firstLineChars="0" w:firstLine="0"/>
        <w:jc w:val="center"/>
        <w:rPr>
          <w:rFonts w:ascii="方正小标宋_GBK" w:eastAsia="方正小标宋_GBK"/>
          <w:sz w:val="72"/>
          <w:szCs w:val="72"/>
        </w:rPr>
      </w:pPr>
    </w:p>
    <w:p>
      <w:pPr>
        <w:spacing w:line="240" w:lineRule="auto"/>
        <w:ind w:firstLineChars="0" w:firstLine="0"/>
        <w:jc w:val="center"/>
        <w:rPr>
          <w:rFonts w:ascii="方正小标宋_GBK" w:eastAsia="方正小标宋_GBK"/>
          <w:sz w:val="72"/>
          <w:szCs w:val="72"/>
        </w:rPr>
      </w:pPr>
    </w:p>
    <w:p>
      <w:pPr>
        <w:spacing w:line="240" w:lineRule="auto"/>
        <w:ind w:firstLineChars="0" w:firstLine="0"/>
        <w:jc w:val="center"/>
        <w:rPr>
          <w:rFonts w:ascii="方正小标宋_GBK" w:eastAsia="方正小标宋_GBK"/>
          <w:sz w:val="72"/>
          <w:szCs w:val="72"/>
        </w:rPr>
      </w:pPr>
    </w:p>
    <w:p>
      <w:pPr>
        <w:spacing w:line="240" w:lineRule="auto"/>
        <w:ind w:firstLineChars="0" w:firstLine="0"/>
        <w:jc w:val="center"/>
        <w:rPr>
          <w:rFonts w:ascii="方正小标宋_GBK" w:eastAsia="方正小标宋_GBK"/>
          <w:sz w:val="72"/>
          <w:szCs w:val="72"/>
        </w:rPr>
      </w:pPr>
    </w:p>
    <w:p>
      <w:pPr>
        <w:spacing w:line="240" w:lineRule="auto"/>
        <w:ind w:firstLineChars="0" w:firstLine="0"/>
        <w:jc w:val="center"/>
        <w:outlineLvl w:val="0"/>
        <w:rPr>
          <w:rFonts w:ascii="方正小标宋_GBK" w:eastAsia="方正小标宋_GBK"/>
          <w:sz w:val="84"/>
          <w:szCs w:val="84"/>
        </w:rPr>
      </w:pPr>
      <w:r>
        <w:rPr>
          <w:rFonts w:ascii="方正小标宋_GBK" w:eastAsia="方正小标宋_GBK" w:hint="eastAsia"/>
          <w:sz w:val="84"/>
          <w:szCs w:val="84"/>
        </w:rPr>
        <w:t>第四部分</w:t>
      </w:r>
      <w:r>
        <w:rPr>
          <w:rFonts w:ascii="方正小标宋_GBK" w:eastAsia="方正小标宋_GBK"/>
          <w:sz w:val="84"/>
          <w:szCs w:val="84"/>
        </w:rPr>
        <w:br/>
      </w:r>
      <w:r>
        <w:rPr>
          <w:rFonts w:ascii="方正小标宋_GBK" w:eastAsia="方正小标宋_GBK" w:hint="eastAsia"/>
          <w:sz w:val="84"/>
          <w:szCs w:val="84"/>
        </w:rPr>
        <w:t>名词解释</w:t>
      </w:r>
    </w:p>
    <w:p>
      <w:r>
        <w:br w:type="page"/>
      </w:r>
      <w:r>
        <w:rPr>
          <w:rFonts w:hint="eastAsia"/>
          <w:b/>
          <w:bCs/>
        </w:rPr>
        <w:t>一、一般公共预算拨款收入：</w:t>
      </w:r>
      <w:r>
        <w:rPr>
          <w:rFonts w:hint="eastAsia"/>
        </w:rPr>
        <w:t>指中央财政当年拨付的资金。</w:t>
      </w:r>
    </w:p>
    <w:p>
      <w:r>
        <w:rPr>
          <w:rFonts w:hint="eastAsia"/>
          <w:b/>
          <w:bCs/>
        </w:rPr>
        <w:t>二、事业收入：</w:t>
      </w:r>
      <w:r>
        <w:rPr>
          <w:rFonts w:hint="eastAsia"/>
        </w:rPr>
        <w:t>指海关系统所属事业单位开展专业业务活动及辅助活动取得的收入。</w:t>
      </w:r>
    </w:p>
    <w:p>
      <w:r>
        <w:rPr>
          <w:rFonts w:hint="eastAsia"/>
          <w:b/>
          <w:bCs/>
        </w:rPr>
        <w:t>三、事业单位经营收入：</w:t>
      </w:r>
      <w:r>
        <w:rPr>
          <w:rFonts w:hint="eastAsia"/>
        </w:rPr>
        <w:t>指海关系统所属事业单位在专业业务活动及辅助活动之外，开展非独立核算经营活动取得的收入。</w:t>
      </w:r>
    </w:p>
    <w:p>
      <w:r>
        <w:rPr>
          <w:rFonts w:hint="eastAsia"/>
          <w:b/>
          <w:bCs/>
        </w:rPr>
        <w:t>四、其他收入：</w:t>
      </w:r>
      <w:r>
        <w:rPr>
          <w:rFonts w:hint="eastAsia"/>
        </w:rPr>
        <w:t>指海关系统取得的除上述财政拨款收入、事业收入、事业单位经营收入等以外的收入。</w:t>
      </w:r>
    </w:p>
    <w:p>
      <w:r>
        <w:rPr>
          <w:rFonts w:hint="eastAsia"/>
          <w:b/>
          <w:bCs/>
        </w:rPr>
        <w:t>五、使用非财政拨款结余：</w:t>
      </w:r>
      <w:r>
        <w:rPr>
          <w:rFonts w:hint="eastAsia"/>
        </w:rPr>
        <w:t>指海关系统所属事业单位预计收入小于支出时，用非财政拨款结余弥补本年度收支差额的数额。</w:t>
      </w:r>
    </w:p>
    <w:p>
      <w:r>
        <w:rPr>
          <w:rFonts w:hint="eastAsia"/>
          <w:b/>
          <w:bCs/>
        </w:rPr>
        <w:t>六、上年结转：</w:t>
      </w:r>
      <w:r>
        <w:rPr>
          <w:rFonts w:hint="eastAsia"/>
        </w:rPr>
        <w:t>指以前年度尚未完成、结转到本年仍按原规定用途继续使用的资金等。</w:t>
      </w:r>
    </w:p>
    <w:p>
      <w:r>
        <w:rPr>
          <w:rFonts w:hint="eastAsia"/>
          <w:b/>
          <w:bCs/>
        </w:rPr>
        <w:t>七、一般公共服务支出（类）海关事务（款）：</w:t>
      </w:r>
      <w:r>
        <w:rPr>
          <w:rFonts w:hint="eastAsia"/>
        </w:rPr>
        <w:t>反映海关用于系统行政和事业单位的基本支出及完成专项业务工作的项目支出。</w:t>
      </w:r>
    </w:p>
    <w:p>
      <w:r>
        <w:rPr>
          <w:rFonts w:hint="eastAsia"/>
          <w:b/>
          <w:bCs/>
        </w:rPr>
        <w:t>（一）行政运行（项）：</w:t>
      </w:r>
      <w:r>
        <w:rPr>
          <w:rFonts w:hint="eastAsia"/>
        </w:rPr>
        <w:t>反映海关系统行政单位的基本支出。</w:t>
      </w:r>
    </w:p>
    <w:p>
      <w:r>
        <w:rPr>
          <w:rFonts w:hint="eastAsia"/>
          <w:b/>
          <w:bCs/>
        </w:rPr>
        <w:t>（二）一般行政管理事务（项）：</w:t>
      </w:r>
      <w:r>
        <w:rPr>
          <w:rFonts w:hint="eastAsia"/>
        </w:rPr>
        <w:t>反映海关系统行政单位未单独设置项级科目的其他项目支出。</w:t>
      </w:r>
    </w:p>
    <w:p>
      <w:r>
        <w:rPr>
          <w:rFonts w:hint="eastAsia"/>
          <w:b/>
          <w:bCs/>
        </w:rPr>
        <w:t>（三）机关服务（项）：</w:t>
      </w:r>
      <w:r>
        <w:rPr>
          <w:rFonts w:hint="eastAsia"/>
        </w:rPr>
        <w:t>反映海关系统为行政单位提供后勤服务的各类后勤服务中心等附属事业单位的支出。</w:t>
      </w:r>
    </w:p>
    <w:p>
      <w:r>
        <w:rPr>
          <w:rFonts w:hint="eastAsia"/>
          <w:b/>
          <w:bCs/>
        </w:rPr>
        <w:t>（四）缉私办案（项）：</w:t>
      </w:r>
      <w:r>
        <w:rPr>
          <w:rFonts w:hint="eastAsia"/>
        </w:rPr>
        <w:t>反映海关用于缉私办案方面的支出。</w:t>
      </w:r>
    </w:p>
    <w:p>
      <w:r>
        <w:rPr>
          <w:rFonts w:hint="eastAsia"/>
          <w:b/>
          <w:bCs/>
        </w:rPr>
        <w:t>（五）口岸管理（项）：</w:t>
      </w:r>
      <w:r>
        <w:rPr>
          <w:rFonts w:hint="eastAsia"/>
        </w:rPr>
        <w:t>反映口岸业务管理及电子口岸建设、运行维护方面的支出。</w:t>
      </w:r>
    </w:p>
    <w:p>
      <w:r>
        <w:rPr>
          <w:rFonts w:hint="eastAsia"/>
          <w:b/>
          <w:bCs/>
        </w:rPr>
        <w:t>（六）信息化建设（项）：</w:t>
      </w:r>
      <w:r>
        <w:rPr>
          <w:rFonts w:hint="eastAsia"/>
        </w:rPr>
        <w:t>反映海关系统用于信息化建设及运行维护等方面的支出。</w:t>
      </w:r>
    </w:p>
    <w:p>
      <w:r>
        <w:rPr>
          <w:rFonts w:hint="eastAsia"/>
          <w:b/>
          <w:bCs/>
        </w:rPr>
        <w:t>（七）海关关务（项）：</w:t>
      </w:r>
      <w:r>
        <w:rPr>
          <w:rFonts w:hint="eastAsia"/>
        </w:rPr>
        <w:t>反映为海关行政执法提供业务保障、支持能力以及基础设施建设、设备设施运维等方面的支出。</w:t>
      </w:r>
    </w:p>
    <w:p>
      <w:r>
        <w:rPr>
          <w:rFonts w:hint="eastAsia"/>
          <w:b/>
          <w:bCs/>
        </w:rPr>
        <w:t>（八）关税征管（项）：</w:t>
      </w:r>
      <w:r>
        <w:rPr>
          <w:rFonts w:hint="eastAsia"/>
        </w:rPr>
        <w:t>反映海关系统用于关税及其他税费征管方面的支出。</w:t>
      </w:r>
    </w:p>
    <w:p>
      <w:r>
        <w:rPr>
          <w:rFonts w:hint="eastAsia"/>
          <w:b/>
          <w:bCs/>
        </w:rPr>
        <w:t>（九）海关监管（项）：</w:t>
      </w:r>
      <w:r>
        <w:rPr>
          <w:rFonts w:hint="eastAsia"/>
        </w:rPr>
        <w:t>反映海关系统用于监管执法、业务管理及相关设备、技术支持方面的支出。</w:t>
      </w:r>
    </w:p>
    <w:p>
      <w:r>
        <w:rPr>
          <w:rFonts w:hint="eastAsia"/>
          <w:b/>
          <w:bCs/>
        </w:rPr>
        <w:t>（十）检验检疫（项）：</w:t>
      </w:r>
      <w:r>
        <w:rPr>
          <w:rFonts w:hint="eastAsia"/>
        </w:rPr>
        <w:t>反映海关系统用于出入境检验检疫行政执法、业务管理及相关技术支持方面的支出。</w:t>
      </w:r>
    </w:p>
    <w:p>
      <w:r>
        <w:rPr>
          <w:rFonts w:hint="eastAsia"/>
          <w:b/>
          <w:bCs/>
        </w:rPr>
        <w:t>（十一）事业运行（项）：</w:t>
      </w:r>
      <w:r>
        <w:rPr>
          <w:rFonts w:hint="eastAsia"/>
        </w:rPr>
        <w:t>反映海关事业单位的基本支出，不包括行政单位后勤服务中心等附属事业单位。</w:t>
      </w:r>
    </w:p>
    <w:p>
      <w:r>
        <w:rPr>
          <w:rFonts w:hint="eastAsia"/>
          <w:b/>
          <w:bCs/>
        </w:rPr>
        <w:t>（十二）其他海关事务支出（项）：</w:t>
      </w:r>
      <w:r>
        <w:rPr>
          <w:rFonts w:hint="eastAsia"/>
        </w:rPr>
        <w:t>反映除上述项目以外其他海关事务方面的支出。</w:t>
      </w:r>
    </w:p>
    <w:p>
      <w:r>
        <w:rPr>
          <w:rFonts w:hint="eastAsia"/>
          <w:b/>
          <w:bCs/>
        </w:rPr>
        <w:t>八、公共安全支出（类）缉私警察（款）：</w:t>
      </w:r>
      <w:r>
        <w:rPr>
          <w:rFonts w:hint="eastAsia"/>
        </w:rPr>
        <w:t>反映海关缉私警察的基本支出及完成专项业务工作的项目支出。</w:t>
      </w:r>
    </w:p>
    <w:p>
      <w:r>
        <w:rPr>
          <w:rFonts w:hint="eastAsia"/>
          <w:b/>
          <w:bCs/>
        </w:rPr>
        <w:t>九、社会保障和就业支出（类）行政事业单位养老支出（款）：</w:t>
      </w:r>
      <w:r>
        <w:rPr>
          <w:rFonts w:hint="eastAsia"/>
        </w:rPr>
        <w:t>反映用于海关行政事业单位离退休方面的支出。</w:t>
      </w:r>
    </w:p>
    <w:p>
      <w:r>
        <w:rPr>
          <w:rFonts w:hint="eastAsia"/>
          <w:b/>
          <w:bCs/>
        </w:rPr>
        <w:t>（一）行政单位离退休（项）：</w:t>
      </w:r>
      <w:r>
        <w:rPr>
          <w:rFonts w:hint="eastAsia"/>
        </w:rPr>
        <w:t>反映海关系统行政单位开支的离退休支出。</w:t>
      </w:r>
    </w:p>
    <w:p>
      <w:r>
        <w:rPr>
          <w:rFonts w:hint="eastAsia"/>
          <w:b/>
          <w:bCs/>
        </w:rPr>
        <w:t>（二）事业单位离退休（项）：</w:t>
      </w:r>
      <w:r>
        <w:rPr>
          <w:rFonts w:hint="eastAsia"/>
        </w:rPr>
        <w:t>反映海关系统事业单位开支的离退休经费。</w:t>
      </w:r>
    </w:p>
    <w:p>
      <w:r>
        <w:rPr>
          <w:rFonts w:hint="eastAsia"/>
          <w:b/>
          <w:bCs/>
        </w:rPr>
        <w:t>（三）机关事业单位基本养老保险缴费支出（项）：</w:t>
      </w:r>
      <w:r>
        <w:rPr>
          <w:rFonts w:hint="eastAsia"/>
        </w:rPr>
        <w:t>反映已参加当地社保的在职人员的基本养老保险支出。</w:t>
      </w:r>
    </w:p>
    <w:p>
      <w:r>
        <w:rPr>
          <w:rFonts w:hint="eastAsia"/>
          <w:b/>
          <w:bCs/>
        </w:rPr>
        <w:t>（四）机关事业单位职业年金缴费支出（项）：</w:t>
      </w:r>
      <w:r>
        <w:rPr>
          <w:rFonts w:hint="eastAsia"/>
        </w:rPr>
        <w:t>反映已参加当地社保的在职人员的职业年金支出。</w:t>
      </w:r>
    </w:p>
    <w:p>
      <w:r>
        <w:rPr>
          <w:rFonts w:hint="eastAsia"/>
          <w:b/>
          <w:bCs/>
        </w:rPr>
        <w:t>十、住房保障支出（类）住房改革支出（款）：</w:t>
      </w:r>
      <w:r>
        <w:rPr>
          <w:rFonts w:hint="eastAsia"/>
        </w:rPr>
        <w:t>反映海关系统按照国家政策规定为职工发放的住房公积金和购房补贴等支出。</w:t>
      </w:r>
    </w:p>
    <w:p>
      <w:r>
        <w:rPr>
          <w:rFonts w:hint="eastAsia"/>
          <w:b/>
          <w:bCs/>
        </w:rPr>
        <w:t>（一）住房公积金（项）：</w:t>
      </w:r>
      <w:r>
        <w:rPr>
          <w:rFonts w:hint="eastAsia"/>
        </w:rPr>
        <w:t>住房公积金是按照《住房公积金管理条例》的规定，由单位及其在职职工缴存的长期住房储金。该项政策始于上世纪九十年代中期，在全国机关、企事业单位在职职工中普遍实施，缴存比例最低不低于 5％，最高不超过 12％，缴存基数为职工本人上年工资，目前已实施近 20 年时间。行政单位缴存基数包括国家统一规定的公务员职务工资、级别工资、机关工人岗位工资和技术等级（职务）工资、年终一次性奖金、特殊岗位津贴、艰苦边远地区津贴，规范后发放的工作性津贴、生活性补贴等；事业单位缴存基数包括国家统一规定的岗位工资、薪级工资、绩效工资、艰苦边远地区津贴、特殊岗位津贴等。</w:t>
      </w:r>
    </w:p>
    <w:p>
      <w:r>
        <w:rPr>
          <w:rFonts w:hint="eastAsia"/>
          <w:b/>
          <w:bCs/>
        </w:rPr>
        <w:t>（二）购房补贴（项）：</w:t>
      </w:r>
      <w:r>
        <w:rPr>
          <w:rFonts w:hint="eastAsia"/>
        </w:rPr>
        <w:t>购房补贴是根据《国务院关于进一步深化城镇住房制度改革加快住房建设的通知》（国发〔1998〕23 号）的规定，从 1998 年下半年停止实物分房后，房价收入比超过 4 倍以上地区对无房和住房未达标职工发放的住房货币化改革补贴资金。中央行政事业单位从 2000年开始发放购房补贴资金，地方行政事业单位从 1999 年陆续开始发放购房补贴资金，企业根据本单位情况自行确定。京外中央单位按照所在地人民政府住房分配货币化改革的政策规定和标准执行。</w:t>
      </w:r>
    </w:p>
    <w:p>
      <w:r>
        <w:rPr>
          <w:rFonts w:hint="eastAsia"/>
          <w:b/>
          <w:bCs/>
        </w:rPr>
        <w:t>十一、卫生健康支出（类）行政事业单位医疗（款）：</w:t>
      </w:r>
      <w:r>
        <w:rPr>
          <w:rFonts w:hint="eastAsia"/>
        </w:rPr>
        <w:t>反映已参加当地医保的海关单位用于向地方社保部门缴纳的基本医疗保险和公务员医疗补助支出。</w:t>
      </w:r>
    </w:p>
    <w:p>
      <w:r>
        <w:rPr>
          <w:rFonts w:hint="eastAsia"/>
          <w:b/>
          <w:bCs/>
        </w:rPr>
        <w:t>（一）行政单位医疗（项）：</w:t>
      </w:r>
      <w:r>
        <w:rPr>
          <w:rFonts w:hint="eastAsia"/>
        </w:rPr>
        <w:t>指中央财政集中安排的驻各地海关单位基本医疗保险缴费经费。</w:t>
      </w:r>
    </w:p>
    <w:p>
      <w:r>
        <w:rPr>
          <w:rFonts w:hint="eastAsia"/>
          <w:b/>
          <w:bCs/>
        </w:rPr>
        <w:t>（二）公务员医疗补助（项）：</w:t>
      </w:r>
      <w:r>
        <w:rPr>
          <w:rFonts w:hint="eastAsia"/>
        </w:rPr>
        <w:t>指中央财政集中安排的驻各地海关单位公务员医疗补助经费。</w:t>
      </w:r>
    </w:p>
    <w:p>
      <w:r>
        <w:rPr>
          <w:rFonts w:hint="eastAsia"/>
          <w:b/>
          <w:bCs/>
        </w:rPr>
        <w:t>十二、“三公”经费：</w:t>
      </w:r>
      <w:r>
        <w:rPr>
          <w:rFonts w:hint="eastAsia"/>
        </w:rPr>
        <w:t>纳入中央财政预决算管理的“三公”经费，是指中央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燃料费、维修费、过路过桥费、保险费、安全奖励费用等支出；公务接待费反映单位按规定开支的各类公务接待（含外宾接待）支出。</w:t>
      </w:r>
    </w:p>
    <w:p>
      <w:r>
        <w:rPr>
          <w:rFonts w:hint="eastAsia"/>
          <w:b/>
          <w:bCs/>
        </w:rPr>
        <w:t>十三、机关运行经费：</w:t>
      </w:r>
      <w:r>
        <w:rPr>
          <w:rFonts w:hint="eastAsia"/>
        </w:rPr>
        <w:t>为保障行政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widowControl/>
        <w:overflowPunct/>
        <w:spacing w:line="240" w:lineRule="auto"/>
        <w:ind w:firstLineChars="0" w:firstLine="0"/>
        <w:jc w:val="left"/>
      </w:pPr>
    </w:p>
    <w:sect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黑体">
    <w:altName w:val="SimHei"/>
    <w:panose1 w:val="02010609060101010101"/>
    <w:charset w:val="86"/>
    <w:family w:val="modern"/>
    <w:pitch w:val="variable"/>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_GBK">
    <w:panose1 w:val="03000509000000000000"/>
    <w:charset w:val="86"/>
    <w:family w:val="script"/>
    <w:pitch w:val="variable"/>
    <w:sig w:usb0="00000001" w:usb1="080E0000" w:usb2="00000010" w:usb3="00000000" w:csb0="00040000" w:csb1="00000000"/>
  </w:font>
  <w:font w:name="方正黑体_GBK">
    <w:panose1 w:val="03000509000000000000"/>
    <w:charset w:val="86"/>
    <w:family w:val="script"/>
    <w:pitch w:val="variable"/>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等线">
    <w:altName w:val="微软雅黑"/>
    <w:panose1 w:val="00000000000000000000"/>
    <w:charset w:val="86"/>
    <w:family w:val="auto"/>
    <w:pitch w:val="variable"/>
    <w:sig w:usb0="00000000" w:usb1="38CF7CFA" w:usb2="00000016" w:usb3="00000000" w:csb0="0004000F" w:csb1="00000000"/>
  </w:font>
  <w:font w:name="方正仿宋_GBK">
    <w:panose1 w:val="03000509000000000000"/>
    <w:charset w:val="86"/>
    <w:family w:val="script"/>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等线 Light">
    <w:altName w:val="微软雅黑"/>
    <w:panose1 w:val="00000000000000000000"/>
    <w:charset w:val="86"/>
    <w:family w:val="auto"/>
    <w:pitch w:val="variable"/>
    <w:sig w:usb0="00000000" w:usb1="38CF7CFA" w:usb2="00000016" w:usb3="00000000" w:csb0="0004000F" w:csb1="00000000"/>
  </w:font>
  <w:font w:name="方正楷体_GBK">
    <w:panose1 w:val="03000509000000000000"/>
    <w:charset w:val="86"/>
    <w:family w:val="script"/>
    <w:pitch w:val="variable"/>
    <w:sig w:usb0="00000001" w:usb1="080E0000" w:usb2="00000010" w:usb3="00000000" w:csb0="0004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6"/>
      <w:tabs>
        <w:tab w:val="center" w:pos="4153"/>
        <w:tab w:val="right" w:pos="8306"/>
      </w:tabs>
      <w:ind w:firstLineChars="0" w:firstLine="0"/>
      <w:jc w:val="center"/>
      <w:rPr>
        <w:sz w:val="28"/>
        <w:szCs w:val="28"/>
      </w:rPr>
    </w:pPr>
    <w:r>
      <w:rPr>
        <w:sz w:val="28"/>
        <w:szCs w:val="28"/>
      </w:rPr>
      <w:fldChar w:fldCharType="begin"/>
    </w:r>
    <w:r>
      <w:rPr>
        <w:sz w:val="28"/>
        <w:szCs w:val="28"/>
      </w:rPr>
      <w:instrText>PAGE   \* MERGEFORMAT</w:instrText>
    </w:r>
    <w:r>
      <w:rPr>
        <w:sz w:val="28"/>
        <w:szCs w:val="28"/>
      </w:rPr>
      <w:fldChar w:fldCharType="separate"/>
    </w:r>
    <w:r>
      <w:rPr>
        <w:sz w:val="28"/>
        <w:szCs w:val="28"/>
        <w:lang w:val="zh-CN"/>
      </w:rPr>
      <w:t>1</w:t>
    </w:r>
    <w:r>
      <w:rPr>
        <w:sz w:val="28"/>
        <w:szCs w:val="28"/>
      </w:rPr>
      <w:fldChar w:fldCharType="end"/>
    </w: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hdr>
</file>

<file path=word/header2.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hd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88"/>
  <w:doNotDisplayPageBoundaries/>
  <w:bordersDoNotSurroundHeader/>
  <w:bordersDoNotSurroundFooter/>
  <w:defaultTabStop w:val="420"/>
  <w:drawingGridHorizontalSpacing w:val="160"/>
  <w:drawingGridVerticalSpacing w:val="435"/>
  <w:displayHorizontalDrawingGridEvery w:val="0"/>
  <w:displayVerticalDrawingGridEvery w:val="1"/>
  <w:characterSpacingControl w:val="compressPunctuation"/>
  <w:compat>
    <w:spaceForUL/>
    <w:balanceSingleByteDoubleByteWidth/>
    <w:ulTrailSpace/>
    <w:doNotExpandShiftReturn/>
    <w:adjustLineHeightInTable/>
    <w:compatSetting w:name="compatibilityMode" w:uri="http://schemas.microsoft.com/office/word" w:val="14"/>
  </w:compat>
  <w:docVars>
    <w:docVar w:name="commondata" w:val="eyJoZGlkIjoiOTFhNzY0N2NjMTY2ZWZkNDUyMjVlOTIzZDZmOWFlMmI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overflowPunct w:val="0"/>
      <w:spacing w:line="560" w:lineRule="exact"/>
      <w:ind w:firstLineChars="200" w:firstLine="200"/>
      <w:jc w:val="both"/>
    </w:pPr>
    <w:rPr>
      <w:rFonts w:ascii="Times New Roman" w:eastAsia="方正仿宋_GBK" w:cs="Arial" w:hAnsi="Times New Roman"/>
      <w:kern w:val="2"/>
      <w:sz w:val="32"/>
      <w:szCs w:val="22"/>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szCs w:val="44"/>
    </w:rPr>
  </w:style>
  <w:style w:type="paragraph" w:styleId="2">
    <w:name w:val="heading 2"/>
    <w:basedOn w:val="0"/>
    <w:next w:val="0"/>
    <w:pPr>
      <w:keepNext/>
      <w:keepLines/>
      <w:widowControl w:val="0"/>
      <w:spacing w:before="260" w:after="260" w:line="415" w:lineRule="auto"/>
      <w:outlineLvl w:val="1"/>
    </w:pPr>
    <w:rPr>
      <w:rFonts w:ascii="等线 Light" w:eastAsia="等线 Light" w:cs="Times New Roman"/>
      <w:b/>
      <w:bCs/>
      <w:szCs w:val="32"/>
    </w:rPr>
  </w:style>
  <w:style w:type="character" w:default="1" w:styleId="10">
    <w:name w:val="Default Paragraph Font"/>
  </w:style>
  <w:style w:type="paragraph" w:styleId="15">
    <w:name w:val="annotation text"/>
    <w:basedOn w:val="0"/>
    <w:pPr>
      <w:jc w:val="left"/>
    </w:pPr>
  </w:style>
  <w:style w:type="paragraph" w:styleId="16">
    <w:name w:val="footer"/>
    <w:basedOn w:val="0"/>
    <w:pPr>
      <w:tabs>
        <w:tab w:val="center" w:pos="4153"/>
        <w:tab w:val="right" w:pos="8306"/>
      </w:tabs>
      <w:snapToGrid w:val="0"/>
      <w:spacing w:line="240" w:lineRule="atLeast"/>
      <w:jc w:val="left"/>
    </w:pPr>
    <w:rPr>
      <w:sz w:val="18"/>
      <w:szCs w:val="18"/>
    </w:rPr>
  </w:style>
  <w:style w:type="paragraph" w:styleId="17">
    <w:name w:val="header"/>
    <w:basedOn w:val="0"/>
    <w:pPr>
      <w:pBdr>
        <w:bottom w:val="single" w:sz="6" w:space="1" w:color="auto"/>
      </w:pBdr>
      <w:tabs>
        <w:tab w:val="center" w:pos="4153"/>
        <w:tab w:val="right" w:pos="8306"/>
      </w:tabs>
      <w:snapToGrid w:val="0"/>
      <w:spacing w:line="240" w:lineRule="atLeast"/>
      <w:jc w:val="center"/>
    </w:pPr>
    <w:rPr>
      <w:sz w:val="18"/>
      <w:szCs w:val="18"/>
    </w:rPr>
  </w:style>
  <w:style w:type="paragraph" w:styleId="18">
    <w:name w:val="Title"/>
    <w:basedOn w:val="0"/>
    <w:next w:val="0"/>
    <w:pPr>
      <w:spacing w:before="240" w:after="60"/>
      <w:jc w:val="center"/>
      <w:outlineLvl w:val="0"/>
    </w:pPr>
    <w:rPr>
      <w:rFonts w:ascii="等线 Light" w:eastAsia="等线 Light" w:cs="Times New Roman"/>
      <w:b/>
      <w:bCs/>
      <w:szCs w:val="32"/>
    </w:rPr>
  </w:style>
  <w:style w:type="paragraph" w:styleId="19">
    <w:name w:val="annotation subject"/>
    <w:basedOn w:val="15"/>
    <w:next w:val="15"/>
    <w:rPr>
      <w:b/>
      <w:bCs/>
    </w:rPr>
  </w:style>
  <w:style w:type="character" w:styleId="20">
    <w:name w:val="annotation reference"/>
    <w:basedOn w:val="10"/>
    <w:rPr>
      <w:sz w:val="21"/>
      <w:szCs w:val="21"/>
    </w:rPr>
  </w:style>
  <w:style w:type="paragraph" w:customStyle="1" w:styleId="21">
    <w:name w:val="大标题"/>
    <w:basedOn w:val="18"/>
    <w:pPr>
      <w:spacing w:before="0" w:after="0" w:line="760" w:lineRule="exact"/>
      <w:ind w:firstLineChars="0" w:firstLine="0"/>
    </w:pPr>
    <w:rPr>
      <w:rFonts w:ascii="方正小标宋_GBK" w:eastAsia="方正小标宋_GBK"/>
      <w:b w:val="0"/>
      <w:sz w:val="44"/>
      <w:szCs w:val="44"/>
    </w:rPr>
  </w:style>
  <w:style w:type="paragraph" w:customStyle="1" w:styleId="22">
    <w:name w:val="1级标题"/>
    <w:basedOn w:val="1"/>
    <w:pPr>
      <w:spacing w:before="0" w:after="0" w:line="560" w:lineRule="exact"/>
    </w:pPr>
    <w:rPr>
      <w:rFonts w:ascii="方正黑体_GBK" w:eastAsia="方正黑体_GBK"/>
      <w:b w:val="0"/>
      <w:sz w:val="32"/>
      <w:szCs w:val="32"/>
    </w:rPr>
  </w:style>
  <w:style w:type="paragraph" w:customStyle="1" w:styleId="23">
    <w:name w:val="2级标题"/>
    <w:basedOn w:val="2"/>
    <w:pPr>
      <w:spacing w:before="0" w:after="0" w:line="560" w:lineRule="exact"/>
    </w:pPr>
    <w:rPr>
      <w:rFonts w:ascii="方正楷体_GBK" w:eastAsia="方正楷体_GBK"/>
      <w:b w:val="0"/>
    </w:rPr>
  </w:style>
  <w:style w:type="paragraph" w:customStyle="1" w:styleId="24">
    <w:name w:val="列出段落1"/>
    <w:basedOn w:val="0"/>
  </w:style>
  <w:style w:type="paragraph" w:styleId="25">
    <w:name w:val="Balloon Text"/>
    <w:basedOn w:val="0"/>
    <w:pPr>
      <w:spacing w:line="240" w:lineRule="auto"/>
    </w:pPr>
    <w:rPr>
      <w:sz w:val="18"/>
      <w:szCs w:val="18"/>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image" Target="media/2.png"/><Relationship Id="rId6" Type="http://schemas.openxmlformats.org/officeDocument/2006/relationships/image" Target="media/5.png"/><Relationship Id="rId7" Type="http://schemas.openxmlformats.org/officeDocument/2006/relationships/image" Target="media/8.png"/><Relationship Id="rId8" Type="http://schemas.openxmlformats.org/officeDocument/2006/relationships/image" Target="media/11.png"/><Relationship Id="rId9" Type="http://schemas.openxmlformats.org/officeDocument/2006/relationships/image" Target="media/14.png"/><Relationship Id="rId10" Type="http://schemas.openxmlformats.org/officeDocument/2006/relationships/styles" Target="styles.xml"/><Relationship Id="rId11" Type="http://schemas.openxmlformats.org/officeDocument/2006/relationships/fontTable" Target="fontTable.xml"/></Relationships>
</file>

<file path=docProps/app.xml><?xml version="1.0" encoding="utf-8"?>
<Properties xmlns="http://schemas.openxmlformats.org/officeDocument/2006/extended-properties">
  <Template>Normal.eit</Template>
  <TotalTime>7</TotalTime>
  <Application>Yozo_Office</Application>
  <Pages>35</Pages>
  <Words>8860</Words>
  <Characters>13796</Characters>
  <Lines>1869</Lines>
  <Paragraphs>1144</Paragraphs>
  <CharactersWithSpaces>14206</CharactersWithSpaces>
  <Company>QBPC</Company>
</Properties>
</file>

<file path=docProps/core.xml><?xml version="1.0" encoding="utf-8"?>
<cp:coreProperties xmlns:cp="http://schemas.openxmlformats.org/package/2006/metadata/core-properties" xmlns:dc="http://purl.org/dc/elements/1.1/" xmlns:dcterms="http://purl.org/dc/terms/" xmlns:xsi="http://www.w3.org/2001/XMLSchema-instance">
  <dc:creator>崔 伟</dc:creator>
  <cp:lastModifiedBy>胡楠</cp:lastModifiedBy>
  <cp:revision>4</cp:revision>
  <cp:lastPrinted>2025-04-24T02:29:00Z</cp:lastPrinted>
  <dcterms:created xsi:type="dcterms:W3CDTF">2025-04-24T02:26:00Z</dcterms:created>
  <dcterms:modified xsi:type="dcterms:W3CDTF">2025-04-25T00:38:16Z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2052-11.1.0.14309</vt:lpwstr>
  </property>
  <property fmtid="{D5CDD505-2E9C-101B-9397-08002B2CF9AE}" pid="3" name="ICV">
    <vt:lpwstr>779FD8FC52974E7395DE6C52FBD2BBAD_12</vt:lpwstr>
  </property>
</Properties>
</file>