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669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86A273F">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B70834A">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65.020.20</w:t>
            </w:r>
            <w:r>
              <w:rPr>
                <w:rFonts w:ascii="黑体" w:hAnsi="黑体" w:eastAsia="黑体"/>
                <w:sz w:val="21"/>
                <w:szCs w:val="21"/>
              </w:rPr>
              <w:t xml:space="preserve"> </w:t>
            </w:r>
            <w:r>
              <w:rPr>
                <w:rFonts w:ascii="黑体" w:hAnsi="黑体" w:eastAsia="黑体"/>
                <w:sz w:val="21"/>
                <w:szCs w:val="21"/>
              </w:rPr>
              <w:fldChar w:fldCharType="end"/>
            </w:r>
            <w:bookmarkEnd w:id="0"/>
          </w:p>
        </w:tc>
      </w:tr>
      <w:tr w14:paraId="0A7A8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79A2C1F">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209B8CF0">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16</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30C3835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19A6D845">
            <w:pPr>
              <w:pStyle w:val="49"/>
              <w:framePr w:w="0" w:hRule="auto" w:wrap="auto" w:vAnchor="margin" w:hAnchor="text" w:xAlign="left" w:yAlign="inline"/>
              <w:rPr>
                <w:rFonts w:hint="eastAsia" w:ascii="宋体" w:hAnsi="宋体"/>
                <w:sz w:val="28"/>
                <w:szCs w:val="28"/>
              </w:rPr>
            </w:pPr>
            <w:bookmarkStart w:id="2" w:name="_Hlk26473981"/>
            <w:r>
              <w:rPr>
                <w:rFonts w:ascii="Calibri" w:hAnsi="Calibri"/>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rFonts w:ascii="Calibri" w:hAnsi="Calibri"/>
                <w:sz w:val="21"/>
                <w:szCs w:val="21"/>
              </w:rPr>
              <w:t xml:space="preserve"> </w:t>
            </w:r>
            <w:r>
              <w:rPr>
                <w:rFonts w:ascii="Calibri" w:hAnsi="Calibri"/>
              </w:rPr>
              <w:fldChar w:fldCharType="begin">
                <w:ffData>
                  <w:name w:val="c1"/>
                  <w:enabled/>
                  <w:calcOnExit w:val="0"/>
                  <w:textInput>
                    <w:maxLength w:val="8"/>
                  </w:textInput>
                </w:ffData>
              </w:fldChar>
            </w:r>
            <w:bookmarkStart w:id="3" w:name="c1"/>
            <w:r>
              <w:rPr>
                <w:rFonts w:ascii="Calibri" w:hAnsi="Calibri"/>
              </w:rPr>
              <w:instrText xml:space="preserve"> FORMTEXT </w:instrText>
            </w:r>
            <w:r>
              <w:rPr>
                <w:rFonts w:ascii="Calibri" w:hAnsi="Calibri"/>
              </w:rPr>
              <w:fldChar w:fldCharType="separate"/>
            </w:r>
            <w:r>
              <w:rPr>
                <w:rFonts w:hint="eastAsia" w:ascii="Calibri" w:hAnsi="Calibri"/>
              </w:rPr>
              <w:t>21</w:t>
            </w:r>
            <w:r>
              <w:rPr>
                <w:rFonts w:ascii="Calibri" w:hAnsi="Calibri"/>
              </w:rPr>
              <w:fldChar w:fldCharType="end"/>
            </w:r>
            <w:bookmarkEnd w:id="3"/>
          </w:p>
        </w:tc>
      </w:tr>
    </w:tbl>
    <w:p w14:paraId="57937EBF">
      <w:pPr>
        <w:pStyle w:val="50"/>
        <w:framePr w:w="9639" w:h="624" w:hRule="exact" w:hSpace="181" w:vSpace="181" w:wrap="around"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辽宁省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507237CF">
      <w:pPr>
        <w:pStyle w:val="195"/>
        <w:rPr>
          <w:lang w:val="fr-FR"/>
        </w:rPr>
      </w:pPr>
      <w:r>
        <w:rPr>
          <w:rFonts w:ascii="Times New Roman"/>
          <w:lang w:val="fr-FR"/>
        </w:rPr>
        <w:t>DB</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21</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2026</w:t>
      </w:r>
      <w:r>
        <w:fldChar w:fldCharType="end"/>
      </w:r>
      <w:bookmarkEnd w:id="7"/>
    </w:p>
    <w:p w14:paraId="48D3D28C">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0141103E">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818C3A9">
      <w:pPr>
        <w:pStyle w:val="50"/>
        <w:framePr w:w="9639" w:h="6976" w:hRule="exact" w:hSpace="0" w:vSpace="0" w:wrap="around" w:hAnchor="page" w:y="6408"/>
        <w:jc w:val="center"/>
        <w:rPr>
          <w:rFonts w:hint="eastAsia" w:ascii="黑体" w:hAnsi="黑体" w:eastAsia="黑体"/>
          <w:b w:val="0"/>
          <w:bCs w:val="0"/>
          <w:w w:val="100"/>
        </w:rPr>
      </w:pPr>
    </w:p>
    <w:p w14:paraId="2916F986">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辣椒轻斑驳病毒检验检测技术规程</w:t>
      </w:r>
      <w:r>
        <w:fldChar w:fldCharType="end"/>
      </w:r>
      <w:bookmarkEnd w:id="9"/>
    </w:p>
    <w:p w14:paraId="716F416C">
      <w:pPr>
        <w:framePr w:w="9639" w:h="6974" w:hRule="exact" w:wrap="around" w:vAnchor="page" w:hAnchor="page" w:x="1419" w:y="6408" w:anchorLock="1"/>
        <w:ind w:left="-1418"/>
      </w:pPr>
    </w:p>
    <w:p w14:paraId="542DD1D5">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Guidelines for quarantine surveillance of Pepper mild mottle virus</w:t>
      </w:r>
      <w:r>
        <w:rPr>
          <w:rFonts w:eastAsia="黑体"/>
          <w:szCs w:val="28"/>
        </w:rPr>
        <w:fldChar w:fldCharType="end"/>
      </w:r>
      <w:bookmarkEnd w:id="10"/>
    </w:p>
    <w:p w14:paraId="7CD7AD1F">
      <w:pPr>
        <w:framePr w:w="9639" w:h="6974" w:hRule="exact" w:wrap="around" w:vAnchor="page" w:hAnchor="page" w:x="1419" w:y="6408" w:anchorLock="1"/>
        <w:spacing w:line="760" w:lineRule="exact"/>
        <w:ind w:left="-1418"/>
      </w:pPr>
    </w:p>
    <w:p w14:paraId="791968CE">
      <w:pPr>
        <w:pStyle w:val="125"/>
        <w:framePr w:w="9639" w:h="6974" w:hRule="exact" w:wrap="around" w:vAnchor="page" w:hAnchor="page" w:x="1419" w:y="6408" w:anchorLock="1"/>
        <w:textAlignment w:val="bottom"/>
        <w:rPr>
          <w:rFonts w:eastAsia="黑体"/>
          <w:szCs w:val="28"/>
        </w:rPr>
      </w:pPr>
    </w:p>
    <w:p w14:paraId="5ED6B26D">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6D87E8B8">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rFonts w:hint="eastAsia"/>
          <w:sz w:val="21"/>
          <w:szCs w:val="28"/>
        </w:rPr>
        <w:t>（本草案完成时间：2026.6.1</w:t>
      </w:r>
      <w:r>
        <w:rPr>
          <w:rFonts w:hint="eastAsia"/>
          <w:sz w:val="21"/>
          <w:szCs w:val="28"/>
          <w:lang w:val="en-US" w:eastAsia="zh-CN"/>
        </w:rPr>
        <w:t>2</w:t>
      </w:r>
      <w:r>
        <w:rPr>
          <w:rFonts w:hint="eastAsia"/>
          <w:sz w:val="21"/>
          <w:szCs w:val="28"/>
        </w:rPr>
        <w:t>）</w:t>
      </w:r>
      <w:r>
        <w:rPr>
          <w:sz w:val="21"/>
          <w:szCs w:val="28"/>
        </w:rPr>
        <w:fldChar w:fldCharType="end"/>
      </w:r>
      <w:bookmarkEnd w:id="12"/>
    </w:p>
    <w:p w14:paraId="11F7D4FB">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6BB257A7">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33D9A3E5">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3F715658">
      <w:pPr>
        <w:pStyle w:val="151"/>
        <w:framePr w:h="584" w:hRule="exact" w:hSpace="181" w:vSpace="181" w:wrap="around" w:y="15027"/>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辽宁省市场监督管理局</w:t>
      </w:r>
      <w:r>
        <w:rPr>
          <w:rFonts w:hAnsi="黑体"/>
          <w:w w:val="100"/>
          <w:sz w:val="28"/>
        </w:rPr>
        <w:t> </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7A0A32C0">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449E635">
      <w:pPr>
        <w:pStyle w:val="89"/>
        <w:spacing w:after="468"/>
      </w:pPr>
      <w:bookmarkStart w:id="21" w:name="BookMark2"/>
      <w:r>
        <w:rPr>
          <w:rFonts w:hint="eastAsia"/>
          <w:spacing w:val="320"/>
        </w:rPr>
        <w:t>前</w:t>
      </w:r>
      <w:r>
        <w:rPr>
          <w:rFonts w:hint="eastAsia"/>
        </w:rPr>
        <w:t>言</w:t>
      </w:r>
    </w:p>
    <w:p w14:paraId="52118633">
      <w:pPr>
        <w:pStyle w:val="56"/>
        <w:ind w:firstLine="420"/>
      </w:pPr>
      <w:r>
        <w:rPr>
          <w:rFonts w:hint="eastAsia"/>
        </w:rPr>
        <w:t>本文件按照GB/T 1.1—2020《标准化工作导则  第1部分：标准化文件的结构和起草规则》的规定起草。</w:t>
      </w:r>
    </w:p>
    <w:p w14:paraId="0556319E">
      <w:pPr>
        <w:pStyle w:val="56"/>
        <w:ind w:firstLine="420"/>
      </w:pPr>
      <w:r>
        <w:rPr>
          <w:rFonts w:hint="eastAsia"/>
        </w:rPr>
        <w:t>请注意本文件某些内容可能涉及专利。本文件的发布机构不承担识别专利的责任。</w:t>
      </w:r>
    </w:p>
    <w:p w14:paraId="56BA1AC4">
      <w:pPr>
        <w:pStyle w:val="56"/>
        <w:ind w:firstLine="420"/>
      </w:pPr>
      <w:r>
        <w:rPr>
          <w:rFonts w:hint="eastAsia"/>
        </w:rPr>
        <w:t>本文件由中华人民共和国大连海关提出并归口。</w:t>
      </w:r>
    </w:p>
    <w:p w14:paraId="3CA1BD07">
      <w:pPr>
        <w:pStyle w:val="56"/>
        <w:ind w:firstLine="420"/>
      </w:pPr>
      <w:r>
        <w:rPr>
          <w:rFonts w:hint="eastAsia"/>
        </w:rPr>
        <w:t>本文件起草单位：大连海关技术中心、辽宁大学、吉林省林业科学研究院、</w:t>
      </w:r>
      <w:r>
        <w:rPr>
          <w:rFonts w:hint="eastAsia"/>
          <w:kern w:val="2"/>
          <w:szCs w:val="21"/>
        </w:rPr>
        <w:t>上海市金山区农业技术推广中心</w:t>
      </w:r>
      <w:r>
        <w:rPr>
          <w:rFonts w:hint="eastAsia"/>
        </w:rPr>
        <w:t>、东港海关综合技术服务中心</w:t>
      </w:r>
      <w:r>
        <w:rPr>
          <w:rFonts w:hint="eastAsia"/>
          <w:kern w:val="2"/>
          <w:szCs w:val="21"/>
        </w:rPr>
        <w:t>、</w:t>
      </w:r>
      <w:r>
        <w:rPr>
          <w:rFonts w:hint="eastAsia"/>
        </w:rPr>
        <w:t>沈阳农业大学植物保护学院。</w:t>
      </w:r>
    </w:p>
    <w:p w14:paraId="23DD77A2">
      <w:pPr>
        <w:pStyle w:val="56"/>
        <w:ind w:firstLine="420"/>
      </w:pPr>
      <w:r>
        <w:rPr>
          <w:rFonts w:hint="eastAsia"/>
        </w:rPr>
        <w:t>本文件主要起草人：李鑫、朱春玉、屈菲、李立梅、葛立傲</w:t>
      </w:r>
      <w:r>
        <w:rPr>
          <w:rFonts w:hint="eastAsia" w:ascii="宋体" w:hAnsi="宋体"/>
          <w:kern w:val="2"/>
          <w:szCs w:val="21"/>
        </w:rPr>
        <w:t>、</w:t>
      </w:r>
      <w:r>
        <w:rPr>
          <w:rFonts w:hint="eastAsia"/>
        </w:rPr>
        <w:t>李辉、张崇、吴元华</w:t>
      </w:r>
      <w:r>
        <w:rPr>
          <w:rFonts w:hint="eastAsia"/>
          <w:lang w:eastAsia="zh-CN"/>
        </w:rPr>
        <w:t>、</w:t>
      </w:r>
      <w:r>
        <w:rPr>
          <w:rFonts w:hint="eastAsia"/>
          <w:lang w:val="en-US" w:eastAsia="zh-CN"/>
        </w:rPr>
        <w:t>刘艳、张晓声</w:t>
      </w:r>
      <w:bookmarkStart w:id="47" w:name="_GoBack"/>
      <w:bookmarkEnd w:id="47"/>
      <w:r>
        <w:rPr>
          <w:rFonts w:hint="eastAsia"/>
        </w:rPr>
        <w:t>。</w:t>
      </w:r>
    </w:p>
    <w:p w14:paraId="02433D46">
      <w:pPr>
        <w:pStyle w:val="56"/>
        <w:ind w:firstLine="420"/>
      </w:pPr>
      <w:r>
        <w:rPr>
          <w:rFonts w:hint="eastAsia"/>
        </w:rPr>
        <w:t>本文件发布实施后，任何单位和个人如有问题和意见建议，均可以通过来电和来函等方式进行反馈，我们将及时答复并认真处理，根据实际情况依法进行评估及复审。</w:t>
      </w:r>
    </w:p>
    <w:p w14:paraId="68925B7A">
      <w:pPr>
        <w:pStyle w:val="56"/>
        <w:ind w:firstLine="420"/>
      </w:pPr>
      <w:r>
        <w:rPr>
          <w:rFonts w:hint="eastAsia"/>
        </w:rPr>
        <w:t>归口管理部门通讯地址：大连海关（辽宁省大连市长江东路60号），联系电话：0411-87954592。</w:t>
      </w:r>
    </w:p>
    <w:p w14:paraId="51CC483D">
      <w:pPr>
        <w:pStyle w:val="56"/>
        <w:ind w:firstLine="420"/>
      </w:pPr>
      <w:r>
        <w:rPr>
          <w:rFonts w:hint="eastAsia"/>
        </w:rPr>
        <w:t>文件起草单位通讯地址：大连海关技术中心（辽宁省大连市长江东路60号），联系电话：0411-87954592。</w:t>
      </w:r>
    </w:p>
    <w:p w14:paraId="24FC32BD">
      <w:pPr>
        <w:pStyle w:val="56"/>
        <w:ind w:firstLine="420"/>
      </w:pPr>
    </w:p>
    <w:p w14:paraId="7A3349AF">
      <w:pPr>
        <w:pStyle w:val="56"/>
        <w:ind w:firstLine="42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p>
    <w:bookmarkEnd w:id="21"/>
    <w:p w14:paraId="1C9EB44A">
      <w:pPr>
        <w:spacing w:line="20" w:lineRule="exact"/>
        <w:jc w:val="center"/>
        <w:rPr>
          <w:rFonts w:hint="eastAsia" w:ascii="黑体" w:hAnsi="黑体" w:eastAsia="黑体"/>
          <w:sz w:val="32"/>
          <w:szCs w:val="32"/>
        </w:rPr>
      </w:pPr>
      <w:bookmarkStart w:id="22" w:name="BookMark4"/>
    </w:p>
    <w:p w14:paraId="0F773C26">
      <w:pPr>
        <w:spacing w:line="20" w:lineRule="exact"/>
        <w:jc w:val="center"/>
        <w:rPr>
          <w:rFonts w:hint="eastAsia" w:ascii="黑体" w:hAnsi="黑体" w:eastAsia="黑体"/>
          <w:sz w:val="32"/>
          <w:szCs w:val="32"/>
        </w:rPr>
      </w:pPr>
    </w:p>
    <w:sdt>
      <w:sdtPr>
        <w:tag w:val="NEW_STAND_NAME"/>
        <w:id w:val="595910757"/>
        <w:lock w:val="sdtLocked"/>
        <w:placeholder>
          <w:docPart w:val="BA10F1B417B74CE9A2F01410D3F859A1"/>
        </w:placeholder>
      </w:sdtPr>
      <w:sdtEndPr>
        <w:rPr>
          <w:rFonts w:ascii="Times New Roman" w:hAnsi="Times New Roman"/>
        </w:rPr>
      </w:sdtEndPr>
      <w:sdtContent>
        <w:p w14:paraId="6C4B394C">
          <w:pPr>
            <w:pStyle w:val="177"/>
            <w:spacing w:before="3" w:beforeLines="1" w:after="686" w:afterLines="220"/>
            <w:rPr>
              <w:rFonts w:ascii="Times New Roman" w:hAnsi="Times New Roman"/>
            </w:rPr>
          </w:pPr>
          <w:bookmarkStart w:id="23" w:name="NEW_STAND_NAME"/>
          <w:r>
            <w:rPr>
              <w:rFonts w:ascii="Times New Roman" w:hAnsi="Times New Roman"/>
            </w:rPr>
            <w:t>辣椒轻斑驳病毒检验检测技术规程</w:t>
          </w:r>
        </w:p>
      </w:sdtContent>
    </w:sdt>
    <w:bookmarkEnd w:id="23"/>
    <w:p w14:paraId="1CE1FAFE">
      <w:pPr>
        <w:pStyle w:val="104"/>
        <w:spacing w:before="312" w:after="312"/>
        <w:rPr>
          <w:rFonts w:ascii="Times New Roman"/>
        </w:rPr>
      </w:pPr>
      <w:bookmarkStart w:id="24" w:name="_Toc26648465"/>
      <w:bookmarkStart w:id="25" w:name="_Toc26986530"/>
      <w:bookmarkStart w:id="26" w:name="_Toc17233333"/>
      <w:bookmarkStart w:id="27" w:name="_Toc17233325"/>
      <w:bookmarkStart w:id="28" w:name="_Toc24884218"/>
      <w:bookmarkStart w:id="29" w:name="_Toc26986771"/>
      <w:bookmarkStart w:id="30" w:name="_Toc97191423"/>
      <w:bookmarkStart w:id="31" w:name="_Toc24884211"/>
      <w:bookmarkStart w:id="32" w:name="_Toc26718930"/>
      <w:r>
        <w:rPr>
          <w:rFonts w:ascii="Times New Roman"/>
        </w:rPr>
        <w:t>范围</w:t>
      </w:r>
      <w:bookmarkEnd w:id="24"/>
      <w:bookmarkEnd w:id="25"/>
      <w:bookmarkEnd w:id="26"/>
      <w:bookmarkEnd w:id="27"/>
      <w:bookmarkEnd w:id="28"/>
      <w:bookmarkEnd w:id="29"/>
      <w:bookmarkEnd w:id="30"/>
      <w:bookmarkEnd w:id="31"/>
      <w:bookmarkEnd w:id="32"/>
    </w:p>
    <w:p w14:paraId="2466A8C8">
      <w:pPr>
        <w:pStyle w:val="56"/>
        <w:ind w:firstLine="420"/>
      </w:pPr>
      <w:bookmarkStart w:id="33" w:name="_Toc17233334"/>
      <w:bookmarkStart w:id="34" w:name="_Toc26648466"/>
      <w:bookmarkStart w:id="35" w:name="_Toc17233326"/>
      <w:bookmarkStart w:id="36" w:name="_Toc24884219"/>
      <w:bookmarkStart w:id="37" w:name="_Toc24884212"/>
      <w:r>
        <w:t>本文件规定了辣椒轻斑驳病毒（</w:t>
      </w:r>
      <w:r>
        <w:rPr>
          <w:i/>
          <w:iCs/>
        </w:rPr>
        <w:t>Pepper mild mottle virus</w:t>
      </w:r>
      <w:r>
        <w:t>，PMMoV）的实验室送检取样规则、检测方法选择、田间监测规程、标本保存与处理等技术内容。</w:t>
      </w:r>
    </w:p>
    <w:p w14:paraId="1165D794">
      <w:pPr>
        <w:pStyle w:val="104"/>
        <w:spacing w:before="312" w:after="312"/>
        <w:rPr>
          <w:rFonts w:ascii="Times New Roman"/>
        </w:rPr>
      </w:pPr>
      <w:bookmarkStart w:id="38" w:name="_Toc97191424"/>
      <w:bookmarkStart w:id="39" w:name="_Toc26718931"/>
      <w:bookmarkStart w:id="40" w:name="_Toc26986531"/>
      <w:bookmarkStart w:id="41" w:name="_Toc26986772"/>
      <w:r>
        <w:rPr>
          <w:rFonts w:ascii="Times New Roman"/>
        </w:rPr>
        <w:t>规范性引用文件</w:t>
      </w:r>
      <w:bookmarkEnd w:id="33"/>
      <w:bookmarkEnd w:id="34"/>
      <w:bookmarkEnd w:id="35"/>
      <w:bookmarkEnd w:id="36"/>
      <w:bookmarkEnd w:id="37"/>
      <w:bookmarkEnd w:id="38"/>
      <w:bookmarkEnd w:id="39"/>
      <w:bookmarkEnd w:id="40"/>
      <w:bookmarkEnd w:id="41"/>
    </w:p>
    <w:sdt>
      <w:sdtPr>
        <w:id w:val="715848253"/>
        <w:placeholder>
          <w:docPart w:val="1F08B2F6D05A4FEAB7F4A3213A8C5E6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0B0BF0DB">
          <w:pPr>
            <w:pStyle w:val="56"/>
            <w:ind w:firstLine="420"/>
          </w:pPr>
          <w: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423BBDA">
      <w:pPr>
        <w:pStyle w:val="56"/>
        <w:ind w:firstLine="420"/>
      </w:pPr>
      <w:r>
        <w:t>第5 号国际植物检疫措施标准（ISPM NO.5） 植物检疫术语表</w:t>
      </w:r>
    </w:p>
    <w:p w14:paraId="49EA802C">
      <w:pPr>
        <w:pStyle w:val="56"/>
        <w:ind w:firstLine="420"/>
      </w:pPr>
      <w:r>
        <w:t>GB/T 3543.2 农作物种子检验规程 扦样</w:t>
      </w:r>
    </w:p>
    <w:p w14:paraId="4443F9FE">
      <w:pPr>
        <w:pStyle w:val="56"/>
        <w:ind w:firstLine="420"/>
      </w:pPr>
      <w:r>
        <w:t>GB/T 36780 辣椒轻斑驳病毒检疫鉴定方法</w:t>
      </w:r>
    </w:p>
    <w:p w14:paraId="7EDA4F39">
      <w:pPr>
        <w:pStyle w:val="104"/>
        <w:spacing w:before="312" w:after="312"/>
        <w:rPr>
          <w:rFonts w:ascii="Times New Roman"/>
        </w:rPr>
      </w:pPr>
      <w:bookmarkStart w:id="42" w:name="_Toc97191425"/>
      <w:r>
        <w:rPr>
          <w:rFonts w:ascii="Times New Roman"/>
          <w:szCs w:val="21"/>
        </w:rPr>
        <w:t>术语和定义</w:t>
      </w:r>
      <w:bookmarkEnd w:id="42"/>
    </w:p>
    <w:sdt>
      <w:sdtPr>
        <w:id w:val="-1909835108"/>
        <w:placeholder>
          <w:docPart w:val="FBF788013E954673BA99C4021138C333"/>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81E48A0">
          <w:pPr>
            <w:pStyle w:val="56"/>
            <w:ind w:firstLine="420"/>
          </w:pPr>
          <w:bookmarkStart w:id="43" w:name="_Toc26986532"/>
          <w:bookmarkEnd w:id="43"/>
          <w:r>
            <w:t>下列术语和定义适用于本文件。</w:t>
          </w:r>
        </w:p>
      </w:sdtContent>
    </w:sdt>
    <w:p w14:paraId="5CD4F2F9">
      <w:pPr>
        <w:pStyle w:val="105"/>
        <w:spacing w:before="156" w:after="156"/>
        <w:rPr>
          <w:rFonts w:ascii="Times New Roman"/>
        </w:rPr>
      </w:pPr>
    </w:p>
    <w:p w14:paraId="707A13EB">
      <w:pPr>
        <w:pStyle w:val="105"/>
        <w:numPr>
          <w:ilvl w:val="0"/>
          <w:numId w:val="0"/>
        </w:numPr>
        <w:spacing w:before="156" w:after="156"/>
        <w:ind w:firstLine="420" w:firstLineChars="200"/>
        <w:rPr>
          <w:rFonts w:ascii="Times New Roman"/>
        </w:rPr>
      </w:pPr>
      <w:r>
        <w:rPr>
          <w:rFonts w:ascii="Times New Roman"/>
        </w:rPr>
        <w:t>发生happen</w:t>
      </w:r>
    </w:p>
    <w:p w14:paraId="165B19EE">
      <w:pPr>
        <w:pStyle w:val="56"/>
        <w:ind w:firstLine="420"/>
      </w:pPr>
      <w:r>
        <w:t>官方报道在一个地区存在着土生或传入的有害生物，和/或官方未报道在一个地区存在的有害生物已经被根除。</w:t>
      </w:r>
    </w:p>
    <w:p w14:paraId="3FFE872B">
      <w:pPr>
        <w:pStyle w:val="105"/>
        <w:spacing w:before="156" w:after="156"/>
        <w:rPr>
          <w:rFonts w:ascii="Times New Roman"/>
        </w:rPr>
      </w:pPr>
      <w:r>
        <w:rPr>
          <w:rFonts w:ascii="Times New Roman"/>
        </w:rPr>
        <w:t>　</w:t>
      </w:r>
    </w:p>
    <w:p w14:paraId="22944FF2">
      <w:pPr>
        <w:pStyle w:val="105"/>
        <w:numPr>
          <w:ilvl w:val="0"/>
          <w:numId w:val="0"/>
        </w:numPr>
        <w:spacing w:before="156" w:after="156"/>
        <w:ind w:firstLine="420" w:firstLineChars="200"/>
        <w:rPr>
          <w:rFonts w:ascii="Times New Roman"/>
        </w:rPr>
      </w:pPr>
      <w:r>
        <w:rPr>
          <w:rFonts w:ascii="Times New Roman"/>
        </w:rPr>
        <w:t>检验inspection</w:t>
      </w:r>
    </w:p>
    <w:p w14:paraId="2ECBA9CB">
      <w:pPr>
        <w:pStyle w:val="56"/>
        <w:ind w:firstLine="420"/>
      </w:pPr>
      <w:r>
        <w:t>对植物、植物产品或其</w:t>
      </w:r>
      <w:r>
        <w:rPr>
          <w:rFonts w:hint="eastAsia"/>
        </w:rPr>
        <w:t>他</w:t>
      </w:r>
      <w:r>
        <w:t>限定物进行官方的直观检查以确定是否存在有害生物或验证是否符合植物检疫要求。</w:t>
      </w:r>
    </w:p>
    <w:p w14:paraId="563D9109">
      <w:pPr>
        <w:pStyle w:val="105"/>
        <w:spacing w:before="156" w:after="156"/>
        <w:rPr>
          <w:rFonts w:ascii="Times New Roman"/>
        </w:rPr>
      </w:pPr>
      <w:r>
        <w:rPr>
          <w:rFonts w:ascii="Times New Roman"/>
        </w:rPr>
        <w:t>　</w:t>
      </w:r>
    </w:p>
    <w:p w14:paraId="12F1DA44">
      <w:pPr>
        <w:pStyle w:val="105"/>
        <w:numPr>
          <w:ilvl w:val="0"/>
          <w:numId w:val="0"/>
        </w:numPr>
        <w:spacing w:before="156" w:after="156"/>
        <w:ind w:firstLine="420" w:firstLineChars="200"/>
        <w:rPr>
          <w:rFonts w:ascii="Times New Roman"/>
        </w:rPr>
      </w:pPr>
      <w:r>
        <w:rPr>
          <w:rFonts w:ascii="Times New Roman"/>
        </w:rPr>
        <w:t>种子批seed lot</w:t>
      </w:r>
    </w:p>
    <w:p w14:paraId="634F2DEE">
      <w:pPr>
        <w:pStyle w:val="56"/>
        <w:ind w:firstLine="420"/>
      </w:pPr>
      <w:r>
        <w:t>同一来源、同一品种、同一年度、同一时期收获、质量基本一致，且在规定数量之内的种子集合。</w:t>
      </w:r>
    </w:p>
    <w:p w14:paraId="6FA1EB62">
      <w:pPr>
        <w:pStyle w:val="105"/>
        <w:spacing w:before="156" w:after="156"/>
        <w:rPr>
          <w:rFonts w:ascii="Times New Roman"/>
        </w:rPr>
      </w:pPr>
      <w:r>
        <w:rPr>
          <w:rFonts w:ascii="Times New Roman"/>
        </w:rPr>
        <w:t>　</w:t>
      </w:r>
    </w:p>
    <w:p w14:paraId="31D00C55">
      <w:pPr>
        <w:pStyle w:val="105"/>
        <w:numPr>
          <w:ilvl w:val="0"/>
          <w:numId w:val="0"/>
        </w:numPr>
        <w:spacing w:before="156" w:after="156"/>
        <w:ind w:firstLine="420" w:firstLineChars="200"/>
        <w:rPr>
          <w:rFonts w:ascii="Times New Roman"/>
        </w:rPr>
      </w:pPr>
      <w:r>
        <w:rPr>
          <w:rFonts w:ascii="Times New Roman"/>
        </w:rPr>
        <w:t>监测surveillance</w:t>
      </w:r>
    </w:p>
    <w:p w14:paraId="1575EAEE">
      <w:pPr>
        <w:pStyle w:val="56"/>
        <w:ind w:firstLine="420"/>
      </w:pPr>
      <w:r>
        <w:t>为核查植物检疫状况而持续进行一项官方活动。</w:t>
      </w:r>
    </w:p>
    <w:p w14:paraId="67C25BF7">
      <w:pPr>
        <w:pStyle w:val="105"/>
        <w:spacing w:before="156" w:after="156"/>
        <w:rPr>
          <w:rFonts w:ascii="Times New Roman"/>
        </w:rPr>
      </w:pPr>
    </w:p>
    <w:p w14:paraId="264EF2B7">
      <w:pPr>
        <w:pStyle w:val="105"/>
        <w:numPr>
          <w:ilvl w:val="0"/>
          <w:numId w:val="0"/>
        </w:numPr>
        <w:spacing w:before="156" w:after="156"/>
        <w:ind w:firstLine="420" w:firstLineChars="200"/>
        <w:rPr>
          <w:rFonts w:ascii="Times New Roman"/>
        </w:rPr>
      </w:pPr>
      <w:r>
        <w:rPr>
          <w:rFonts w:ascii="Times New Roman"/>
        </w:rPr>
        <w:t>辣椒轻斑驳病毒疫情监测surveillance for PMMoV</w:t>
      </w:r>
    </w:p>
    <w:p w14:paraId="3DC2241B">
      <w:pPr>
        <w:pStyle w:val="56"/>
        <w:ind w:firstLine="420"/>
      </w:pPr>
      <w:r>
        <w:t>在发生或未发生辣椒轻斑驳病毒的地区，为监测辣椒轻斑驳病毒疫情发生及动态情况而持续开展的检疫行动。</w:t>
      </w:r>
    </w:p>
    <w:p w14:paraId="5BF0008A">
      <w:pPr>
        <w:pStyle w:val="104"/>
        <w:spacing w:before="312" w:after="312"/>
        <w:rPr>
          <w:rFonts w:ascii="Times New Roman"/>
        </w:rPr>
      </w:pPr>
      <w:r>
        <w:rPr>
          <w:rFonts w:ascii="Times New Roman"/>
        </w:rPr>
        <w:t>病毒基本信息</w:t>
      </w:r>
    </w:p>
    <w:p w14:paraId="21519B15">
      <w:pPr>
        <w:pStyle w:val="56"/>
        <w:ind w:firstLine="420"/>
      </w:pPr>
      <w:r>
        <w:t>学名：</w:t>
      </w:r>
      <w:r>
        <w:rPr>
          <w:i/>
          <w:iCs/>
        </w:rPr>
        <w:t>Pepper mild mottle virus</w:t>
      </w:r>
      <w:r>
        <w:t>，PMMoV</w:t>
      </w:r>
    </w:p>
    <w:p w14:paraId="52B72C26">
      <w:pPr>
        <w:pStyle w:val="56"/>
        <w:ind w:firstLine="420"/>
      </w:pPr>
      <w:r>
        <w:t>中文名：辣椒轻斑驳病毒</w:t>
      </w:r>
    </w:p>
    <w:p w14:paraId="58259E7F">
      <w:pPr>
        <w:pStyle w:val="56"/>
        <w:ind w:firstLine="420"/>
      </w:pPr>
      <w:r>
        <w:t>分类地位：植物杆状病毒科（</w:t>
      </w:r>
      <w:r>
        <w:rPr>
          <w:i/>
          <w:iCs/>
        </w:rPr>
        <w:t>Virgaviridae</w:t>
      </w:r>
      <w:r>
        <w:t>），烟草花叶病毒属（</w:t>
      </w:r>
      <w:r>
        <w:rPr>
          <w:i/>
          <w:iCs/>
        </w:rPr>
        <w:t>Tobamovirus</w:t>
      </w:r>
      <w:r>
        <w:t>）。</w:t>
      </w:r>
    </w:p>
    <w:p w14:paraId="363E4F2B">
      <w:pPr>
        <w:pStyle w:val="56"/>
        <w:ind w:firstLine="420"/>
      </w:pPr>
      <w:r>
        <w:t>基本信息：该病毒粒体直杆状，长度为 312 nm，宽为 18 nm，基因组为正单链 RNA，全长约 6.4 kb，编码 4 个蛋白。自然寄主，只侵染辣椒属（</w:t>
      </w:r>
      <w:r>
        <w:rPr>
          <w:i/>
          <w:iCs/>
        </w:rPr>
        <w:t>Capsicum</w:t>
      </w:r>
      <w:r>
        <w:t xml:space="preserve"> spp.）；人工接种，可侵染 20 多种植物，包括：白曼陀罗（</w:t>
      </w:r>
      <w:r>
        <w:rPr>
          <w:i/>
          <w:iCs/>
        </w:rPr>
        <w:t>Daturametel</w:t>
      </w:r>
      <w:r>
        <w:t>）、蔓陀罗（</w:t>
      </w:r>
      <w:r>
        <w:rPr>
          <w:i/>
          <w:iCs/>
        </w:rPr>
        <w:t>D. stramonium</w:t>
      </w:r>
      <w:r>
        <w:t>）、苋色藜（</w:t>
      </w:r>
      <w:r>
        <w:rPr>
          <w:i/>
          <w:iCs/>
        </w:rPr>
        <w:t>Chenopodium amaranticolor</w:t>
      </w:r>
      <w:r>
        <w:t>）、昆诺阿藜（</w:t>
      </w:r>
      <w:r>
        <w:rPr>
          <w:i/>
          <w:iCs/>
        </w:rPr>
        <w:t>C. quinoa</w:t>
      </w:r>
      <w:r>
        <w:t>）、罗勒（</w:t>
      </w:r>
      <w:r>
        <w:rPr>
          <w:i/>
          <w:iCs/>
        </w:rPr>
        <w:t>Ocimum basilicum</w:t>
      </w:r>
      <w:r>
        <w:t>）、洋酸浆（</w:t>
      </w:r>
      <w:r>
        <w:rPr>
          <w:i/>
          <w:iCs/>
        </w:rPr>
        <w:t>Physalis peruviana</w:t>
      </w:r>
      <w:r>
        <w:t>）、矮牵牛（</w:t>
      </w:r>
      <w:r>
        <w:rPr>
          <w:i/>
          <w:iCs/>
        </w:rPr>
        <w:t>Petuniam</w:t>
      </w:r>
      <w:r>
        <w:t xml:space="preserve"> × </w:t>
      </w:r>
      <w:r>
        <w:rPr>
          <w:i/>
          <w:iCs/>
        </w:rPr>
        <w:t>hybrida</w:t>
      </w:r>
      <w:r>
        <w:t>）、心叶烟（</w:t>
      </w:r>
      <w:r>
        <w:rPr>
          <w:i/>
          <w:iCs/>
        </w:rPr>
        <w:t>Nicotiana glutinosa</w:t>
      </w:r>
      <w:r>
        <w:t>）、林烟草（</w:t>
      </w:r>
      <w:r>
        <w:rPr>
          <w:i/>
          <w:iCs/>
        </w:rPr>
        <w:t>N. sylvestris</w:t>
      </w:r>
      <w:r>
        <w:t>）、白肋烟（</w:t>
      </w:r>
      <w:r>
        <w:rPr>
          <w:i/>
          <w:iCs/>
        </w:rPr>
        <w:t>N. tabacum</w:t>
      </w:r>
      <w:r>
        <w:t xml:space="preserve"> cvs. White Burley）、珊西烟（</w:t>
      </w:r>
      <w:r>
        <w:rPr>
          <w:i/>
          <w:iCs/>
        </w:rPr>
        <w:t>N. tabacum</w:t>
      </w:r>
      <w:r>
        <w:t xml:space="preserve"> cvs. Xanthi-nc）。通过汁液摩擦传毒，可通过接触传播，也可以通过种子传播，介体不易传毒。带毒种子、病残体和土壤是病毒重要的侵染来源。具体侵染植株症状</w:t>
      </w:r>
      <w:r>
        <w:rPr>
          <w:rFonts w:hint="eastAsia"/>
        </w:rPr>
        <w:t>参</w:t>
      </w:r>
      <w:r>
        <w:t>见</w:t>
      </w:r>
      <w:r>
        <w:rPr>
          <w:rFonts w:hint="eastAsia"/>
        </w:rPr>
        <w:t>附录</w:t>
      </w:r>
      <w:r>
        <w:t>A。</w:t>
      </w:r>
    </w:p>
    <w:p w14:paraId="0F700715">
      <w:pPr>
        <w:pStyle w:val="104"/>
        <w:spacing w:before="312" w:after="312"/>
        <w:rPr>
          <w:rFonts w:ascii="Times New Roman"/>
        </w:rPr>
      </w:pPr>
      <w:r>
        <w:rPr>
          <w:rFonts w:ascii="Times New Roman"/>
        </w:rPr>
        <w:t>原理和依据</w:t>
      </w:r>
    </w:p>
    <w:p w14:paraId="57CC57AA">
      <w:pPr>
        <w:pStyle w:val="56"/>
        <w:ind w:firstLine="420"/>
      </w:pPr>
      <w:r>
        <w:t>根据辣椒轻斑驳病毒的侵染典型症状、发生规律及传播途径等信息是该病毒检测、监测的重要依据。具体侵染植株症状</w:t>
      </w:r>
      <w:r>
        <w:rPr>
          <w:rFonts w:hint="eastAsia"/>
        </w:rPr>
        <w:t>参</w:t>
      </w:r>
      <w:r>
        <w:t>见</w:t>
      </w:r>
      <w:r>
        <w:rPr>
          <w:rFonts w:hint="eastAsia"/>
        </w:rPr>
        <w:t>附录</w:t>
      </w:r>
      <w:r>
        <w:t>A。</w:t>
      </w:r>
    </w:p>
    <w:p w14:paraId="554C06F3">
      <w:pPr>
        <w:pStyle w:val="104"/>
        <w:spacing w:before="312" w:after="312"/>
        <w:rPr>
          <w:rFonts w:ascii="Times New Roman"/>
        </w:rPr>
      </w:pPr>
      <w:r>
        <w:rPr>
          <w:rFonts w:ascii="Times New Roman"/>
        </w:rPr>
        <w:t>用具</w:t>
      </w:r>
    </w:p>
    <w:p w14:paraId="60B36B39">
      <w:pPr>
        <w:pStyle w:val="56"/>
        <w:ind w:firstLine="420"/>
      </w:pPr>
      <w:r>
        <w:t>打孔器、一次性手套、取样袋、剪刀、塑料烧杯、消毒液、记号笔、标签纸、记录表、鞋套等。</w:t>
      </w:r>
    </w:p>
    <w:p w14:paraId="5E254677">
      <w:pPr>
        <w:pStyle w:val="104"/>
        <w:spacing w:before="312" w:after="312"/>
        <w:rPr>
          <w:rFonts w:ascii="Times New Roman"/>
        </w:rPr>
      </w:pPr>
      <w:r>
        <w:rPr>
          <w:rFonts w:ascii="Times New Roman"/>
        </w:rPr>
        <w:t>取制样</w:t>
      </w:r>
    </w:p>
    <w:p w14:paraId="570D3E7D">
      <w:pPr>
        <w:pStyle w:val="105"/>
        <w:spacing w:before="156" w:after="156"/>
        <w:rPr>
          <w:rFonts w:ascii="Times New Roman"/>
        </w:rPr>
      </w:pPr>
      <w:r>
        <w:rPr>
          <w:rFonts w:ascii="Times New Roman"/>
        </w:rPr>
        <w:t>种子取样</w:t>
      </w:r>
    </w:p>
    <w:p w14:paraId="32231388">
      <w:pPr>
        <w:pStyle w:val="56"/>
        <w:ind w:firstLine="420"/>
      </w:pPr>
      <w:r>
        <w:t>根据《国际种子检验规程》（ISTA）要求，送实验室检测时的取样量，单个种子批最低检测 3000 粒辣椒种子。当送检样品不满足 3000 粒时，全部送检。</w:t>
      </w:r>
    </w:p>
    <w:p w14:paraId="06B1253F">
      <w:pPr>
        <w:pStyle w:val="105"/>
        <w:spacing w:before="156" w:after="156"/>
        <w:rPr>
          <w:rFonts w:ascii="Times New Roman"/>
        </w:rPr>
      </w:pPr>
      <w:r>
        <w:rPr>
          <w:rFonts w:ascii="Times New Roman"/>
        </w:rPr>
        <w:t>植株取样</w:t>
      </w:r>
    </w:p>
    <w:p w14:paraId="54EE9762">
      <w:pPr>
        <w:pStyle w:val="56"/>
        <w:ind w:firstLine="420"/>
      </w:pPr>
      <w:r>
        <w:t>当植株带有典型症状时（植株症状见图A.1），疑似带病植株单独取样，单独标记，并送实验室作为独立样品进行检测。</w:t>
      </w:r>
    </w:p>
    <w:p w14:paraId="60327EF7">
      <w:pPr>
        <w:pStyle w:val="56"/>
        <w:ind w:firstLine="420"/>
      </w:pPr>
      <w:r>
        <w:t>当植株未显示典型症状时，则采用五点取样法，每个点位取10个植株样品进行混合，将混合样作为一个检测样品。</w:t>
      </w:r>
    </w:p>
    <w:p w14:paraId="0C3DA6F2">
      <w:pPr>
        <w:pStyle w:val="56"/>
        <w:ind w:firstLine="420"/>
      </w:pPr>
      <w:r>
        <w:t>注：植株样品取样时，需选取靠上部位的嫩叶（非顶部）。</w:t>
      </w:r>
    </w:p>
    <w:p w14:paraId="343A43E4">
      <w:pPr>
        <w:pStyle w:val="104"/>
        <w:spacing w:before="312" w:after="312"/>
        <w:rPr>
          <w:rFonts w:ascii="Times New Roman"/>
        </w:rPr>
      </w:pPr>
      <w:r>
        <w:rPr>
          <w:rFonts w:ascii="Times New Roman"/>
        </w:rPr>
        <w:t>检测</w:t>
      </w:r>
    </w:p>
    <w:p w14:paraId="3A4B6196">
      <w:pPr>
        <w:pStyle w:val="105"/>
        <w:spacing w:before="156" w:after="156"/>
        <w:rPr>
          <w:rFonts w:ascii="Times New Roman"/>
        </w:rPr>
      </w:pPr>
      <w:r>
        <w:rPr>
          <w:rFonts w:ascii="Times New Roman"/>
        </w:rPr>
        <w:t>田间检测</w:t>
      </w:r>
    </w:p>
    <w:p w14:paraId="78EB9693">
      <w:pPr>
        <w:pStyle w:val="56"/>
        <w:ind w:firstLine="420" w:firstLineChars="0"/>
      </w:pPr>
      <w:r>
        <w:t>当需要现场初步检验时，将叶片样品进行二次取样。可采用已灭菌的打孔器进行混合取样，放入研磨袋中，按照免疫胶体金试纸条方法操作，进行初步判断。具体操作和检测标准请参考 GB/T 36780。</w:t>
      </w:r>
    </w:p>
    <w:p w14:paraId="00FC7281">
      <w:pPr>
        <w:pStyle w:val="56"/>
        <w:ind w:firstLine="420"/>
      </w:pPr>
      <w:r>
        <w:t>如需进一步确认，则将样品带回实验室进行再次检测。带回样品需单独放入采样袋，袋内应附有标签，标签应记录好采集时间、地点、采集人、发病症状及发病面积等必要信息。</w:t>
      </w:r>
    </w:p>
    <w:p w14:paraId="6FC15DF5">
      <w:pPr>
        <w:pStyle w:val="105"/>
        <w:spacing w:before="156" w:after="156"/>
        <w:rPr>
          <w:rFonts w:ascii="Times New Roman"/>
        </w:rPr>
      </w:pPr>
      <w:r>
        <w:rPr>
          <w:rFonts w:ascii="Times New Roman"/>
        </w:rPr>
        <w:t>实验室检测</w:t>
      </w:r>
    </w:p>
    <w:p w14:paraId="683E6874">
      <w:pPr>
        <w:pStyle w:val="56"/>
        <w:ind w:firstLine="420"/>
      </w:pPr>
      <w:r>
        <w:t>在实验室检测时，可进行子样品拆分，每个子样最多 250 粒种子，12 个子样独立提取、分别检测。适用于DAS-ELISA、RT-PCR 和实时荧光RT- PCR方法。具体操作和检测标准请参考 GB/T 36780。</w:t>
      </w:r>
    </w:p>
    <w:p w14:paraId="3D3A1776">
      <w:pPr>
        <w:pStyle w:val="104"/>
        <w:spacing w:before="312" w:after="312"/>
        <w:rPr>
          <w:rFonts w:ascii="Times New Roman"/>
        </w:rPr>
      </w:pPr>
      <w:r>
        <w:rPr>
          <w:rFonts w:ascii="Times New Roman"/>
        </w:rPr>
        <w:t>田间监测</w:t>
      </w:r>
    </w:p>
    <w:p w14:paraId="78A2E43A">
      <w:pPr>
        <w:pStyle w:val="105"/>
        <w:spacing w:before="156" w:after="156"/>
        <w:rPr>
          <w:rFonts w:ascii="Times New Roman"/>
        </w:rPr>
      </w:pPr>
      <w:r>
        <w:rPr>
          <w:rFonts w:ascii="Times New Roman"/>
        </w:rPr>
        <w:t>监测准备</w:t>
      </w:r>
    </w:p>
    <w:p w14:paraId="1C1A8786">
      <w:pPr>
        <w:pStyle w:val="56"/>
        <w:ind w:firstLine="420"/>
      </w:pPr>
      <w:r>
        <w:t>收集当地各种辣椒类植物或其他易感作物种植情况、辣椒轻斑驳病毒发生情况等相关资料；制定简便易行的辣椒轻斑驳病毒监测计划。</w:t>
      </w:r>
    </w:p>
    <w:p w14:paraId="40CDDC4C">
      <w:pPr>
        <w:pStyle w:val="105"/>
        <w:spacing w:before="156" w:after="156"/>
        <w:rPr>
          <w:rFonts w:ascii="Times New Roman"/>
        </w:rPr>
      </w:pPr>
      <w:r>
        <w:rPr>
          <w:rFonts w:ascii="Times New Roman"/>
        </w:rPr>
        <w:t>种子监测</w:t>
      </w:r>
    </w:p>
    <w:p w14:paraId="3489276D">
      <w:pPr>
        <w:pStyle w:val="56"/>
        <w:ind w:firstLine="420"/>
      </w:pPr>
      <w:r>
        <w:t xml:space="preserve">在 10 月 ～ </w:t>
      </w:r>
      <w:r>
        <w:rPr>
          <w:rFonts w:hint="eastAsia"/>
        </w:rPr>
        <w:t>次</w:t>
      </w:r>
      <w:r>
        <w:t>年 2 月份对市场销售的各类辣椒或其他易感作物种子进行扦样，送指定的部门进行检测。重点查验辣椒种子。</w:t>
      </w:r>
    </w:p>
    <w:p w14:paraId="0CBA55F2">
      <w:pPr>
        <w:pStyle w:val="56"/>
        <w:ind w:firstLine="420"/>
      </w:pPr>
      <w:r>
        <w:t>样品取样量参照《农作物种子检验规程 扦样》GB/T 3543.2。取好的样品需采用塑料袋中密封，贴好标签，并注明采集时间、采集地点和采集人等相关信息。必要时 4℃ 保存。</w:t>
      </w:r>
    </w:p>
    <w:p w14:paraId="637FD41E">
      <w:pPr>
        <w:pStyle w:val="105"/>
        <w:spacing w:before="156" w:after="156"/>
        <w:rPr>
          <w:rFonts w:ascii="Times New Roman"/>
        </w:rPr>
      </w:pPr>
      <w:r>
        <w:rPr>
          <w:rFonts w:ascii="Times New Roman"/>
        </w:rPr>
        <w:t>田间监测</w:t>
      </w:r>
    </w:p>
    <w:p w14:paraId="39F96D5F">
      <w:pPr>
        <w:pStyle w:val="65"/>
        <w:spacing w:before="156" w:after="156"/>
        <w:rPr>
          <w:rFonts w:ascii="Times New Roman"/>
        </w:rPr>
      </w:pPr>
      <w:r>
        <w:rPr>
          <w:rFonts w:ascii="Times New Roman"/>
        </w:rPr>
        <w:t>监测区域</w:t>
      </w:r>
    </w:p>
    <w:p w14:paraId="30E5B39F">
      <w:pPr>
        <w:pStyle w:val="94"/>
        <w:spacing w:before="156" w:after="156"/>
        <w:rPr>
          <w:rFonts w:ascii="Times New Roman"/>
        </w:rPr>
      </w:pPr>
      <w:r>
        <w:rPr>
          <w:rFonts w:ascii="Times New Roman"/>
        </w:rPr>
        <w:t>未发生区</w:t>
      </w:r>
    </w:p>
    <w:p w14:paraId="7728B9FE">
      <w:pPr>
        <w:pStyle w:val="56"/>
        <w:ind w:firstLine="420"/>
      </w:pPr>
      <w:r>
        <w:t>重点监测从疫情发生区调入辣椒等种苗及产品的地区，境外辣椒等引种种植区，辣椒等寄主种苗繁育基地、出口辣椒种子生产基地及周边等疫情发生高风险区域。主要监测是否传入辣椒轻斑驳病毒。</w:t>
      </w:r>
    </w:p>
    <w:p w14:paraId="7074404E">
      <w:pPr>
        <w:pStyle w:val="94"/>
        <w:spacing w:before="156" w:after="156"/>
        <w:rPr>
          <w:rFonts w:ascii="Times New Roman"/>
        </w:rPr>
      </w:pPr>
      <w:r>
        <w:rPr>
          <w:rFonts w:ascii="Times New Roman"/>
        </w:rPr>
        <w:t>发生区</w:t>
      </w:r>
    </w:p>
    <w:p w14:paraId="36D3D411">
      <w:pPr>
        <w:pStyle w:val="56"/>
        <w:ind w:firstLine="420"/>
      </w:pPr>
      <w:r>
        <w:t>重点监测发生疫情的代表性地块和边缘区。主要监测多年种植寄主植物并有辣椒轻斑驳病毒发生历史的地块和带毒种苗来源的育苗基地。监测辣椒轻斑驳病毒的发生动态和扩散趋势。</w:t>
      </w:r>
    </w:p>
    <w:p w14:paraId="777B6105">
      <w:pPr>
        <w:pStyle w:val="65"/>
        <w:spacing w:before="156" w:after="156"/>
        <w:rPr>
          <w:rFonts w:ascii="Times New Roman"/>
        </w:rPr>
      </w:pPr>
      <w:r>
        <w:rPr>
          <w:rFonts w:ascii="Times New Roman"/>
        </w:rPr>
        <w:t>监测时间</w:t>
      </w:r>
    </w:p>
    <w:p w14:paraId="5345FCA5">
      <w:pPr>
        <w:pStyle w:val="56"/>
        <w:ind w:firstLine="420"/>
      </w:pPr>
      <w:r>
        <w:t>在辣椒等作物苗期、开花坐果期和结果期等辣椒轻斑驳病毒显症期分别进行 2 次 ～ 3 次调查，各地可根据当地的气候和辣椒等寄主的生育期确定具体的调查时间，重点开展结果期监测。</w:t>
      </w:r>
    </w:p>
    <w:p w14:paraId="3EFA1B49">
      <w:pPr>
        <w:pStyle w:val="65"/>
        <w:spacing w:before="156" w:after="156"/>
        <w:rPr>
          <w:rFonts w:ascii="Times New Roman"/>
        </w:rPr>
      </w:pPr>
      <w:r>
        <w:rPr>
          <w:rFonts w:ascii="Times New Roman"/>
        </w:rPr>
        <w:t>监测方法</w:t>
      </w:r>
    </w:p>
    <w:p w14:paraId="1BF59517">
      <w:pPr>
        <w:pStyle w:val="94"/>
        <w:spacing w:before="156" w:after="156"/>
        <w:rPr>
          <w:rFonts w:ascii="Times New Roman"/>
        </w:rPr>
      </w:pPr>
      <w:r>
        <w:rPr>
          <w:rFonts w:ascii="Times New Roman"/>
        </w:rPr>
        <w:t>访问调查</w:t>
      </w:r>
    </w:p>
    <w:p w14:paraId="37655777">
      <w:pPr>
        <w:pStyle w:val="56"/>
        <w:ind w:firstLine="420"/>
      </w:pPr>
      <w:r>
        <w:t>向菜农、农资经销商、农技人员等相关人员询问有关作物果实褪绿、皱缩和花叶情况，初步了解疫情可能发生地点、时间、危害情况。对询问过程中发现的辣椒轻斑驳病毒可疑发生地区，进行深入重点调查。</w:t>
      </w:r>
    </w:p>
    <w:p w14:paraId="45D94E57">
      <w:pPr>
        <w:pStyle w:val="94"/>
        <w:spacing w:before="156" w:after="156"/>
        <w:rPr>
          <w:rFonts w:ascii="Times New Roman"/>
        </w:rPr>
      </w:pPr>
      <w:r>
        <w:rPr>
          <w:rFonts w:ascii="Times New Roman"/>
        </w:rPr>
        <w:t>田间踏查</w:t>
      </w:r>
    </w:p>
    <w:p w14:paraId="3C9F3ED7">
      <w:pPr>
        <w:pStyle w:val="56"/>
        <w:ind w:firstLine="420"/>
      </w:pPr>
      <w:r>
        <w:t>对访问调查过程中发现的可疑发生区和其他高风险辣椒等寄主作物种植区，在生长期进行 2 次 ～3 次踏查，观察田间有无辣椒轻斑驳病毒发病症状（</w:t>
      </w:r>
      <w:r>
        <w:rPr>
          <w:rFonts w:hint="eastAsia"/>
        </w:rPr>
        <w:t>参</w:t>
      </w:r>
      <w:r>
        <w:t>见附录A）。调查面积应占可疑发生区和其他高风险寄主作物种植区种植面积的 20% ～ 30%。</w:t>
      </w:r>
    </w:p>
    <w:p w14:paraId="443A92C6">
      <w:pPr>
        <w:pStyle w:val="94"/>
        <w:spacing w:before="156" w:after="156"/>
        <w:rPr>
          <w:rFonts w:ascii="Times New Roman"/>
        </w:rPr>
      </w:pPr>
      <w:r>
        <w:rPr>
          <w:rFonts w:ascii="Times New Roman"/>
        </w:rPr>
        <w:t>定点调查</w:t>
      </w:r>
    </w:p>
    <w:p w14:paraId="161D9983">
      <w:pPr>
        <w:pStyle w:val="56"/>
        <w:ind w:firstLine="420"/>
      </w:pPr>
      <w:r>
        <w:t>在访问调查和踏查过程中，在未发生区发现可疑疫情需进行定点调查，采用 5 点取样法，每点随机调查 10 株，统计发病株率与病果率；在发生区，每县（市、区）选10个调查点，每 7 d 调查 1 次，整个生育期调查 4 次。</w:t>
      </w:r>
    </w:p>
    <w:p w14:paraId="0896F96E">
      <w:pPr>
        <w:pStyle w:val="105"/>
        <w:spacing w:before="156" w:after="156"/>
        <w:rPr>
          <w:rFonts w:ascii="Times New Roman"/>
        </w:rPr>
      </w:pPr>
      <w:r>
        <w:rPr>
          <w:rFonts w:ascii="Times New Roman"/>
        </w:rPr>
        <w:t>监测报告</w:t>
      </w:r>
    </w:p>
    <w:p w14:paraId="22EBA557">
      <w:pPr>
        <w:pStyle w:val="56"/>
        <w:ind w:firstLine="420"/>
      </w:pPr>
      <w:r>
        <w:t>详细记录监测结果，记载调查地点、时间、寄主植物名称、发生面积、危害程度等（</w:t>
      </w:r>
      <w:r>
        <w:rPr>
          <w:rFonts w:hint="eastAsia"/>
        </w:rPr>
        <w:t>参</w:t>
      </w:r>
      <w:r>
        <w:t>见附录 B）。并将原始记录表连同照片、影像等其它资料整理汇总形成监测报告，由县级植物检疫机构按要求逐级报送。</w:t>
      </w:r>
    </w:p>
    <w:p w14:paraId="4532ACCF">
      <w:pPr>
        <w:pStyle w:val="104"/>
        <w:spacing w:before="312" w:after="312"/>
        <w:rPr>
          <w:rFonts w:ascii="Times New Roman"/>
        </w:rPr>
      </w:pPr>
      <w:r>
        <w:rPr>
          <w:rFonts w:ascii="Times New Roman"/>
        </w:rPr>
        <w:t>样品保存</w:t>
      </w:r>
    </w:p>
    <w:p w14:paraId="441C4F80">
      <w:pPr>
        <w:pStyle w:val="56"/>
        <w:ind w:firstLine="420"/>
      </w:pPr>
      <w:r>
        <w:t>样品采集应以幼嫩叶片为主，适合压制的叶片标本，应随时采随时压于标本夹中；新鲜样品建议采取冻干（或 -20 ℃）保存。应配有田间调查的植株、叶片、花、果实等资料，症状照片。种子样品应干燥低温保存。记载寄主名称、发病情况、环境条件、采集地点、采集日期、采集人姓名等。</w:t>
      </w:r>
    </w:p>
    <w:p w14:paraId="0D22B439">
      <w:pPr>
        <w:pStyle w:val="56"/>
        <w:ind w:firstLine="420"/>
      </w:pPr>
      <w:r>
        <w:t>若进行试纸条等现场检测，则需保留相关记录。</w:t>
      </w:r>
    </w:p>
    <w:p w14:paraId="0768B691">
      <w:pPr>
        <w:pStyle w:val="56"/>
        <w:ind w:firstLine="420"/>
      </w:pPr>
    </w:p>
    <w:p w14:paraId="57309391">
      <w:pPr>
        <w:pStyle w:val="56"/>
        <w:ind w:firstLine="420"/>
      </w:pPr>
    </w:p>
    <w:p w14:paraId="7D9A1908">
      <w:pPr>
        <w:pStyle w:val="56"/>
        <w:ind w:firstLine="420"/>
      </w:pPr>
    </w:p>
    <w:p w14:paraId="1BBF55AC">
      <w:pPr>
        <w:pStyle w:val="56"/>
        <w:ind w:firstLine="420"/>
      </w:pPr>
    </w:p>
    <w:p w14:paraId="16467470">
      <w:pPr>
        <w:pStyle w:val="56"/>
        <w:ind w:firstLine="420"/>
      </w:pPr>
    </w:p>
    <w:p w14:paraId="27EDB512">
      <w:pPr>
        <w:pStyle w:val="56"/>
        <w:ind w:firstLine="420"/>
      </w:pPr>
    </w:p>
    <w:p w14:paraId="654838D9">
      <w:pPr>
        <w:pStyle w:val="56"/>
        <w:ind w:firstLine="420"/>
      </w:pPr>
    </w:p>
    <w:p w14:paraId="1EB9B759">
      <w:pPr>
        <w:pStyle w:val="56"/>
        <w:ind w:firstLine="420"/>
        <w:sectPr>
          <w:pgSz w:w="11906" w:h="16838"/>
          <w:pgMar w:top="1928" w:right="1134" w:bottom="1134" w:left="1134" w:header="1418" w:footer="1134" w:gutter="284"/>
          <w:pgNumType w:start="1"/>
          <w:cols w:space="425" w:num="1"/>
          <w:formProt w:val="0"/>
          <w:docGrid w:type="lines" w:linePitch="312" w:charSpace="0"/>
        </w:sectPr>
      </w:pPr>
    </w:p>
    <w:bookmarkEnd w:id="22"/>
    <w:p w14:paraId="55BB94FE">
      <w:pPr>
        <w:pStyle w:val="198"/>
        <w:rPr>
          <w:rFonts w:ascii="Times New Roman" w:hAnsi="Times New Roman"/>
          <w:vanish w:val="0"/>
        </w:rPr>
      </w:pPr>
      <w:bookmarkStart w:id="44" w:name="BookMark5"/>
    </w:p>
    <w:p w14:paraId="184FAEF0">
      <w:pPr>
        <w:pStyle w:val="199"/>
        <w:rPr>
          <w:vanish w:val="0"/>
        </w:rPr>
      </w:pPr>
    </w:p>
    <w:p w14:paraId="43F6FEC9">
      <w:pPr>
        <w:pStyle w:val="76"/>
        <w:spacing w:after="156"/>
        <w:rPr>
          <w:rFonts w:ascii="Times New Roman"/>
        </w:rPr>
      </w:pPr>
      <w:r>
        <w:rPr>
          <w:rFonts w:ascii="Times New Roman"/>
        </w:rPr>
        <w:br w:type="textWrapping"/>
      </w:r>
      <w:r>
        <w:rPr>
          <w:rFonts w:ascii="Times New Roman"/>
        </w:rPr>
        <w:t>（资料性）</w:t>
      </w:r>
      <w:r>
        <w:rPr>
          <w:rFonts w:ascii="Times New Roman"/>
        </w:rPr>
        <w:br w:type="textWrapping"/>
      </w:r>
      <w:r>
        <w:rPr>
          <w:rFonts w:ascii="Times New Roman"/>
        </w:rPr>
        <w:t>辣椒轻斑驳病毒典型症状</w:t>
      </w:r>
    </w:p>
    <w:p w14:paraId="75993770">
      <w:pPr>
        <w:pStyle w:val="78"/>
        <w:spacing w:before="156" w:after="156"/>
        <w:rPr>
          <w:rFonts w:ascii="Times New Roman"/>
        </w:rPr>
      </w:pPr>
      <w:r>
        <w:rPr>
          <w:rFonts w:ascii="Times New Roman"/>
        </w:rPr>
        <w:t>为害症状</w:t>
      </w:r>
    </w:p>
    <w:p w14:paraId="11F0BC66">
      <w:pPr>
        <w:pStyle w:val="56"/>
        <w:ind w:firstLine="420"/>
      </w:pPr>
      <w:r>
        <w:t>受害果实变小、畸形，果面斑驳、局部凹陷坏死，叶片表现花叶、皱缩，植株生长缓慢、矮化。（见图 A.1）</w:t>
      </w:r>
    </w:p>
    <w:p w14:paraId="5B786082">
      <w:pPr>
        <w:pStyle w:val="230"/>
        <w:ind w:firstLine="0" w:firstLineChars="0"/>
        <w:jc w:val="left"/>
        <w:rPr>
          <w:rFonts w:ascii="Times New Roman"/>
        </w:rPr>
      </w:pPr>
      <w:r>
        <w:rPr>
          <w:rFonts w:ascii="Times New Roman"/>
        </w:rPr>
        <w:drawing>
          <wp:inline distT="0" distB="0" distL="114300" distR="114300">
            <wp:extent cx="2799715" cy="2499995"/>
            <wp:effectExtent l="0" t="0" r="6985" b="1905"/>
            <wp:docPr id="4" name="图片 4" descr="ad366bdd00e3baf1678b4ce7edc1b9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d366bdd00e3baf1678b4ce7edc1b9c6"/>
                    <pic:cNvPicPr>
                      <a:picLocks noChangeAspect="1"/>
                    </pic:cNvPicPr>
                  </pic:nvPicPr>
                  <pic:blipFill>
                    <a:blip r:embed="rId16"/>
                    <a:stretch>
                      <a:fillRect/>
                    </a:stretch>
                  </pic:blipFill>
                  <pic:spPr>
                    <a:xfrm>
                      <a:off x="0" y="0"/>
                      <a:ext cx="2799715" cy="2499995"/>
                    </a:xfrm>
                    <a:prstGeom prst="rect">
                      <a:avLst/>
                    </a:prstGeom>
                  </pic:spPr>
                </pic:pic>
              </a:graphicData>
            </a:graphic>
          </wp:inline>
        </w:drawing>
      </w:r>
      <w:r>
        <w:rPr>
          <w:rFonts w:ascii="Times New Roman"/>
        </w:rPr>
        <w:t xml:space="preserve"> </w:t>
      </w:r>
      <w:r>
        <w:rPr>
          <w:rFonts w:ascii="Times New Roman"/>
        </w:rPr>
        <w:drawing>
          <wp:inline distT="0" distB="0" distL="0" distR="0">
            <wp:extent cx="2894965" cy="2480310"/>
            <wp:effectExtent l="0" t="0" r="63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cstate="print"/>
                    <a:stretch>
                      <a:fillRect/>
                    </a:stretch>
                  </pic:blipFill>
                  <pic:spPr>
                    <a:xfrm>
                      <a:off x="0" y="0"/>
                      <a:ext cx="2894965" cy="2480310"/>
                    </a:xfrm>
                    <a:prstGeom prst="rect">
                      <a:avLst/>
                    </a:prstGeom>
                  </pic:spPr>
                </pic:pic>
              </a:graphicData>
            </a:graphic>
          </wp:inline>
        </w:drawing>
      </w:r>
    </w:p>
    <w:p w14:paraId="341B31B2">
      <w:pPr>
        <w:pStyle w:val="230"/>
        <w:ind w:firstLine="0" w:firstLineChars="0"/>
        <w:jc w:val="left"/>
        <w:rPr>
          <w:rFonts w:ascii="Times New Roman"/>
        </w:rPr>
      </w:pPr>
      <w:r>
        <w:rPr>
          <w:rFonts w:ascii="Times New Roman"/>
        </w:rPr>
        <w:drawing>
          <wp:inline distT="0" distB="0" distL="114300" distR="114300">
            <wp:extent cx="5769610" cy="2753995"/>
            <wp:effectExtent l="0" t="0" r="8890" b="1905"/>
            <wp:docPr id="1929047467" name="图片 1929047467" descr="5c318aea60c67c549b09d4c95c3402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47467" name="图片 1929047467" descr="5c318aea60c67c549b09d4c95c3402d1"/>
                    <pic:cNvPicPr>
                      <a:picLocks noChangeAspect="1"/>
                    </pic:cNvPicPr>
                  </pic:nvPicPr>
                  <pic:blipFill>
                    <a:blip r:embed="rId18"/>
                    <a:stretch>
                      <a:fillRect/>
                    </a:stretch>
                  </pic:blipFill>
                  <pic:spPr>
                    <a:xfrm>
                      <a:off x="0" y="0"/>
                      <a:ext cx="5769610" cy="2753995"/>
                    </a:xfrm>
                    <a:prstGeom prst="rect">
                      <a:avLst/>
                    </a:prstGeom>
                  </pic:spPr>
                </pic:pic>
              </a:graphicData>
            </a:graphic>
          </wp:inline>
        </w:drawing>
      </w:r>
    </w:p>
    <w:p w14:paraId="124E44AC">
      <w:pPr>
        <w:pStyle w:val="83"/>
        <w:spacing w:before="156" w:after="156"/>
        <w:rPr>
          <w:rFonts w:ascii="Times New Roman"/>
        </w:rPr>
      </w:pPr>
      <w:r>
        <w:rPr>
          <w:rFonts w:ascii="Times New Roman"/>
        </w:rPr>
        <w:t>辣椒轻斑驳病毒引起的辣椒植株和果实症状</w:t>
      </w:r>
    </w:p>
    <w:p w14:paraId="5FAD2724">
      <w:pPr>
        <w:pStyle w:val="56"/>
        <w:ind w:firstLine="420"/>
        <w:sectPr>
          <w:pgSz w:w="11906" w:h="16838"/>
          <w:pgMar w:top="1928" w:right="1134" w:bottom="1134" w:left="1134" w:header="1418" w:footer="1134" w:gutter="284"/>
          <w:cols w:space="425" w:num="1"/>
          <w:formProt w:val="0"/>
          <w:docGrid w:type="lines" w:linePitch="312" w:charSpace="0"/>
        </w:sectPr>
      </w:pPr>
    </w:p>
    <w:p w14:paraId="10C373D0">
      <w:pPr>
        <w:pStyle w:val="198"/>
        <w:rPr>
          <w:rFonts w:ascii="Times New Roman" w:hAnsi="Times New Roman"/>
          <w:vanish w:val="0"/>
        </w:rPr>
      </w:pPr>
    </w:p>
    <w:p w14:paraId="353E9CF9">
      <w:pPr>
        <w:pStyle w:val="199"/>
        <w:rPr>
          <w:vanish w:val="0"/>
        </w:rPr>
      </w:pPr>
    </w:p>
    <w:p w14:paraId="3E18CEF4">
      <w:pPr>
        <w:pStyle w:val="76"/>
        <w:spacing w:after="156"/>
        <w:rPr>
          <w:rFonts w:ascii="Times New Roman"/>
        </w:rPr>
      </w:pPr>
      <w:r>
        <w:rPr>
          <w:rFonts w:ascii="Times New Roman"/>
        </w:rPr>
        <w:br w:type="textWrapping"/>
      </w:r>
      <w:r>
        <w:rPr>
          <w:rFonts w:ascii="Times New Roman"/>
        </w:rPr>
        <w:t>（资料性）</w:t>
      </w:r>
      <w:r>
        <w:rPr>
          <w:rFonts w:ascii="Times New Roman"/>
        </w:rPr>
        <w:br w:type="textWrapping"/>
      </w:r>
      <w:r>
        <w:rPr>
          <w:rFonts w:ascii="Times New Roman"/>
        </w:rPr>
        <w:t>辣椒轻斑驳病毒调查记录表</w:t>
      </w:r>
    </w:p>
    <w:p w14:paraId="58C83FF4">
      <w:pPr>
        <w:pStyle w:val="78"/>
        <w:spacing w:before="156" w:after="156"/>
        <w:rPr>
          <w:rFonts w:ascii="Times New Roman"/>
        </w:rPr>
      </w:pPr>
      <w:r>
        <w:rPr>
          <w:rFonts w:ascii="Times New Roman"/>
        </w:rPr>
        <w:t>辣椒轻斑驳病毒监测结果填写记录表</w:t>
      </w:r>
    </w:p>
    <w:p w14:paraId="154A6143">
      <w:pPr>
        <w:pStyle w:val="77"/>
        <w:spacing w:before="156" w:after="156"/>
        <w:rPr>
          <w:rFonts w:ascii="Times New Roman"/>
        </w:rPr>
      </w:pPr>
      <w:r>
        <w:rPr>
          <w:rFonts w:ascii="Times New Roman"/>
        </w:rPr>
        <w:t>辣椒轻斑驳病毒调查监测记录表</w:t>
      </w:r>
    </w:p>
    <w:tbl>
      <w:tblPr>
        <w:tblStyle w:val="27"/>
        <w:tblW w:w="934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690"/>
        <w:gridCol w:w="1288"/>
        <w:gridCol w:w="708"/>
        <w:gridCol w:w="558"/>
        <w:gridCol w:w="760"/>
        <w:gridCol w:w="760"/>
        <w:gridCol w:w="761"/>
        <w:gridCol w:w="765"/>
        <w:gridCol w:w="761"/>
        <w:gridCol w:w="761"/>
        <w:gridCol w:w="761"/>
        <w:gridCol w:w="762"/>
        <w:gridCol w:w="9"/>
      </w:tblGrid>
      <w:tr w14:paraId="543C8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93" w:hRule="atLeast"/>
          <w:tblHeader/>
          <w:jc w:val="center"/>
        </w:trPr>
        <w:tc>
          <w:tcPr>
            <w:tcW w:w="6290" w:type="dxa"/>
            <w:gridSpan w:val="8"/>
            <w:tcBorders>
              <w:top w:val="single" w:color="auto" w:sz="8" w:space="0"/>
              <w:bottom w:val="single" w:color="auto" w:sz="8" w:space="0"/>
            </w:tcBorders>
          </w:tcPr>
          <w:p w14:paraId="61821736">
            <w:pPr>
              <w:pStyle w:val="178"/>
              <w:jc w:val="both"/>
              <w:rPr>
                <w:rFonts w:ascii="Times New Roman" w:hAnsi="Times New Roman"/>
              </w:rPr>
            </w:pPr>
            <w:r>
              <w:rPr>
                <w:rFonts w:ascii="Times New Roman" w:hAnsi="Times New Roman"/>
                <w:szCs w:val="21"/>
              </w:rPr>
              <w:t>调查地点：           县                 乡（镇）                  村</w:t>
            </w:r>
          </w:p>
        </w:tc>
        <w:tc>
          <w:tcPr>
            <w:tcW w:w="3054" w:type="dxa"/>
            <w:gridSpan w:val="5"/>
            <w:tcBorders>
              <w:top w:val="single" w:color="auto" w:sz="8" w:space="0"/>
              <w:bottom w:val="single" w:color="auto" w:sz="8" w:space="0"/>
            </w:tcBorders>
          </w:tcPr>
          <w:p w14:paraId="56C16495">
            <w:pPr>
              <w:pStyle w:val="178"/>
              <w:jc w:val="both"/>
              <w:rPr>
                <w:rFonts w:ascii="Times New Roman" w:hAnsi="Times New Roman"/>
              </w:rPr>
            </w:pPr>
            <w:r>
              <w:rPr>
                <w:rFonts w:ascii="Times New Roman" w:hAnsi="Times New Roman"/>
                <w:szCs w:val="21"/>
              </w:rPr>
              <w:t>调查时间：</w:t>
            </w:r>
          </w:p>
        </w:tc>
      </w:tr>
      <w:tr w14:paraId="5155B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93" w:hRule="atLeast"/>
          <w:jc w:val="center"/>
        </w:trPr>
        <w:tc>
          <w:tcPr>
            <w:tcW w:w="6290" w:type="dxa"/>
            <w:gridSpan w:val="8"/>
            <w:tcBorders>
              <w:top w:val="single" w:color="auto" w:sz="8" w:space="0"/>
            </w:tcBorders>
            <w:vAlign w:val="center"/>
          </w:tcPr>
          <w:p w14:paraId="31E82688">
            <w:pPr>
              <w:pStyle w:val="178"/>
              <w:jc w:val="both"/>
              <w:rPr>
                <w:rFonts w:ascii="Times New Roman" w:hAnsi="Times New Roman"/>
              </w:rPr>
            </w:pPr>
            <w:r>
              <w:rPr>
                <w:rFonts w:ascii="Times New Roman" w:hAnsi="Times New Roman"/>
                <w:szCs w:val="21"/>
              </w:rPr>
              <w:t>调查单位：</w:t>
            </w:r>
          </w:p>
        </w:tc>
        <w:tc>
          <w:tcPr>
            <w:tcW w:w="3054" w:type="dxa"/>
            <w:gridSpan w:val="5"/>
            <w:tcBorders>
              <w:top w:val="single" w:color="auto" w:sz="8" w:space="0"/>
            </w:tcBorders>
            <w:vAlign w:val="center"/>
          </w:tcPr>
          <w:p w14:paraId="321B032D">
            <w:pPr>
              <w:pStyle w:val="178"/>
              <w:jc w:val="both"/>
              <w:rPr>
                <w:rFonts w:ascii="Times New Roman" w:hAnsi="Times New Roman"/>
              </w:rPr>
            </w:pPr>
            <w:r>
              <w:rPr>
                <w:rFonts w:ascii="Times New Roman" w:hAnsi="Times New Roman"/>
                <w:szCs w:val="21"/>
              </w:rPr>
              <w:t>调查人：</w:t>
            </w:r>
          </w:p>
        </w:tc>
      </w:tr>
      <w:tr w14:paraId="7AA49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93" w:hRule="atLeast"/>
          <w:jc w:val="center"/>
        </w:trPr>
        <w:tc>
          <w:tcPr>
            <w:tcW w:w="3244" w:type="dxa"/>
            <w:gridSpan w:val="4"/>
          </w:tcPr>
          <w:p w14:paraId="5F9BD131">
            <w:pPr>
              <w:pStyle w:val="178"/>
              <w:jc w:val="left"/>
              <w:rPr>
                <w:rFonts w:ascii="Times New Roman" w:hAnsi="Times New Roman"/>
              </w:rPr>
            </w:pPr>
            <w:r>
              <w:rPr>
                <w:rFonts w:ascii="Times New Roman" w:hAnsi="Times New Roman"/>
                <w:szCs w:val="21"/>
              </w:rPr>
              <w:t>作物名称：</w:t>
            </w:r>
          </w:p>
        </w:tc>
        <w:tc>
          <w:tcPr>
            <w:tcW w:w="3046" w:type="dxa"/>
            <w:gridSpan w:val="4"/>
          </w:tcPr>
          <w:p w14:paraId="77B54167">
            <w:pPr>
              <w:pStyle w:val="178"/>
              <w:jc w:val="left"/>
              <w:rPr>
                <w:rFonts w:ascii="Times New Roman" w:hAnsi="Times New Roman"/>
              </w:rPr>
            </w:pPr>
            <w:r>
              <w:rPr>
                <w:rFonts w:ascii="Times New Roman" w:hAnsi="Times New Roman"/>
                <w:szCs w:val="21"/>
              </w:rPr>
              <w:t>生育期：</w:t>
            </w:r>
          </w:p>
        </w:tc>
        <w:tc>
          <w:tcPr>
            <w:tcW w:w="3054" w:type="dxa"/>
            <w:gridSpan w:val="5"/>
          </w:tcPr>
          <w:p w14:paraId="7F9B0F3D">
            <w:pPr>
              <w:pStyle w:val="178"/>
              <w:jc w:val="left"/>
              <w:rPr>
                <w:rFonts w:ascii="Times New Roman" w:hAnsi="Times New Roman"/>
              </w:rPr>
            </w:pPr>
            <w:r>
              <w:rPr>
                <w:rFonts w:ascii="Times New Roman" w:hAnsi="Times New Roman"/>
                <w:szCs w:val="21"/>
              </w:rPr>
              <w:t>栽培方式：</w:t>
            </w:r>
          </w:p>
        </w:tc>
      </w:tr>
      <w:tr w14:paraId="350CF6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93" w:hRule="atLeast"/>
          <w:jc w:val="center"/>
        </w:trPr>
        <w:tc>
          <w:tcPr>
            <w:tcW w:w="3244" w:type="dxa"/>
            <w:gridSpan w:val="4"/>
          </w:tcPr>
          <w:p w14:paraId="182A12B5">
            <w:pPr>
              <w:pStyle w:val="178"/>
              <w:jc w:val="left"/>
              <w:rPr>
                <w:rFonts w:ascii="Times New Roman" w:hAnsi="Times New Roman"/>
              </w:rPr>
            </w:pPr>
            <w:r>
              <w:rPr>
                <w:rFonts w:ascii="Times New Roman" w:hAnsi="Times New Roman"/>
              </w:rPr>
              <w:t>种植面积</w:t>
            </w:r>
            <w:r>
              <w:rPr>
                <w:rFonts w:ascii="Times New Roman" w:hAnsi="Times New Roman"/>
                <w:szCs w:val="21"/>
              </w:rPr>
              <w:t>（667m</w:t>
            </w:r>
            <w:r>
              <w:rPr>
                <w:rFonts w:ascii="Times New Roman" w:hAnsi="Times New Roman"/>
                <w:szCs w:val="21"/>
                <w:vertAlign w:val="superscript"/>
              </w:rPr>
              <w:t>2</w:t>
            </w:r>
            <w:r>
              <w:rPr>
                <w:rFonts w:ascii="Times New Roman" w:hAnsi="Times New Roman"/>
                <w:szCs w:val="21"/>
              </w:rPr>
              <w:t>）：</w:t>
            </w:r>
          </w:p>
        </w:tc>
        <w:tc>
          <w:tcPr>
            <w:tcW w:w="3046" w:type="dxa"/>
            <w:gridSpan w:val="4"/>
          </w:tcPr>
          <w:p w14:paraId="211C5D88">
            <w:pPr>
              <w:pStyle w:val="178"/>
              <w:jc w:val="left"/>
              <w:rPr>
                <w:rFonts w:ascii="Times New Roman" w:hAnsi="Times New Roman"/>
              </w:rPr>
            </w:pPr>
            <w:r>
              <w:rPr>
                <w:rFonts w:ascii="Times New Roman" w:hAnsi="Times New Roman"/>
                <w:szCs w:val="21"/>
              </w:rPr>
              <w:t>调查面积（667m</w:t>
            </w:r>
            <w:r>
              <w:rPr>
                <w:rFonts w:ascii="Times New Roman" w:hAnsi="Times New Roman"/>
                <w:szCs w:val="21"/>
                <w:vertAlign w:val="superscript"/>
              </w:rPr>
              <w:t>2</w:t>
            </w:r>
            <w:r>
              <w:rPr>
                <w:rFonts w:ascii="Times New Roman" w:hAnsi="Times New Roman"/>
                <w:szCs w:val="21"/>
              </w:rPr>
              <w:t>）：</w:t>
            </w:r>
          </w:p>
        </w:tc>
        <w:tc>
          <w:tcPr>
            <w:tcW w:w="3054" w:type="dxa"/>
            <w:gridSpan w:val="5"/>
          </w:tcPr>
          <w:p w14:paraId="583CF196">
            <w:pPr>
              <w:pStyle w:val="178"/>
              <w:jc w:val="left"/>
              <w:rPr>
                <w:rFonts w:ascii="Times New Roman" w:hAnsi="Times New Roman"/>
              </w:rPr>
            </w:pPr>
            <w:r>
              <w:rPr>
                <w:rFonts w:ascii="Times New Roman" w:hAnsi="Times New Roman"/>
                <w:szCs w:val="21"/>
              </w:rPr>
              <w:t>种苗来源：</w:t>
            </w:r>
          </w:p>
        </w:tc>
      </w:tr>
      <w:tr w14:paraId="796286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4232" w:hRule="atLeast"/>
          <w:jc w:val="center"/>
        </w:trPr>
        <w:tc>
          <w:tcPr>
            <w:tcW w:w="9344" w:type="dxa"/>
            <w:gridSpan w:val="13"/>
            <w:vAlign w:val="center"/>
          </w:tcPr>
          <w:p w14:paraId="4D636690">
            <w:pPr>
              <w:pStyle w:val="178"/>
              <w:jc w:val="both"/>
              <w:rPr>
                <w:rFonts w:ascii="Times New Roman" w:hAnsi="Times New Roman"/>
              </w:rPr>
            </w:pPr>
            <w:r>
              <w:rPr>
                <w:rFonts w:ascii="Times New Roman" w:hAnsi="Times New Roman"/>
              </w:rPr>
              <w:t>疑似症状/危害状：</w:t>
            </w:r>
          </w:p>
        </w:tc>
      </w:tr>
      <w:tr w14:paraId="54A6E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gridAfter w:val="1"/>
          <w:wAfter w:w="9" w:type="dxa"/>
          <w:trHeight w:val="393" w:hRule="atLeast"/>
          <w:jc w:val="center"/>
        </w:trPr>
        <w:tc>
          <w:tcPr>
            <w:tcW w:w="690" w:type="dxa"/>
            <w:vMerge w:val="restart"/>
            <w:vAlign w:val="center"/>
          </w:tcPr>
          <w:p w14:paraId="53C8A440">
            <w:pPr>
              <w:pStyle w:val="178"/>
              <w:rPr>
                <w:rFonts w:ascii="Times New Roman" w:hAnsi="Times New Roman"/>
              </w:rPr>
            </w:pPr>
            <w:r>
              <w:rPr>
                <w:rFonts w:ascii="Times New Roman" w:hAnsi="Times New Roman"/>
              </w:rPr>
              <w:t>田间调查</w:t>
            </w:r>
          </w:p>
        </w:tc>
        <w:tc>
          <w:tcPr>
            <w:tcW w:w="1288" w:type="dxa"/>
          </w:tcPr>
          <w:p w14:paraId="535213C6">
            <w:pPr>
              <w:pStyle w:val="178"/>
              <w:jc w:val="left"/>
              <w:rPr>
                <w:rFonts w:ascii="Times New Roman" w:hAnsi="Times New Roman"/>
              </w:rPr>
            </w:pPr>
            <w:r>
              <w:rPr>
                <w:rFonts w:ascii="Times New Roman" w:hAnsi="Times New Roman"/>
                <w:szCs w:val="21"/>
              </w:rPr>
              <w:t>调查点数</w:t>
            </w:r>
          </w:p>
        </w:tc>
        <w:tc>
          <w:tcPr>
            <w:tcW w:w="708" w:type="dxa"/>
          </w:tcPr>
          <w:p w14:paraId="0ECD7BAF">
            <w:pPr>
              <w:pStyle w:val="178"/>
              <w:rPr>
                <w:rFonts w:ascii="Times New Roman" w:hAnsi="Times New Roman"/>
              </w:rPr>
            </w:pPr>
            <w:r>
              <w:rPr>
                <w:rFonts w:ascii="Times New Roman" w:hAnsi="Times New Roman"/>
                <w:szCs w:val="21"/>
              </w:rPr>
              <w:t>1</w:t>
            </w:r>
          </w:p>
        </w:tc>
        <w:tc>
          <w:tcPr>
            <w:tcW w:w="558" w:type="dxa"/>
          </w:tcPr>
          <w:p w14:paraId="7C0E9980">
            <w:pPr>
              <w:pStyle w:val="178"/>
              <w:rPr>
                <w:rFonts w:ascii="Times New Roman" w:hAnsi="Times New Roman"/>
              </w:rPr>
            </w:pPr>
            <w:r>
              <w:rPr>
                <w:rFonts w:ascii="Times New Roman" w:hAnsi="Times New Roman"/>
                <w:szCs w:val="21"/>
              </w:rPr>
              <w:t>2</w:t>
            </w:r>
          </w:p>
        </w:tc>
        <w:tc>
          <w:tcPr>
            <w:tcW w:w="760" w:type="dxa"/>
          </w:tcPr>
          <w:p w14:paraId="5723B4CA">
            <w:pPr>
              <w:pStyle w:val="178"/>
              <w:rPr>
                <w:rFonts w:ascii="Times New Roman" w:hAnsi="Times New Roman"/>
              </w:rPr>
            </w:pPr>
            <w:r>
              <w:rPr>
                <w:rFonts w:ascii="Times New Roman" w:hAnsi="Times New Roman"/>
                <w:szCs w:val="21"/>
              </w:rPr>
              <w:t>3</w:t>
            </w:r>
          </w:p>
        </w:tc>
        <w:tc>
          <w:tcPr>
            <w:tcW w:w="760" w:type="dxa"/>
          </w:tcPr>
          <w:p w14:paraId="0FDB9BCD">
            <w:pPr>
              <w:pStyle w:val="178"/>
              <w:rPr>
                <w:rFonts w:ascii="Times New Roman" w:hAnsi="Times New Roman"/>
              </w:rPr>
            </w:pPr>
            <w:r>
              <w:rPr>
                <w:rFonts w:ascii="Times New Roman" w:hAnsi="Times New Roman"/>
                <w:szCs w:val="21"/>
              </w:rPr>
              <w:t>4</w:t>
            </w:r>
          </w:p>
        </w:tc>
        <w:tc>
          <w:tcPr>
            <w:tcW w:w="761" w:type="dxa"/>
          </w:tcPr>
          <w:p w14:paraId="76F4C8F5">
            <w:pPr>
              <w:pStyle w:val="178"/>
              <w:rPr>
                <w:rFonts w:ascii="Times New Roman" w:hAnsi="Times New Roman"/>
              </w:rPr>
            </w:pPr>
            <w:r>
              <w:rPr>
                <w:rFonts w:ascii="Times New Roman" w:hAnsi="Times New Roman"/>
                <w:szCs w:val="21"/>
              </w:rPr>
              <w:t>5</w:t>
            </w:r>
          </w:p>
        </w:tc>
        <w:tc>
          <w:tcPr>
            <w:tcW w:w="765" w:type="dxa"/>
          </w:tcPr>
          <w:p w14:paraId="27CE55C4">
            <w:pPr>
              <w:pStyle w:val="178"/>
              <w:rPr>
                <w:rFonts w:ascii="Times New Roman" w:hAnsi="Times New Roman"/>
              </w:rPr>
            </w:pPr>
            <w:r>
              <w:rPr>
                <w:rFonts w:ascii="Times New Roman" w:hAnsi="Times New Roman"/>
                <w:szCs w:val="21"/>
              </w:rPr>
              <w:t>6</w:t>
            </w:r>
          </w:p>
        </w:tc>
        <w:tc>
          <w:tcPr>
            <w:tcW w:w="761" w:type="dxa"/>
          </w:tcPr>
          <w:p w14:paraId="31BD164C">
            <w:pPr>
              <w:pStyle w:val="178"/>
              <w:rPr>
                <w:rFonts w:ascii="Times New Roman" w:hAnsi="Times New Roman"/>
              </w:rPr>
            </w:pPr>
            <w:r>
              <w:rPr>
                <w:rFonts w:ascii="Times New Roman" w:hAnsi="Times New Roman"/>
                <w:szCs w:val="21"/>
              </w:rPr>
              <w:t>7</w:t>
            </w:r>
          </w:p>
        </w:tc>
        <w:tc>
          <w:tcPr>
            <w:tcW w:w="761" w:type="dxa"/>
          </w:tcPr>
          <w:p w14:paraId="3E0D3022">
            <w:pPr>
              <w:pStyle w:val="178"/>
              <w:rPr>
                <w:rFonts w:ascii="Times New Roman" w:hAnsi="Times New Roman"/>
              </w:rPr>
            </w:pPr>
            <w:r>
              <w:rPr>
                <w:rFonts w:ascii="Times New Roman" w:hAnsi="Times New Roman"/>
                <w:szCs w:val="21"/>
              </w:rPr>
              <w:t>8</w:t>
            </w:r>
          </w:p>
        </w:tc>
        <w:tc>
          <w:tcPr>
            <w:tcW w:w="761" w:type="dxa"/>
          </w:tcPr>
          <w:p w14:paraId="1AFC6FFB">
            <w:pPr>
              <w:pStyle w:val="178"/>
              <w:rPr>
                <w:rFonts w:ascii="Times New Roman" w:hAnsi="Times New Roman"/>
              </w:rPr>
            </w:pPr>
            <w:r>
              <w:rPr>
                <w:rFonts w:ascii="Times New Roman" w:hAnsi="Times New Roman"/>
                <w:szCs w:val="21"/>
              </w:rPr>
              <w:t>9</w:t>
            </w:r>
          </w:p>
        </w:tc>
        <w:tc>
          <w:tcPr>
            <w:tcW w:w="762" w:type="dxa"/>
          </w:tcPr>
          <w:p w14:paraId="6160ABAD">
            <w:pPr>
              <w:pStyle w:val="178"/>
              <w:rPr>
                <w:rFonts w:ascii="Times New Roman" w:hAnsi="Times New Roman"/>
              </w:rPr>
            </w:pPr>
            <w:r>
              <w:rPr>
                <w:rFonts w:ascii="Times New Roman" w:hAnsi="Times New Roman"/>
                <w:szCs w:val="21"/>
              </w:rPr>
              <w:t>10</w:t>
            </w:r>
          </w:p>
        </w:tc>
      </w:tr>
      <w:tr w14:paraId="7174A7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gridAfter w:val="1"/>
          <w:wAfter w:w="9" w:type="dxa"/>
          <w:trHeight w:val="393" w:hRule="atLeast"/>
          <w:jc w:val="center"/>
        </w:trPr>
        <w:tc>
          <w:tcPr>
            <w:tcW w:w="690" w:type="dxa"/>
            <w:vMerge w:val="continue"/>
            <w:vAlign w:val="center"/>
          </w:tcPr>
          <w:p w14:paraId="230E13DE">
            <w:pPr>
              <w:pStyle w:val="178"/>
              <w:rPr>
                <w:rFonts w:ascii="Times New Roman" w:hAnsi="Times New Roman"/>
              </w:rPr>
            </w:pPr>
          </w:p>
        </w:tc>
        <w:tc>
          <w:tcPr>
            <w:tcW w:w="1288" w:type="dxa"/>
          </w:tcPr>
          <w:p w14:paraId="6E1CFB98">
            <w:pPr>
              <w:pStyle w:val="232"/>
              <w:framePr w:hSpace="0" w:vSpace="0" w:wrap="auto" w:vAnchor="margin" w:hAnchor="text" w:xAlign="left" w:yAlign="inline"/>
              <w:jc w:val="left"/>
              <w:rPr>
                <w:kern w:val="0"/>
                <w:szCs w:val="21"/>
              </w:rPr>
            </w:pPr>
            <w:r>
              <w:rPr>
                <w:kern w:val="0"/>
                <w:szCs w:val="21"/>
              </w:rPr>
              <w:t>调查面积</w:t>
            </w:r>
          </w:p>
          <w:p w14:paraId="68ECEF27">
            <w:pPr>
              <w:pStyle w:val="178"/>
              <w:jc w:val="left"/>
              <w:rPr>
                <w:rFonts w:ascii="Times New Roman" w:hAnsi="Times New Roman"/>
              </w:rPr>
            </w:pPr>
            <w:r>
              <w:rPr>
                <w:rFonts w:ascii="Times New Roman" w:hAnsi="Times New Roman"/>
                <w:szCs w:val="21"/>
              </w:rPr>
              <w:t>（667m</w:t>
            </w:r>
            <w:r>
              <w:rPr>
                <w:rFonts w:ascii="Times New Roman" w:hAnsi="Times New Roman"/>
                <w:szCs w:val="21"/>
                <w:vertAlign w:val="superscript"/>
              </w:rPr>
              <w:t>2</w:t>
            </w:r>
            <w:r>
              <w:rPr>
                <w:rFonts w:ascii="Times New Roman" w:hAnsi="Times New Roman"/>
                <w:szCs w:val="21"/>
              </w:rPr>
              <w:t>）</w:t>
            </w:r>
          </w:p>
        </w:tc>
        <w:tc>
          <w:tcPr>
            <w:tcW w:w="708" w:type="dxa"/>
            <w:vAlign w:val="center"/>
          </w:tcPr>
          <w:p w14:paraId="649F8B99">
            <w:pPr>
              <w:pStyle w:val="178"/>
              <w:rPr>
                <w:rFonts w:ascii="Times New Roman" w:hAnsi="Times New Roman"/>
              </w:rPr>
            </w:pPr>
          </w:p>
        </w:tc>
        <w:tc>
          <w:tcPr>
            <w:tcW w:w="558" w:type="dxa"/>
            <w:vAlign w:val="center"/>
          </w:tcPr>
          <w:p w14:paraId="57BB6404">
            <w:pPr>
              <w:pStyle w:val="178"/>
              <w:rPr>
                <w:rFonts w:ascii="Times New Roman" w:hAnsi="Times New Roman"/>
              </w:rPr>
            </w:pPr>
          </w:p>
        </w:tc>
        <w:tc>
          <w:tcPr>
            <w:tcW w:w="760" w:type="dxa"/>
            <w:vAlign w:val="center"/>
          </w:tcPr>
          <w:p w14:paraId="4AF8DBD2">
            <w:pPr>
              <w:pStyle w:val="178"/>
              <w:rPr>
                <w:rFonts w:ascii="Times New Roman" w:hAnsi="Times New Roman"/>
              </w:rPr>
            </w:pPr>
          </w:p>
        </w:tc>
        <w:tc>
          <w:tcPr>
            <w:tcW w:w="760" w:type="dxa"/>
            <w:vAlign w:val="center"/>
          </w:tcPr>
          <w:p w14:paraId="4815F67C">
            <w:pPr>
              <w:pStyle w:val="178"/>
              <w:rPr>
                <w:rFonts w:ascii="Times New Roman" w:hAnsi="Times New Roman"/>
              </w:rPr>
            </w:pPr>
          </w:p>
        </w:tc>
        <w:tc>
          <w:tcPr>
            <w:tcW w:w="761" w:type="dxa"/>
            <w:vAlign w:val="center"/>
          </w:tcPr>
          <w:p w14:paraId="0D9DBBCE">
            <w:pPr>
              <w:pStyle w:val="178"/>
              <w:rPr>
                <w:rFonts w:ascii="Times New Roman" w:hAnsi="Times New Roman"/>
              </w:rPr>
            </w:pPr>
          </w:p>
        </w:tc>
        <w:tc>
          <w:tcPr>
            <w:tcW w:w="765" w:type="dxa"/>
            <w:vAlign w:val="center"/>
          </w:tcPr>
          <w:p w14:paraId="773A8F9F">
            <w:pPr>
              <w:pStyle w:val="178"/>
              <w:rPr>
                <w:rFonts w:ascii="Times New Roman" w:hAnsi="Times New Roman"/>
              </w:rPr>
            </w:pPr>
          </w:p>
        </w:tc>
        <w:tc>
          <w:tcPr>
            <w:tcW w:w="761" w:type="dxa"/>
            <w:vAlign w:val="center"/>
          </w:tcPr>
          <w:p w14:paraId="1CA4B309">
            <w:pPr>
              <w:pStyle w:val="178"/>
              <w:rPr>
                <w:rFonts w:ascii="Times New Roman" w:hAnsi="Times New Roman"/>
              </w:rPr>
            </w:pPr>
          </w:p>
        </w:tc>
        <w:tc>
          <w:tcPr>
            <w:tcW w:w="761" w:type="dxa"/>
            <w:vAlign w:val="center"/>
          </w:tcPr>
          <w:p w14:paraId="757525E0">
            <w:pPr>
              <w:pStyle w:val="178"/>
              <w:rPr>
                <w:rFonts w:ascii="Times New Roman" w:hAnsi="Times New Roman"/>
              </w:rPr>
            </w:pPr>
          </w:p>
        </w:tc>
        <w:tc>
          <w:tcPr>
            <w:tcW w:w="761" w:type="dxa"/>
            <w:vAlign w:val="center"/>
          </w:tcPr>
          <w:p w14:paraId="2A3AF8C3">
            <w:pPr>
              <w:pStyle w:val="178"/>
              <w:rPr>
                <w:rFonts w:ascii="Times New Roman" w:hAnsi="Times New Roman"/>
              </w:rPr>
            </w:pPr>
          </w:p>
        </w:tc>
        <w:tc>
          <w:tcPr>
            <w:tcW w:w="762" w:type="dxa"/>
            <w:vAlign w:val="center"/>
          </w:tcPr>
          <w:p w14:paraId="33662A61">
            <w:pPr>
              <w:pStyle w:val="178"/>
              <w:rPr>
                <w:rFonts w:ascii="Times New Roman" w:hAnsi="Times New Roman"/>
              </w:rPr>
            </w:pPr>
          </w:p>
        </w:tc>
      </w:tr>
      <w:tr w14:paraId="4C7D8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gridAfter w:val="1"/>
          <w:wAfter w:w="9" w:type="dxa"/>
          <w:trHeight w:val="393" w:hRule="atLeast"/>
          <w:jc w:val="center"/>
        </w:trPr>
        <w:tc>
          <w:tcPr>
            <w:tcW w:w="690" w:type="dxa"/>
            <w:vMerge w:val="continue"/>
            <w:vAlign w:val="center"/>
          </w:tcPr>
          <w:p w14:paraId="2346DDEE">
            <w:pPr>
              <w:pStyle w:val="178"/>
              <w:rPr>
                <w:rFonts w:ascii="Times New Roman" w:hAnsi="Times New Roman"/>
              </w:rPr>
            </w:pPr>
          </w:p>
        </w:tc>
        <w:tc>
          <w:tcPr>
            <w:tcW w:w="1288" w:type="dxa"/>
          </w:tcPr>
          <w:p w14:paraId="70BCC043">
            <w:pPr>
              <w:pStyle w:val="232"/>
              <w:framePr w:hSpace="0" w:vSpace="0" w:wrap="auto" w:vAnchor="margin" w:hAnchor="text" w:xAlign="left" w:yAlign="inline"/>
              <w:jc w:val="left"/>
              <w:rPr>
                <w:kern w:val="0"/>
                <w:szCs w:val="21"/>
              </w:rPr>
            </w:pPr>
            <w:r>
              <w:rPr>
                <w:kern w:val="0"/>
                <w:szCs w:val="21"/>
              </w:rPr>
              <w:t>发生面积</w:t>
            </w:r>
          </w:p>
          <w:p w14:paraId="1428AB26">
            <w:pPr>
              <w:pStyle w:val="178"/>
              <w:jc w:val="left"/>
              <w:rPr>
                <w:rFonts w:ascii="Times New Roman" w:hAnsi="Times New Roman"/>
              </w:rPr>
            </w:pPr>
            <w:r>
              <w:rPr>
                <w:rFonts w:ascii="Times New Roman" w:hAnsi="Times New Roman"/>
                <w:szCs w:val="21"/>
              </w:rPr>
              <w:t>（667m</w:t>
            </w:r>
            <w:r>
              <w:rPr>
                <w:rFonts w:ascii="Times New Roman" w:hAnsi="Times New Roman"/>
                <w:szCs w:val="21"/>
                <w:vertAlign w:val="superscript"/>
              </w:rPr>
              <w:t>2</w:t>
            </w:r>
            <w:r>
              <w:rPr>
                <w:rFonts w:ascii="Times New Roman" w:hAnsi="Times New Roman"/>
                <w:szCs w:val="21"/>
              </w:rPr>
              <w:t>）</w:t>
            </w:r>
          </w:p>
        </w:tc>
        <w:tc>
          <w:tcPr>
            <w:tcW w:w="708" w:type="dxa"/>
            <w:vAlign w:val="center"/>
          </w:tcPr>
          <w:p w14:paraId="773A9E5A">
            <w:pPr>
              <w:pStyle w:val="178"/>
              <w:rPr>
                <w:rFonts w:ascii="Times New Roman" w:hAnsi="Times New Roman"/>
              </w:rPr>
            </w:pPr>
          </w:p>
        </w:tc>
        <w:tc>
          <w:tcPr>
            <w:tcW w:w="558" w:type="dxa"/>
            <w:vAlign w:val="center"/>
          </w:tcPr>
          <w:p w14:paraId="1ED9E2D3">
            <w:pPr>
              <w:pStyle w:val="178"/>
              <w:rPr>
                <w:rFonts w:ascii="Times New Roman" w:hAnsi="Times New Roman"/>
              </w:rPr>
            </w:pPr>
          </w:p>
        </w:tc>
        <w:tc>
          <w:tcPr>
            <w:tcW w:w="760" w:type="dxa"/>
            <w:vAlign w:val="center"/>
          </w:tcPr>
          <w:p w14:paraId="27DF8382">
            <w:pPr>
              <w:pStyle w:val="178"/>
              <w:rPr>
                <w:rFonts w:ascii="Times New Roman" w:hAnsi="Times New Roman"/>
              </w:rPr>
            </w:pPr>
          </w:p>
        </w:tc>
        <w:tc>
          <w:tcPr>
            <w:tcW w:w="760" w:type="dxa"/>
            <w:vAlign w:val="center"/>
          </w:tcPr>
          <w:p w14:paraId="44C4D74F">
            <w:pPr>
              <w:pStyle w:val="178"/>
              <w:rPr>
                <w:rFonts w:ascii="Times New Roman" w:hAnsi="Times New Roman"/>
              </w:rPr>
            </w:pPr>
          </w:p>
        </w:tc>
        <w:tc>
          <w:tcPr>
            <w:tcW w:w="761" w:type="dxa"/>
            <w:vAlign w:val="center"/>
          </w:tcPr>
          <w:p w14:paraId="4E84DDAC">
            <w:pPr>
              <w:pStyle w:val="178"/>
              <w:rPr>
                <w:rFonts w:ascii="Times New Roman" w:hAnsi="Times New Roman"/>
              </w:rPr>
            </w:pPr>
          </w:p>
        </w:tc>
        <w:tc>
          <w:tcPr>
            <w:tcW w:w="765" w:type="dxa"/>
            <w:vAlign w:val="center"/>
          </w:tcPr>
          <w:p w14:paraId="5A38DF82">
            <w:pPr>
              <w:pStyle w:val="178"/>
              <w:rPr>
                <w:rFonts w:ascii="Times New Roman" w:hAnsi="Times New Roman"/>
              </w:rPr>
            </w:pPr>
          </w:p>
        </w:tc>
        <w:tc>
          <w:tcPr>
            <w:tcW w:w="761" w:type="dxa"/>
            <w:vAlign w:val="center"/>
          </w:tcPr>
          <w:p w14:paraId="52E357C4">
            <w:pPr>
              <w:pStyle w:val="178"/>
              <w:rPr>
                <w:rFonts w:ascii="Times New Roman" w:hAnsi="Times New Roman"/>
              </w:rPr>
            </w:pPr>
          </w:p>
        </w:tc>
        <w:tc>
          <w:tcPr>
            <w:tcW w:w="761" w:type="dxa"/>
            <w:vAlign w:val="center"/>
          </w:tcPr>
          <w:p w14:paraId="76AAD65D">
            <w:pPr>
              <w:pStyle w:val="178"/>
              <w:rPr>
                <w:rFonts w:ascii="Times New Roman" w:hAnsi="Times New Roman"/>
              </w:rPr>
            </w:pPr>
          </w:p>
        </w:tc>
        <w:tc>
          <w:tcPr>
            <w:tcW w:w="761" w:type="dxa"/>
            <w:vAlign w:val="center"/>
          </w:tcPr>
          <w:p w14:paraId="12EE97A9">
            <w:pPr>
              <w:pStyle w:val="178"/>
              <w:rPr>
                <w:rFonts w:ascii="Times New Roman" w:hAnsi="Times New Roman"/>
              </w:rPr>
            </w:pPr>
          </w:p>
        </w:tc>
        <w:tc>
          <w:tcPr>
            <w:tcW w:w="762" w:type="dxa"/>
            <w:vAlign w:val="center"/>
          </w:tcPr>
          <w:p w14:paraId="663CFB32">
            <w:pPr>
              <w:pStyle w:val="178"/>
              <w:rPr>
                <w:rFonts w:ascii="Times New Roman" w:hAnsi="Times New Roman"/>
              </w:rPr>
            </w:pPr>
          </w:p>
        </w:tc>
      </w:tr>
      <w:tr w14:paraId="3C099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gridAfter w:val="1"/>
          <w:wAfter w:w="9" w:type="dxa"/>
          <w:trHeight w:val="393" w:hRule="atLeast"/>
          <w:jc w:val="center"/>
        </w:trPr>
        <w:tc>
          <w:tcPr>
            <w:tcW w:w="690" w:type="dxa"/>
            <w:vMerge w:val="continue"/>
            <w:vAlign w:val="center"/>
          </w:tcPr>
          <w:p w14:paraId="07BC5703">
            <w:pPr>
              <w:pStyle w:val="178"/>
              <w:rPr>
                <w:rFonts w:ascii="Times New Roman" w:hAnsi="Times New Roman"/>
              </w:rPr>
            </w:pPr>
          </w:p>
        </w:tc>
        <w:tc>
          <w:tcPr>
            <w:tcW w:w="1288" w:type="dxa"/>
          </w:tcPr>
          <w:p w14:paraId="5F62C17D">
            <w:pPr>
              <w:pStyle w:val="178"/>
              <w:jc w:val="left"/>
              <w:rPr>
                <w:rFonts w:ascii="Times New Roman" w:hAnsi="Times New Roman"/>
              </w:rPr>
            </w:pPr>
            <w:r>
              <w:rPr>
                <w:rFonts w:ascii="Times New Roman" w:hAnsi="Times New Roman"/>
                <w:szCs w:val="21"/>
              </w:rPr>
              <w:t>调查株数</w:t>
            </w:r>
          </w:p>
        </w:tc>
        <w:tc>
          <w:tcPr>
            <w:tcW w:w="708" w:type="dxa"/>
            <w:vAlign w:val="center"/>
          </w:tcPr>
          <w:p w14:paraId="6AA5C97A">
            <w:pPr>
              <w:pStyle w:val="178"/>
              <w:rPr>
                <w:rFonts w:ascii="Times New Roman" w:hAnsi="Times New Roman"/>
              </w:rPr>
            </w:pPr>
          </w:p>
        </w:tc>
        <w:tc>
          <w:tcPr>
            <w:tcW w:w="558" w:type="dxa"/>
            <w:vAlign w:val="center"/>
          </w:tcPr>
          <w:p w14:paraId="752F2AD4">
            <w:pPr>
              <w:pStyle w:val="178"/>
              <w:rPr>
                <w:rFonts w:ascii="Times New Roman" w:hAnsi="Times New Roman"/>
              </w:rPr>
            </w:pPr>
          </w:p>
        </w:tc>
        <w:tc>
          <w:tcPr>
            <w:tcW w:w="760" w:type="dxa"/>
            <w:vAlign w:val="center"/>
          </w:tcPr>
          <w:p w14:paraId="2D8AFB3B">
            <w:pPr>
              <w:pStyle w:val="178"/>
              <w:rPr>
                <w:rFonts w:ascii="Times New Roman" w:hAnsi="Times New Roman"/>
              </w:rPr>
            </w:pPr>
          </w:p>
        </w:tc>
        <w:tc>
          <w:tcPr>
            <w:tcW w:w="760" w:type="dxa"/>
            <w:vAlign w:val="center"/>
          </w:tcPr>
          <w:p w14:paraId="47D4D5C8">
            <w:pPr>
              <w:pStyle w:val="178"/>
              <w:rPr>
                <w:rFonts w:ascii="Times New Roman" w:hAnsi="Times New Roman"/>
              </w:rPr>
            </w:pPr>
          </w:p>
        </w:tc>
        <w:tc>
          <w:tcPr>
            <w:tcW w:w="761" w:type="dxa"/>
            <w:vAlign w:val="center"/>
          </w:tcPr>
          <w:p w14:paraId="4B1A4135">
            <w:pPr>
              <w:pStyle w:val="178"/>
              <w:rPr>
                <w:rFonts w:ascii="Times New Roman" w:hAnsi="Times New Roman"/>
              </w:rPr>
            </w:pPr>
          </w:p>
        </w:tc>
        <w:tc>
          <w:tcPr>
            <w:tcW w:w="765" w:type="dxa"/>
            <w:vAlign w:val="center"/>
          </w:tcPr>
          <w:p w14:paraId="49446924">
            <w:pPr>
              <w:pStyle w:val="178"/>
              <w:rPr>
                <w:rFonts w:ascii="Times New Roman" w:hAnsi="Times New Roman"/>
              </w:rPr>
            </w:pPr>
          </w:p>
        </w:tc>
        <w:tc>
          <w:tcPr>
            <w:tcW w:w="761" w:type="dxa"/>
            <w:vAlign w:val="center"/>
          </w:tcPr>
          <w:p w14:paraId="60827094">
            <w:pPr>
              <w:pStyle w:val="178"/>
              <w:rPr>
                <w:rFonts w:ascii="Times New Roman" w:hAnsi="Times New Roman"/>
              </w:rPr>
            </w:pPr>
          </w:p>
        </w:tc>
        <w:tc>
          <w:tcPr>
            <w:tcW w:w="761" w:type="dxa"/>
            <w:vAlign w:val="center"/>
          </w:tcPr>
          <w:p w14:paraId="0725CA31">
            <w:pPr>
              <w:pStyle w:val="178"/>
              <w:rPr>
                <w:rFonts w:ascii="Times New Roman" w:hAnsi="Times New Roman"/>
              </w:rPr>
            </w:pPr>
          </w:p>
        </w:tc>
        <w:tc>
          <w:tcPr>
            <w:tcW w:w="761" w:type="dxa"/>
            <w:vAlign w:val="center"/>
          </w:tcPr>
          <w:p w14:paraId="4FCA66E8">
            <w:pPr>
              <w:pStyle w:val="178"/>
              <w:rPr>
                <w:rFonts w:ascii="Times New Roman" w:hAnsi="Times New Roman"/>
              </w:rPr>
            </w:pPr>
          </w:p>
        </w:tc>
        <w:tc>
          <w:tcPr>
            <w:tcW w:w="762" w:type="dxa"/>
            <w:vAlign w:val="center"/>
          </w:tcPr>
          <w:p w14:paraId="22DAB976">
            <w:pPr>
              <w:pStyle w:val="178"/>
              <w:rPr>
                <w:rFonts w:ascii="Times New Roman" w:hAnsi="Times New Roman"/>
              </w:rPr>
            </w:pPr>
          </w:p>
        </w:tc>
      </w:tr>
      <w:tr w14:paraId="098BBF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gridAfter w:val="1"/>
          <w:wAfter w:w="9" w:type="dxa"/>
          <w:trHeight w:val="393" w:hRule="atLeast"/>
          <w:jc w:val="center"/>
        </w:trPr>
        <w:tc>
          <w:tcPr>
            <w:tcW w:w="690" w:type="dxa"/>
            <w:vMerge w:val="continue"/>
            <w:vAlign w:val="center"/>
          </w:tcPr>
          <w:p w14:paraId="57AF34C0">
            <w:pPr>
              <w:pStyle w:val="178"/>
              <w:rPr>
                <w:rFonts w:ascii="Times New Roman" w:hAnsi="Times New Roman"/>
              </w:rPr>
            </w:pPr>
          </w:p>
        </w:tc>
        <w:tc>
          <w:tcPr>
            <w:tcW w:w="1288" w:type="dxa"/>
          </w:tcPr>
          <w:p w14:paraId="7787944C">
            <w:pPr>
              <w:pStyle w:val="178"/>
              <w:jc w:val="left"/>
              <w:rPr>
                <w:rFonts w:ascii="Times New Roman" w:hAnsi="Times New Roman"/>
              </w:rPr>
            </w:pPr>
            <w:r>
              <w:rPr>
                <w:rFonts w:ascii="Times New Roman" w:hAnsi="Times New Roman"/>
                <w:szCs w:val="21"/>
              </w:rPr>
              <w:t>发病株数</w:t>
            </w:r>
          </w:p>
        </w:tc>
        <w:tc>
          <w:tcPr>
            <w:tcW w:w="708" w:type="dxa"/>
            <w:vAlign w:val="center"/>
          </w:tcPr>
          <w:p w14:paraId="27510CB1">
            <w:pPr>
              <w:pStyle w:val="178"/>
              <w:rPr>
                <w:rFonts w:ascii="Times New Roman" w:hAnsi="Times New Roman"/>
              </w:rPr>
            </w:pPr>
          </w:p>
        </w:tc>
        <w:tc>
          <w:tcPr>
            <w:tcW w:w="558" w:type="dxa"/>
            <w:vAlign w:val="center"/>
          </w:tcPr>
          <w:p w14:paraId="6B60971F">
            <w:pPr>
              <w:pStyle w:val="178"/>
              <w:rPr>
                <w:rFonts w:ascii="Times New Roman" w:hAnsi="Times New Roman"/>
              </w:rPr>
            </w:pPr>
          </w:p>
        </w:tc>
        <w:tc>
          <w:tcPr>
            <w:tcW w:w="760" w:type="dxa"/>
            <w:vAlign w:val="center"/>
          </w:tcPr>
          <w:p w14:paraId="739282A2">
            <w:pPr>
              <w:pStyle w:val="178"/>
              <w:rPr>
                <w:rFonts w:ascii="Times New Roman" w:hAnsi="Times New Roman"/>
              </w:rPr>
            </w:pPr>
          </w:p>
        </w:tc>
        <w:tc>
          <w:tcPr>
            <w:tcW w:w="760" w:type="dxa"/>
            <w:vAlign w:val="center"/>
          </w:tcPr>
          <w:p w14:paraId="56AA8327">
            <w:pPr>
              <w:pStyle w:val="178"/>
              <w:rPr>
                <w:rFonts w:ascii="Times New Roman" w:hAnsi="Times New Roman"/>
              </w:rPr>
            </w:pPr>
          </w:p>
        </w:tc>
        <w:tc>
          <w:tcPr>
            <w:tcW w:w="761" w:type="dxa"/>
            <w:vAlign w:val="center"/>
          </w:tcPr>
          <w:p w14:paraId="66764436">
            <w:pPr>
              <w:pStyle w:val="178"/>
              <w:rPr>
                <w:rFonts w:ascii="Times New Roman" w:hAnsi="Times New Roman"/>
              </w:rPr>
            </w:pPr>
          </w:p>
        </w:tc>
        <w:tc>
          <w:tcPr>
            <w:tcW w:w="765" w:type="dxa"/>
            <w:vAlign w:val="center"/>
          </w:tcPr>
          <w:p w14:paraId="6223ABAC">
            <w:pPr>
              <w:pStyle w:val="178"/>
              <w:rPr>
                <w:rFonts w:ascii="Times New Roman" w:hAnsi="Times New Roman"/>
              </w:rPr>
            </w:pPr>
          </w:p>
        </w:tc>
        <w:tc>
          <w:tcPr>
            <w:tcW w:w="761" w:type="dxa"/>
            <w:vAlign w:val="center"/>
          </w:tcPr>
          <w:p w14:paraId="0D7DE072">
            <w:pPr>
              <w:pStyle w:val="178"/>
              <w:rPr>
                <w:rFonts w:ascii="Times New Roman" w:hAnsi="Times New Roman"/>
              </w:rPr>
            </w:pPr>
          </w:p>
        </w:tc>
        <w:tc>
          <w:tcPr>
            <w:tcW w:w="761" w:type="dxa"/>
            <w:vAlign w:val="center"/>
          </w:tcPr>
          <w:p w14:paraId="31182BAA">
            <w:pPr>
              <w:pStyle w:val="178"/>
              <w:rPr>
                <w:rFonts w:ascii="Times New Roman" w:hAnsi="Times New Roman"/>
              </w:rPr>
            </w:pPr>
          </w:p>
        </w:tc>
        <w:tc>
          <w:tcPr>
            <w:tcW w:w="761" w:type="dxa"/>
            <w:vAlign w:val="center"/>
          </w:tcPr>
          <w:p w14:paraId="074FDFB8">
            <w:pPr>
              <w:pStyle w:val="178"/>
              <w:rPr>
                <w:rFonts w:ascii="Times New Roman" w:hAnsi="Times New Roman"/>
              </w:rPr>
            </w:pPr>
          </w:p>
        </w:tc>
        <w:tc>
          <w:tcPr>
            <w:tcW w:w="762" w:type="dxa"/>
            <w:vAlign w:val="center"/>
          </w:tcPr>
          <w:p w14:paraId="1E4649D9">
            <w:pPr>
              <w:pStyle w:val="178"/>
              <w:rPr>
                <w:rFonts w:ascii="Times New Roman" w:hAnsi="Times New Roman"/>
              </w:rPr>
            </w:pPr>
          </w:p>
        </w:tc>
      </w:tr>
      <w:tr w14:paraId="3449E6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gridAfter w:val="1"/>
          <w:wAfter w:w="9" w:type="dxa"/>
          <w:trHeight w:val="393" w:hRule="atLeast"/>
          <w:jc w:val="center"/>
        </w:trPr>
        <w:tc>
          <w:tcPr>
            <w:tcW w:w="690" w:type="dxa"/>
            <w:vMerge w:val="continue"/>
            <w:vAlign w:val="center"/>
          </w:tcPr>
          <w:p w14:paraId="51408D7E">
            <w:pPr>
              <w:pStyle w:val="178"/>
              <w:rPr>
                <w:rFonts w:ascii="Times New Roman" w:hAnsi="Times New Roman"/>
              </w:rPr>
            </w:pPr>
          </w:p>
        </w:tc>
        <w:tc>
          <w:tcPr>
            <w:tcW w:w="1288" w:type="dxa"/>
          </w:tcPr>
          <w:p w14:paraId="3480EB9F">
            <w:pPr>
              <w:pStyle w:val="178"/>
              <w:jc w:val="left"/>
              <w:rPr>
                <w:rFonts w:ascii="Times New Roman" w:hAnsi="Times New Roman"/>
              </w:rPr>
            </w:pPr>
            <w:r>
              <w:rPr>
                <w:rFonts w:ascii="Times New Roman" w:hAnsi="Times New Roman"/>
                <w:szCs w:val="21"/>
              </w:rPr>
              <w:t>病株率（%）</w:t>
            </w:r>
          </w:p>
        </w:tc>
        <w:tc>
          <w:tcPr>
            <w:tcW w:w="708" w:type="dxa"/>
            <w:vAlign w:val="center"/>
          </w:tcPr>
          <w:p w14:paraId="50DC0C3A">
            <w:pPr>
              <w:pStyle w:val="178"/>
              <w:rPr>
                <w:rFonts w:ascii="Times New Roman" w:hAnsi="Times New Roman"/>
              </w:rPr>
            </w:pPr>
          </w:p>
        </w:tc>
        <w:tc>
          <w:tcPr>
            <w:tcW w:w="558" w:type="dxa"/>
            <w:vAlign w:val="center"/>
          </w:tcPr>
          <w:p w14:paraId="24CDE244">
            <w:pPr>
              <w:pStyle w:val="178"/>
              <w:rPr>
                <w:rFonts w:ascii="Times New Roman" w:hAnsi="Times New Roman"/>
              </w:rPr>
            </w:pPr>
          </w:p>
        </w:tc>
        <w:tc>
          <w:tcPr>
            <w:tcW w:w="760" w:type="dxa"/>
            <w:vAlign w:val="center"/>
          </w:tcPr>
          <w:p w14:paraId="096E1257">
            <w:pPr>
              <w:pStyle w:val="178"/>
              <w:rPr>
                <w:rFonts w:ascii="Times New Roman" w:hAnsi="Times New Roman"/>
              </w:rPr>
            </w:pPr>
          </w:p>
        </w:tc>
        <w:tc>
          <w:tcPr>
            <w:tcW w:w="760" w:type="dxa"/>
            <w:vAlign w:val="center"/>
          </w:tcPr>
          <w:p w14:paraId="5EC23998">
            <w:pPr>
              <w:pStyle w:val="178"/>
              <w:rPr>
                <w:rFonts w:ascii="Times New Roman" w:hAnsi="Times New Roman"/>
              </w:rPr>
            </w:pPr>
          </w:p>
        </w:tc>
        <w:tc>
          <w:tcPr>
            <w:tcW w:w="761" w:type="dxa"/>
            <w:vAlign w:val="center"/>
          </w:tcPr>
          <w:p w14:paraId="5C285994">
            <w:pPr>
              <w:pStyle w:val="178"/>
              <w:rPr>
                <w:rFonts w:ascii="Times New Roman" w:hAnsi="Times New Roman"/>
              </w:rPr>
            </w:pPr>
          </w:p>
        </w:tc>
        <w:tc>
          <w:tcPr>
            <w:tcW w:w="765" w:type="dxa"/>
            <w:vAlign w:val="center"/>
          </w:tcPr>
          <w:p w14:paraId="1301690C">
            <w:pPr>
              <w:pStyle w:val="178"/>
              <w:rPr>
                <w:rFonts w:ascii="Times New Roman" w:hAnsi="Times New Roman"/>
              </w:rPr>
            </w:pPr>
          </w:p>
        </w:tc>
        <w:tc>
          <w:tcPr>
            <w:tcW w:w="761" w:type="dxa"/>
            <w:vAlign w:val="center"/>
          </w:tcPr>
          <w:p w14:paraId="3827A283">
            <w:pPr>
              <w:pStyle w:val="178"/>
              <w:rPr>
                <w:rFonts w:ascii="Times New Roman" w:hAnsi="Times New Roman"/>
              </w:rPr>
            </w:pPr>
          </w:p>
        </w:tc>
        <w:tc>
          <w:tcPr>
            <w:tcW w:w="761" w:type="dxa"/>
            <w:vAlign w:val="center"/>
          </w:tcPr>
          <w:p w14:paraId="63925B6C">
            <w:pPr>
              <w:pStyle w:val="178"/>
              <w:rPr>
                <w:rFonts w:ascii="Times New Roman" w:hAnsi="Times New Roman"/>
              </w:rPr>
            </w:pPr>
          </w:p>
        </w:tc>
        <w:tc>
          <w:tcPr>
            <w:tcW w:w="761" w:type="dxa"/>
            <w:vAlign w:val="center"/>
          </w:tcPr>
          <w:p w14:paraId="00CA244A">
            <w:pPr>
              <w:pStyle w:val="178"/>
              <w:rPr>
                <w:rFonts w:ascii="Times New Roman" w:hAnsi="Times New Roman"/>
              </w:rPr>
            </w:pPr>
          </w:p>
        </w:tc>
        <w:tc>
          <w:tcPr>
            <w:tcW w:w="762" w:type="dxa"/>
            <w:vAlign w:val="center"/>
          </w:tcPr>
          <w:p w14:paraId="65DEED7E">
            <w:pPr>
              <w:pStyle w:val="178"/>
              <w:rPr>
                <w:rFonts w:ascii="Times New Roman" w:hAnsi="Times New Roman"/>
              </w:rPr>
            </w:pPr>
          </w:p>
        </w:tc>
      </w:tr>
      <w:tr w14:paraId="3C990B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gridAfter w:val="1"/>
          <w:wAfter w:w="9" w:type="dxa"/>
          <w:trHeight w:val="393" w:hRule="atLeast"/>
          <w:jc w:val="center"/>
        </w:trPr>
        <w:tc>
          <w:tcPr>
            <w:tcW w:w="690" w:type="dxa"/>
            <w:vMerge w:val="continue"/>
            <w:vAlign w:val="center"/>
          </w:tcPr>
          <w:p w14:paraId="122EA87D">
            <w:pPr>
              <w:pStyle w:val="178"/>
              <w:rPr>
                <w:rFonts w:ascii="Times New Roman" w:hAnsi="Times New Roman"/>
              </w:rPr>
            </w:pPr>
          </w:p>
        </w:tc>
        <w:tc>
          <w:tcPr>
            <w:tcW w:w="1288" w:type="dxa"/>
          </w:tcPr>
          <w:p w14:paraId="23028892">
            <w:pPr>
              <w:pStyle w:val="178"/>
              <w:jc w:val="left"/>
              <w:rPr>
                <w:rFonts w:ascii="Times New Roman" w:hAnsi="Times New Roman"/>
              </w:rPr>
            </w:pPr>
            <w:r>
              <w:rPr>
                <w:rFonts w:ascii="Times New Roman" w:hAnsi="Times New Roman"/>
                <w:szCs w:val="21"/>
              </w:rPr>
              <w:t>病果率（%）</w:t>
            </w:r>
          </w:p>
        </w:tc>
        <w:tc>
          <w:tcPr>
            <w:tcW w:w="708" w:type="dxa"/>
            <w:vAlign w:val="center"/>
          </w:tcPr>
          <w:p w14:paraId="333E159E">
            <w:pPr>
              <w:pStyle w:val="178"/>
              <w:rPr>
                <w:rFonts w:ascii="Times New Roman" w:hAnsi="Times New Roman"/>
              </w:rPr>
            </w:pPr>
          </w:p>
        </w:tc>
        <w:tc>
          <w:tcPr>
            <w:tcW w:w="558" w:type="dxa"/>
            <w:vAlign w:val="center"/>
          </w:tcPr>
          <w:p w14:paraId="6FD01A4C">
            <w:pPr>
              <w:pStyle w:val="178"/>
              <w:rPr>
                <w:rFonts w:ascii="Times New Roman" w:hAnsi="Times New Roman"/>
              </w:rPr>
            </w:pPr>
          </w:p>
        </w:tc>
        <w:tc>
          <w:tcPr>
            <w:tcW w:w="760" w:type="dxa"/>
            <w:vAlign w:val="center"/>
          </w:tcPr>
          <w:p w14:paraId="1D8DD5E4">
            <w:pPr>
              <w:pStyle w:val="178"/>
              <w:rPr>
                <w:rFonts w:ascii="Times New Roman" w:hAnsi="Times New Roman"/>
              </w:rPr>
            </w:pPr>
          </w:p>
        </w:tc>
        <w:tc>
          <w:tcPr>
            <w:tcW w:w="760" w:type="dxa"/>
            <w:vAlign w:val="center"/>
          </w:tcPr>
          <w:p w14:paraId="65533E1A">
            <w:pPr>
              <w:pStyle w:val="178"/>
              <w:rPr>
                <w:rFonts w:ascii="Times New Roman" w:hAnsi="Times New Roman"/>
              </w:rPr>
            </w:pPr>
          </w:p>
        </w:tc>
        <w:tc>
          <w:tcPr>
            <w:tcW w:w="761" w:type="dxa"/>
            <w:vAlign w:val="center"/>
          </w:tcPr>
          <w:p w14:paraId="45826714">
            <w:pPr>
              <w:pStyle w:val="178"/>
              <w:rPr>
                <w:rFonts w:ascii="Times New Roman" w:hAnsi="Times New Roman"/>
              </w:rPr>
            </w:pPr>
          </w:p>
        </w:tc>
        <w:tc>
          <w:tcPr>
            <w:tcW w:w="765" w:type="dxa"/>
            <w:vAlign w:val="center"/>
          </w:tcPr>
          <w:p w14:paraId="36B938DE">
            <w:pPr>
              <w:pStyle w:val="178"/>
              <w:rPr>
                <w:rFonts w:ascii="Times New Roman" w:hAnsi="Times New Roman"/>
              </w:rPr>
            </w:pPr>
          </w:p>
        </w:tc>
        <w:tc>
          <w:tcPr>
            <w:tcW w:w="761" w:type="dxa"/>
            <w:vAlign w:val="center"/>
          </w:tcPr>
          <w:p w14:paraId="7AC764E0">
            <w:pPr>
              <w:pStyle w:val="178"/>
              <w:rPr>
                <w:rFonts w:ascii="Times New Roman" w:hAnsi="Times New Roman"/>
              </w:rPr>
            </w:pPr>
          </w:p>
        </w:tc>
        <w:tc>
          <w:tcPr>
            <w:tcW w:w="761" w:type="dxa"/>
            <w:vAlign w:val="center"/>
          </w:tcPr>
          <w:p w14:paraId="4E75E979">
            <w:pPr>
              <w:pStyle w:val="178"/>
              <w:rPr>
                <w:rFonts w:ascii="Times New Roman" w:hAnsi="Times New Roman"/>
              </w:rPr>
            </w:pPr>
          </w:p>
        </w:tc>
        <w:tc>
          <w:tcPr>
            <w:tcW w:w="761" w:type="dxa"/>
            <w:vAlign w:val="center"/>
          </w:tcPr>
          <w:p w14:paraId="1C8AA9CA">
            <w:pPr>
              <w:pStyle w:val="178"/>
              <w:rPr>
                <w:rFonts w:ascii="Times New Roman" w:hAnsi="Times New Roman"/>
              </w:rPr>
            </w:pPr>
          </w:p>
        </w:tc>
        <w:tc>
          <w:tcPr>
            <w:tcW w:w="762" w:type="dxa"/>
            <w:vAlign w:val="center"/>
          </w:tcPr>
          <w:p w14:paraId="0EA07444">
            <w:pPr>
              <w:pStyle w:val="178"/>
              <w:rPr>
                <w:rFonts w:ascii="Times New Roman" w:hAnsi="Times New Roman"/>
              </w:rPr>
            </w:pPr>
          </w:p>
        </w:tc>
      </w:tr>
      <w:tr w14:paraId="6F189D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93" w:hRule="atLeast"/>
          <w:jc w:val="center"/>
        </w:trPr>
        <w:tc>
          <w:tcPr>
            <w:tcW w:w="9344" w:type="dxa"/>
            <w:gridSpan w:val="13"/>
            <w:vAlign w:val="center"/>
          </w:tcPr>
          <w:p w14:paraId="566B57EA">
            <w:pPr>
              <w:pStyle w:val="178"/>
              <w:jc w:val="both"/>
              <w:rPr>
                <w:rFonts w:ascii="Times New Roman" w:hAnsi="Times New Roman"/>
              </w:rPr>
            </w:pPr>
            <w:r>
              <w:rPr>
                <w:rFonts w:ascii="Times New Roman" w:hAnsi="Times New Roman"/>
              </w:rPr>
              <w:t>备注：</w:t>
            </w:r>
          </w:p>
        </w:tc>
      </w:tr>
    </w:tbl>
    <w:p w14:paraId="1E5FFEA4">
      <w:pPr>
        <w:pStyle w:val="56"/>
        <w:ind w:firstLine="420"/>
      </w:pPr>
    </w:p>
    <w:p w14:paraId="63B88EDA">
      <w:pPr>
        <w:pStyle w:val="56"/>
        <w:ind w:firstLine="420"/>
      </w:pPr>
    </w:p>
    <w:p w14:paraId="3A4D20A8">
      <w:pPr>
        <w:pStyle w:val="56"/>
        <w:ind w:firstLine="420"/>
      </w:pPr>
    </w:p>
    <w:bookmarkEnd w:id="44"/>
    <w:p w14:paraId="13782799">
      <w:pPr>
        <w:pStyle w:val="56"/>
        <w:ind w:firstLine="420"/>
        <w:sectPr>
          <w:pgSz w:w="11906" w:h="16838"/>
          <w:pgMar w:top="1928" w:right="1134" w:bottom="1134" w:left="1134" w:header="1418" w:footer="1134" w:gutter="284"/>
          <w:cols w:space="425" w:num="1"/>
          <w:formProt w:val="0"/>
          <w:docGrid w:type="lines" w:linePitch="312" w:charSpace="0"/>
        </w:sectPr>
      </w:pPr>
      <w:bookmarkStart w:id="45" w:name="BookMark6"/>
    </w:p>
    <w:p w14:paraId="5949A339">
      <w:pPr>
        <w:pStyle w:val="63"/>
        <w:spacing w:after="156"/>
        <w:rPr>
          <w:rFonts w:hint="eastAsia"/>
        </w:rPr>
      </w:pPr>
      <w:r>
        <w:rPr>
          <w:rFonts w:hint="eastAsia"/>
          <w:spacing w:val="105"/>
        </w:rPr>
        <w:t>参考文</w:t>
      </w:r>
      <w:r>
        <w:rPr>
          <w:rFonts w:hint="eastAsia"/>
        </w:rPr>
        <w:t>献</w:t>
      </w:r>
    </w:p>
    <w:p w14:paraId="62E8C08F">
      <w:pPr>
        <w:pStyle w:val="56"/>
        <w:numPr>
          <w:ilvl w:val="0"/>
          <w:numId w:val="32"/>
        </w:numPr>
        <w:ind w:firstLine="420"/>
      </w:pPr>
      <w:r>
        <w:t>GB/T 1.1-2009标准化工作导则 第1部分：标准的结构和编写规则</w:t>
      </w:r>
    </w:p>
    <w:p w14:paraId="163014AE">
      <w:pPr>
        <w:pStyle w:val="56"/>
        <w:numPr>
          <w:ilvl w:val="0"/>
          <w:numId w:val="32"/>
        </w:numPr>
        <w:ind w:firstLine="420"/>
      </w:pPr>
      <w:r>
        <w:t>陈文超，戴雄泽，马艳青，等. 辣椒新品种福湘秀丽的选育[J]. 湖南农业科学，2012，32（13）：19-20.</w:t>
      </w:r>
    </w:p>
    <w:p w14:paraId="4D960BCF">
      <w:pPr>
        <w:pStyle w:val="56"/>
        <w:numPr>
          <w:ilvl w:val="0"/>
          <w:numId w:val="32"/>
        </w:numPr>
        <w:ind w:firstLine="420"/>
      </w:pPr>
      <w:r>
        <w:t>向本春，谢浩，崔星明，等. 新疆辣椒轻微斑驳病毒的分离鉴定[J]. 病毒学报, 1994, 10(3): 240-245.</w:t>
      </w:r>
    </w:p>
    <w:p w14:paraId="104FF1AC">
      <w:pPr>
        <w:pStyle w:val="56"/>
        <w:numPr>
          <w:ilvl w:val="0"/>
          <w:numId w:val="32"/>
        </w:numPr>
        <w:ind w:firstLine="420"/>
      </w:pPr>
      <w:r>
        <w:t>李晓冬，安梦楠，王冠中，等.辣椒轻斑驳病毒辽宁分离物的鉴定及序列分析[J]. 沈阳农业大学学报，2016，47(1)：29-34</w:t>
      </w:r>
    </w:p>
    <w:p w14:paraId="65F7156B">
      <w:pPr>
        <w:pStyle w:val="56"/>
        <w:numPr>
          <w:ilvl w:val="0"/>
          <w:numId w:val="32"/>
        </w:numPr>
        <w:ind w:firstLine="420"/>
      </w:pPr>
      <w:r>
        <w:t>谭根堂，史联联，尚慧兰，等. 陕西线辣椒病毒病病原检测简报[J]. 辣椒杂志, 2003(3): 32-33.</w:t>
      </w:r>
    </w:p>
    <w:p w14:paraId="52FDA414">
      <w:pPr>
        <w:pStyle w:val="56"/>
        <w:numPr>
          <w:ilvl w:val="0"/>
          <w:numId w:val="32"/>
        </w:numPr>
        <w:ind w:firstLine="420"/>
      </w:pPr>
      <w:r>
        <w:t xml:space="preserve">黄粤，马荣群，岳文辉. 应用RT-PCR方法检测辣椒轻微斑驳病毒[J]. 山东农业科学, 2004(5): 56-57. </w:t>
      </w:r>
    </w:p>
    <w:p w14:paraId="678C76EB">
      <w:pPr>
        <w:pStyle w:val="56"/>
        <w:numPr>
          <w:ilvl w:val="0"/>
          <w:numId w:val="32"/>
        </w:numPr>
        <w:ind w:firstLine="420"/>
      </w:pPr>
      <w:r>
        <w:t>Peng J, Shi B, Zheng H, et al. Detection of pepper mild mottle virus in pepper sauce in China[J].Arch Virol, 2015, 160: 2079-2082</w:t>
      </w:r>
    </w:p>
    <w:p w14:paraId="12BB058B">
      <w:pPr>
        <w:pStyle w:val="56"/>
        <w:numPr>
          <w:ilvl w:val="0"/>
          <w:numId w:val="32"/>
        </w:numPr>
        <w:ind w:firstLine="420"/>
      </w:pPr>
      <w:r>
        <w:t>Colson P, Richet H, Desnues C, et al. Pepper mild mottle virus, a plant virus associated with specific immune responses, fever,abdominal pains, and pruritus in humans[J]. PloS one,2010,5(4): 1-12</w:t>
      </w:r>
    </w:p>
    <w:p w14:paraId="250C9977">
      <w:pPr>
        <w:pStyle w:val="56"/>
        <w:ind w:firstLine="420"/>
      </w:pPr>
    </w:p>
    <w:p w14:paraId="66A22E9F">
      <w:pPr>
        <w:pStyle w:val="56"/>
        <w:ind w:firstLine="420"/>
      </w:pPr>
    </w:p>
    <w:p w14:paraId="3730EDBE">
      <w:pPr>
        <w:pStyle w:val="56"/>
        <w:ind w:firstLine="420"/>
      </w:pPr>
    </w:p>
    <w:p w14:paraId="3C7DBBA9">
      <w:pPr>
        <w:pStyle w:val="56"/>
        <w:ind w:firstLine="420"/>
      </w:pPr>
    </w:p>
    <w:bookmarkEnd w:id="45"/>
    <w:p w14:paraId="6C721A9B">
      <w:pPr>
        <w:pStyle w:val="56"/>
        <w:ind w:firstLine="0" w:firstLineChars="0"/>
        <w:jc w:val="center"/>
      </w:pPr>
      <w:bookmarkStart w:id="46" w:name="BookMark8"/>
      <w:r>
        <w:drawing>
          <wp:inline distT="0" distB="0" distL="0" distR="0">
            <wp:extent cx="1485900" cy="317500"/>
            <wp:effectExtent l="0" t="0" r="0" b="6350"/>
            <wp:docPr id="1282793693" name="图片 3"/>
            <wp:cNvGraphicFramePr/>
            <a:graphic xmlns:a="http://schemas.openxmlformats.org/drawingml/2006/main">
              <a:graphicData uri="http://schemas.openxmlformats.org/drawingml/2006/picture">
                <pic:pic xmlns:pic="http://schemas.openxmlformats.org/drawingml/2006/picture">
                  <pic:nvPicPr>
                    <pic:cNvPr id="1282793693" name="图片 3"/>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6"/>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40903">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146B5">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47A93">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4AA44">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140B7">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7135">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21760">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AED74">
    <w:pPr>
      <w:pStyle w:val="61"/>
      <w:rPr>
        <w:rFonts w:hint="eastAsia"/>
      </w:rPr>
    </w:pPr>
    <w:r>
      <w:fldChar w:fldCharType="begin"/>
    </w:r>
    <w:r>
      <w:instrText xml:space="preserve"> STYLEREF  标准文件_文件编号  \* MERGEFORMAT </w:instrText>
    </w:r>
    <w:r>
      <w:fldChar w:fldCharType="separate"/>
    </w:r>
    <w:r>
      <w:t>DB21/T XXXX—2026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7B7F2">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DB21/T XXXX—2026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3AF1DCE"/>
    <w:multiLevelType w:val="multilevel"/>
    <w:tmpl w:val="23AF1DCE"/>
    <w:lvl w:ilvl="0" w:tentative="0">
      <w:start w:val="1"/>
      <w:numFmt w:val="decimal"/>
      <w:lvlText w:val="[%1]"/>
      <w:lvlJc w:val="left"/>
      <w:pPr>
        <w:tabs>
          <w:tab w:val="left" w:pos="420"/>
        </w:tabs>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5"/>
  </w:num>
  <w:num w:numId="30">
    <w:abstractNumId w:val="25"/>
  </w:num>
  <w:num w:numId="31">
    <w:abstractNumId w:val="23"/>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1" w:cryptProviderType="rsaAES" w:cryptAlgorithmClass="hash" w:cryptAlgorithmType="typeAny" w:cryptAlgorithmSid="14" w:cryptSpinCount="100000" w:hash="B5dQqdViZw7zdkF1+dqPWzbYdovlZM42Zfe1Of35ZMaF9FXCkOUJJydhA/zfdHWKsUMaMpv5eNnzUHOxcL27Dg==" w:salt="GltrwlhAT/pAZN1krkK7bg=="/>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72E"/>
    <w:rsid w:val="0000040A"/>
    <w:rsid w:val="00000A94"/>
    <w:rsid w:val="00001972"/>
    <w:rsid w:val="00001D9A"/>
    <w:rsid w:val="00007B3A"/>
    <w:rsid w:val="000107E0"/>
    <w:rsid w:val="00011FDE"/>
    <w:rsid w:val="00012FFD"/>
    <w:rsid w:val="00014162"/>
    <w:rsid w:val="00014340"/>
    <w:rsid w:val="00015B66"/>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0CF"/>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097"/>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5C52"/>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1161"/>
    <w:rsid w:val="0015225F"/>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4B5B"/>
    <w:rsid w:val="0026148A"/>
    <w:rsid w:val="00262696"/>
    <w:rsid w:val="00263D25"/>
    <w:rsid w:val="002643C3"/>
    <w:rsid w:val="00264A0C"/>
    <w:rsid w:val="00265F30"/>
    <w:rsid w:val="00266EEB"/>
    <w:rsid w:val="00267EF4"/>
    <w:rsid w:val="00270CB8"/>
    <w:rsid w:val="00272B08"/>
    <w:rsid w:val="002771AC"/>
    <w:rsid w:val="00281BB8"/>
    <w:rsid w:val="00281E9E"/>
    <w:rsid w:val="00282405"/>
    <w:rsid w:val="00285170"/>
    <w:rsid w:val="00285361"/>
    <w:rsid w:val="00292605"/>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03A6"/>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A4BF6"/>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3F7CD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B6234"/>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A27"/>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27150"/>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3918"/>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4973"/>
    <w:rsid w:val="008373D3"/>
    <w:rsid w:val="00840617"/>
    <w:rsid w:val="00840F84"/>
    <w:rsid w:val="00842A47"/>
    <w:rsid w:val="00843C13"/>
    <w:rsid w:val="008454F8"/>
    <w:rsid w:val="0085173A"/>
    <w:rsid w:val="00855A01"/>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782"/>
    <w:rsid w:val="00911BE5"/>
    <w:rsid w:val="00913CA9"/>
    <w:rsid w:val="009145AE"/>
    <w:rsid w:val="009146CE"/>
    <w:rsid w:val="00914CA7"/>
    <w:rsid w:val="00915C3E"/>
    <w:rsid w:val="009161A8"/>
    <w:rsid w:val="009245F5"/>
    <w:rsid w:val="009249EC"/>
    <w:rsid w:val="009273B3"/>
    <w:rsid w:val="009305B5"/>
    <w:rsid w:val="00937D9F"/>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D71CE"/>
    <w:rsid w:val="009E0F62"/>
    <w:rsid w:val="009E4A58"/>
    <w:rsid w:val="009E5A2D"/>
    <w:rsid w:val="009E5AB2"/>
    <w:rsid w:val="009E6219"/>
    <w:rsid w:val="009F03B3"/>
    <w:rsid w:val="009F71CB"/>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1925"/>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700"/>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D75F7"/>
    <w:rsid w:val="00BE22F3"/>
    <w:rsid w:val="00BE5AE8"/>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37DFC"/>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08A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E3DB3"/>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6886"/>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016E"/>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472E"/>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D4858"/>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5E75"/>
    <w:rsid w:val="00F46496"/>
    <w:rsid w:val="00F474D0"/>
    <w:rsid w:val="00F50179"/>
    <w:rsid w:val="00F515EE"/>
    <w:rsid w:val="00F56511"/>
    <w:rsid w:val="00F6194E"/>
    <w:rsid w:val="00F623AC"/>
    <w:rsid w:val="00F6412A"/>
    <w:rsid w:val="00F65893"/>
    <w:rsid w:val="00F66A4A"/>
    <w:rsid w:val="00F71891"/>
    <w:rsid w:val="00F71E22"/>
    <w:rsid w:val="00F72142"/>
    <w:rsid w:val="00F72AE7"/>
    <w:rsid w:val="00F81141"/>
    <w:rsid w:val="00F833BA"/>
    <w:rsid w:val="00F84FD0"/>
    <w:rsid w:val="00F859A8"/>
    <w:rsid w:val="00F86D87"/>
    <w:rsid w:val="00F9108B"/>
    <w:rsid w:val="00F91349"/>
    <w:rsid w:val="00F91717"/>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679C"/>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6880287"/>
    <w:rsid w:val="2A485B17"/>
    <w:rsid w:val="31A17F44"/>
    <w:rsid w:val="44615A3C"/>
    <w:rsid w:val="45267C2A"/>
    <w:rsid w:val="45813EBC"/>
    <w:rsid w:val="45837C34"/>
    <w:rsid w:val="46225B45"/>
    <w:rsid w:val="4D871476"/>
    <w:rsid w:val="5B101054"/>
    <w:rsid w:val="5F184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rFonts w:ascii="Calibri" w:hAnsi="Calibri"/>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rFonts w:ascii="Calibri" w:hAnsi="Calibri"/>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rFonts w:ascii="Calibri" w:hAnsi="Calibri"/>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rFonts w:ascii="Calibri" w:hAnsi="Calibri"/>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rFonts w:ascii="Calibri" w:hAnsi="Calibri"/>
      <w:kern w:val="2"/>
      <w:sz w:val="18"/>
      <w:szCs w:val="18"/>
    </w:rPr>
  </w:style>
  <w:style w:type="character" w:customStyle="1" w:styleId="44">
    <w:name w:val="页脚 字符"/>
    <w:link w:val="17"/>
    <w:qFormat/>
    <w:uiPriority w:val="99"/>
    <w:rPr>
      <w:rFonts w:ascii="宋体" w:hAnsi="Calibri"/>
      <w:kern w:val="2"/>
      <w:sz w:val="18"/>
      <w:szCs w:val="18"/>
    </w:rPr>
  </w:style>
  <w:style w:type="character" w:customStyle="1" w:styleId="45">
    <w:name w:val="批注框文本 字符"/>
    <w:link w:val="16"/>
    <w:semiHidden/>
    <w:qFormat/>
    <w:uiPriority w:val="99"/>
    <w:rPr>
      <w:rFonts w:ascii="Calibri" w:hAnsi="Calibri"/>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uiPriority w:val="29"/>
    <w:rPr>
      <w:rFonts w:ascii="Calibri" w:hAnsi="Calibri"/>
      <w:i/>
      <w:iCs/>
      <w:color w:val="000000"/>
      <w:kern w:val="2"/>
      <w:sz w:val="21"/>
      <w:szCs w:val="21"/>
    </w:rPr>
  </w:style>
  <w:style w:type="character" w:customStyle="1" w:styleId="48">
    <w:name w:val="标题 字符"/>
    <w:link w:val="25"/>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rFonts w:ascii="Times New Roman" w:hAnsi="Times New Roman"/>
      <w:kern w:val="0"/>
    </w:rPr>
  </w:style>
  <w:style w:type="paragraph" w:customStyle="1" w:styleId="56">
    <w:name w:val="标准文件_段"/>
    <w:link w:val="184"/>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rFonts w:ascii="Calibri" w:hAnsi="Calibri"/>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560"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hAnsi="Calibri"/>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style>
  <w:style w:type="paragraph" w:customStyle="1" w:styleId="189">
    <w:name w:val="标准文件_一级项2"/>
    <w:basedOn w:val="56"/>
    <w:qFormat/>
    <w:uiPriority w:val="0"/>
    <w:pPr>
      <w:numPr>
        <w:ilvl w:val="0"/>
        <w:numId w:val="31"/>
      </w:numPr>
      <w:spacing w:line="300" w:lineRule="exact"/>
      <w:ind w:left="1271" w:hanging="420" w:firstLineChars="0"/>
    </w:p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段"/>
    <w:link w:val="23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1">
    <w:name w:val="段 Char"/>
    <w:link w:val="230"/>
    <w:qFormat/>
    <w:uiPriority w:val="0"/>
    <w:rPr>
      <w:rFonts w:ascii="宋体" w:hAnsi="Times New Roman"/>
      <w:sz w:val="21"/>
    </w:rPr>
  </w:style>
  <w:style w:type="paragraph" w:customStyle="1" w:styleId="232">
    <w:name w:val="终结线"/>
    <w:basedOn w:val="1"/>
    <w:qFormat/>
    <w:uiPriority w:val="0"/>
    <w:pPr>
      <w:framePr w:hSpace="181" w:vSpace="181" w:wrap="around" w:vAnchor="text" w:hAnchor="margin" w:xAlign="center" w:y="285"/>
      <w:adjustRightInd/>
      <w:spacing w:line="240" w:lineRule="auto"/>
    </w:pPr>
    <w:rPr>
      <w:rFonts w:ascii="Times New Roman" w:hAnsi="Times New Roman"/>
      <w:szCs w:val="24"/>
    </w:rPr>
  </w:style>
  <w:style w:type="paragraph" w:customStyle="1" w:styleId="233">
    <w:name w:val="正文图标题"/>
    <w:next w:val="230"/>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character" w:customStyle="1" w:styleId="234">
    <w:name w:val="不明显参考2"/>
    <w:qFormat/>
    <w:uiPriority w:val="31"/>
    <w:rPr>
      <w:smallCaps/>
      <w:color w:val="C0504D"/>
      <w:u w:val="single"/>
    </w:rPr>
  </w:style>
  <w:style w:type="character" w:customStyle="1" w:styleId="235">
    <w:name w:val="Subtle Reference"/>
    <w:qFormat/>
    <w:uiPriority w:val="31"/>
    <w:rPr>
      <w:smallCaps/>
      <w:color w:val="C0504D"/>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png"/><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A10F1B417B74CE9A2F01410D3F859A1"/>
        <w:style w:val=""/>
        <w:category>
          <w:name w:val="常规"/>
          <w:gallery w:val="placeholder"/>
        </w:category>
        <w:types>
          <w:type w:val="bbPlcHdr"/>
        </w:types>
        <w:behaviors>
          <w:behavior w:val="content"/>
        </w:behaviors>
        <w:description w:val=""/>
        <w:guid w:val="{6C3574EA-2F7E-4287-BCDF-44B8022E0737}"/>
      </w:docPartPr>
      <w:docPartBody>
        <w:p w14:paraId="1B16C4E4">
          <w:pPr>
            <w:pStyle w:val="5"/>
            <w:rPr>
              <w:rFonts w:hint="eastAsia"/>
            </w:rPr>
          </w:pPr>
          <w:r>
            <w:rPr>
              <w:rStyle w:val="4"/>
              <w:rFonts w:hint="eastAsia"/>
            </w:rPr>
            <w:t>单击或点击此处输入文字。</w:t>
          </w:r>
        </w:p>
      </w:docPartBody>
    </w:docPart>
    <w:docPart>
      <w:docPartPr>
        <w:name w:val="1F08B2F6D05A4FEAB7F4A3213A8C5E6C"/>
        <w:style w:val=""/>
        <w:category>
          <w:name w:val="常规"/>
          <w:gallery w:val="placeholder"/>
        </w:category>
        <w:types>
          <w:type w:val="bbPlcHdr"/>
        </w:types>
        <w:behaviors>
          <w:behavior w:val="content"/>
        </w:behaviors>
        <w:description w:val=""/>
        <w:guid w:val="{F49D1100-20E8-4739-96EE-931923F83B80}"/>
      </w:docPartPr>
      <w:docPartBody>
        <w:p w14:paraId="20422B6D">
          <w:pPr>
            <w:pStyle w:val="6"/>
            <w:rPr>
              <w:rFonts w:hint="eastAsia"/>
            </w:rPr>
          </w:pPr>
          <w:r>
            <w:rPr>
              <w:rStyle w:val="4"/>
              <w:rFonts w:hint="eastAsia"/>
            </w:rPr>
            <w:t>选择一项。</w:t>
          </w:r>
        </w:p>
      </w:docPartBody>
    </w:docPart>
    <w:docPart>
      <w:docPartPr>
        <w:name w:val="FBF788013E954673BA99C4021138C333"/>
        <w:style w:val=""/>
        <w:category>
          <w:name w:val="常规"/>
          <w:gallery w:val="placeholder"/>
        </w:category>
        <w:types>
          <w:type w:val="bbPlcHdr"/>
        </w:types>
        <w:behaviors>
          <w:behavior w:val="content"/>
        </w:behaviors>
        <w:description w:val=""/>
        <w:guid w:val="{17A79544-622F-4909-93B5-A4FCDF27A6EC}"/>
      </w:docPartPr>
      <w:docPartBody>
        <w:p w14:paraId="15229A6C">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01"/>
    <w:rsid w:val="000920CF"/>
    <w:rsid w:val="000D7BFC"/>
    <w:rsid w:val="00265F30"/>
    <w:rsid w:val="002B31F5"/>
    <w:rsid w:val="003A4BF6"/>
    <w:rsid w:val="0082447C"/>
    <w:rsid w:val="00855A01"/>
    <w:rsid w:val="00C908AC"/>
    <w:rsid w:val="00D2196F"/>
    <w:rsid w:val="00D73C97"/>
    <w:rsid w:val="00E3586D"/>
    <w:rsid w:val="00EF6853"/>
    <w:rsid w:val="00FC4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A10F1B417B74CE9A2F01410D3F859A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1F08B2F6D05A4FEAB7F4A3213A8C5E6C"/>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FBF788013E954673BA99C4021138C333"/>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03465-9310-430F-A8A0-DFC80D2CA8A6}">
  <ds:schemaRefs/>
</ds:datastoreItem>
</file>

<file path=docProps/app.xml><?xml version="1.0" encoding="utf-8"?>
<Properties xmlns="http://schemas.openxmlformats.org/officeDocument/2006/extended-properties" xmlns:vt="http://schemas.openxmlformats.org/officeDocument/2006/docPropsVTypes">
  <Template>地方标准.dotx</Template>
  <Pages>9</Pages>
  <Words>2863</Words>
  <Characters>3365</Characters>
  <Lines>35</Lines>
  <Paragraphs>9</Paragraphs>
  <TotalTime>23</TotalTime>
  <ScaleCrop>false</ScaleCrop>
  <LinksUpToDate>false</LinksUpToDate>
  <CharactersWithSpaces>3490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2026-03-03T14:12:00Z</dcterms:created>
  <dc:creator>石头</dc:creator>
  <cp:lastModifiedBy>惑</cp:lastModifiedBy>
  <cp:lastPrinted>2020-08-30T10:00:00Z</cp:lastPrinted>
  <dcterms:modified xsi:type="dcterms:W3CDTF">2026-06-22T06:52:37Z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GB</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eyJoZGlkIjoiOGRiYzVkZTE4NDdjMjRiOWE2Y2IxNmU5MWU3Y2EyNmYiLCJ1c2VySWQiOiI1MjM0NDQ1NzEifQ==</vt:lpwstr>
  </property>
  <property fmtid="{D5CDD505-2E9C-101B-9397-08002B2CF9AE}" pid="15" name="KSOProductBuildVer">
    <vt:lpwstr>2052-12.1.0.26895</vt:lpwstr>
  </property>
  <property fmtid="{D5CDD505-2E9C-101B-9397-08002B2CF9AE}" pid="16" name="ICV">
    <vt:lpwstr>8E5FE3F3E0B3405AB7FDCC92120176CB_12</vt:lpwstr>
  </property>
</Properties>
</file>