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left"/>
        <w:rPr>
          <w:rFonts w:ascii="方正仿宋_GBK" w:eastAsia="方正仿宋_GBK" w:hint="eastAsia"/>
          <w:sz w:val="30"/>
          <w:szCs w:val="30"/>
        </w:rPr>
      </w:pPr>
      <w:r>
        <w:rPr>
          <w:rFonts w:ascii="方正仿宋_GBK" w:eastAsia="方正仿宋_GBK" w:hint="eastAsia"/>
          <w:sz w:val="30"/>
          <w:szCs w:val="30"/>
        </w:rPr>
        <w:t>附件</w:t>
      </w:r>
      <w:r>
        <w:rPr>
          <w:rFonts w:ascii="方正仿宋_GBK" w:eastAsia="方正仿宋_GBK"/>
          <w:sz w:val="30"/>
          <w:szCs w:val="30"/>
        </w:rPr>
        <w:t>1</w:t>
      </w:r>
      <w:r>
        <w:rPr>
          <w:rFonts w:ascii="方正仿宋_GBK" w:eastAsia="方正仿宋_GBK" w:hint="eastAsia"/>
          <w:sz w:val="30"/>
          <w:szCs w:val="30"/>
        </w:rPr>
        <w:t>：</w:t>
      </w:r>
    </w:p>
    <w:tbl>
      <w:tblPr>
        <w:tblpPr w:leftFromText="180" w:rightFromText="180" w:vertAnchor="page" w:horzAnchor="margin" w:tblpXSpec="left" w:tblpY="2418"/>
        <w:tblW w:w="14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696"/>
        <w:gridCol w:w="5047"/>
        <w:gridCol w:w="4695"/>
        <w:gridCol w:w="2025"/>
      </w:tblGrid>
      <w:tr>
        <w:trPr>
          <w:trHeight w:val="866"/>
        </w:trPr>
        <w:tc>
          <w:tcPr>
            <w:tcW w:w="680" w:type="dxa"/>
            <w:vAlign w:val="center"/>
          </w:tcPr>
          <w:p>
            <w:pPr>
              <w:jc w:val="center"/>
              <w:rPr>
                <w:rFonts w:ascii="宋体" w:eastAsia="宋体" w:hAnsi="宋体" w:hint="eastAsia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696" w:type="dxa"/>
            <w:vAlign w:val="center"/>
          </w:tcPr>
          <w:p>
            <w:pPr>
              <w:jc w:val="center"/>
              <w:rPr>
                <w:rFonts w:ascii="宋体" w:eastAsia="宋体" w:hAnsi="宋体" w:hint="eastAsia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  <w:t>名称</w:t>
            </w:r>
          </w:p>
        </w:tc>
        <w:tc>
          <w:tcPr>
            <w:tcW w:w="5047" w:type="dxa"/>
            <w:vAlign w:val="center"/>
          </w:tcPr>
          <w:p>
            <w:pPr>
              <w:jc w:val="center"/>
              <w:rPr>
                <w:rFonts w:ascii="宋体" w:eastAsia="宋体" w:hAnsi="宋体" w:hint="eastAsia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  <w:t>用途和功能</w:t>
            </w:r>
          </w:p>
        </w:tc>
        <w:tc>
          <w:tcPr>
            <w:tcW w:w="4695" w:type="dxa"/>
            <w:vAlign w:val="center"/>
          </w:tcPr>
          <w:p>
            <w:pPr>
              <w:jc w:val="center"/>
              <w:rPr>
                <w:rFonts w:ascii="宋体" w:eastAsia="宋体" w:hAnsi="宋体" w:hint="eastAsia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  <w:t>技术参数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宋体" w:eastAsia="宋体" w:hAnsi="宋体" w:hint="eastAsia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  <w:t>数量</w:t>
            </w:r>
          </w:p>
        </w:tc>
      </w:tr>
      <w:tr>
        <w:trPr>
          <w:trHeight w:val="1475"/>
        </w:trPr>
        <w:tc>
          <w:tcPr>
            <w:tcW w:w="680" w:type="dxa"/>
            <w:vAlign w:val="center"/>
          </w:tcPr>
          <w:p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算力服务器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atLeas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智能体系统部署与高并发推理：用于智能体原型系统的部署、调试及实时推理，确保稳定运行。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atLeas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CPU：25 核</w:t>
            </w:r>
          </w:p>
          <w:p>
            <w:pPr>
              <w:spacing w:line="240" w:lineRule="atLeas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内存：90GB</w:t>
            </w:r>
          </w:p>
          <w:p>
            <w:pPr>
              <w:spacing w:line="240" w:lineRule="atLeas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GPU：104.8 TFLOPS（FP32）、32GB显存、显存带宽：1792 GB/s</w:t>
            </w:r>
          </w:p>
        </w:tc>
        <w:tc>
          <w:tcPr>
            <w:tcW w:w="2025" w:type="dxa"/>
            <w:vAlign w:val="center"/>
          </w:tcPr>
          <w:p>
            <w:pPr>
              <w:spacing w:line="240" w:lineRule="atLeas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GPU×1×12个月</w:t>
            </w:r>
          </w:p>
        </w:tc>
      </w:tr>
      <w:tr>
        <w:trPr>
          <w:trHeight w:val="1491"/>
        </w:trPr>
        <w:tc>
          <w:tcPr>
            <w:tcW w:w="680" w:type="dxa"/>
            <w:vAlign w:val="center"/>
          </w:tcPr>
          <w:p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算力服务器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atLeas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多模态数据处理与模型部署：用于海量文本/图像/音频数据的预处理，向量化及知识库索引构建；部署多模态大模型。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atLeas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CPU：25 核</w:t>
            </w:r>
          </w:p>
          <w:p>
            <w:pPr>
              <w:spacing w:line="240" w:lineRule="atLeas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内存：90GB</w:t>
            </w:r>
          </w:p>
          <w:p>
            <w:pPr>
              <w:spacing w:line="240" w:lineRule="atLeas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GPU：104.8 TFLOPS（FP32）、32GB显存、显存带宽：1792 GB/s</w:t>
            </w:r>
          </w:p>
        </w:tc>
        <w:tc>
          <w:tcPr>
            <w:tcW w:w="2025" w:type="dxa"/>
            <w:vAlign w:val="center"/>
          </w:tcPr>
          <w:p>
            <w:pPr>
              <w:spacing w:line="240" w:lineRule="atLeas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GPU×1×3个月</w:t>
            </w:r>
          </w:p>
        </w:tc>
      </w:tr>
      <w:tr>
        <w:trPr>
          <w:trHeight w:val="1556"/>
        </w:trPr>
        <w:tc>
          <w:tcPr>
            <w:tcW w:w="680" w:type="dxa"/>
            <w:vAlign w:val="center"/>
          </w:tcPr>
          <w:p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算力服务器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atLeas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模型训练与微调：用于领域特定模型的强化学习训练，特定大语言模型的下游任务微调，多模态大模型的微调。支持高强度计算任务，缩短研发周期。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atLeas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CPU：25 核</w:t>
            </w:r>
          </w:p>
          <w:p>
            <w:pPr>
              <w:spacing w:line="240" w:lineRule="atLeas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内存：90GB</w:t>
            </w:r>
          </w:p>
          <w:p>
            <w:pPr>
              <w:spacing w:line="240" w:lineRule="atLeas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GPU：104.8 TFLOPS（FP32）、32GB显存、显存带宽：1792 GB/s</w:t>
            </w:r>
          </w:p>
        </w:tc>
        <w:tc>
          <w:tcPr>
            <w:tcW w:w="2025" w:type="dxa"/>
            <w:vAlign w:val="center"/>
          </w:tcPr>
          <w:p>
            <w:pPr>
              <w:spacing w:line="240" w:lineRule="atLeas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GPU×4×3个月（多卡并行）</w:t>
            </w:r>
          </w:p>
        </w:tc>
      </w:tr>
    </w:tbl>
    <w:p>
      <w:pPr>
        <w:jc w:val="center"/>
        <w:rPr>
          <w:rFonts w:ascii="方正大标宋简体" w:eastAsia="方正大标宋简体" w:hint="eastAsia"/>
          <w:sz w:val="30"/>
          <w:szCs w:val="30"/>
        </w:rPr>
      </w:pPr>
      <w:r>
        <w:rPr>
          <w:rFonts w:ascii="方正大标宋简体" w:eastAsia="方正大标宋简体" w:hint="eastAsia"/>
          <w:sz w:val="30"/>
          <w:szCs w:val="30"/>
        </w:rPr>
        <w:t>租用高性能GPU算力服务器</w:t>
      </w:r>
      <w:r>
        <w:rPr>
          <w:rFonts w:ascii="方正大标宋简体" w:eastAsia="方正大标宋简体"/>
          <w:sz w:val="30"/>
          <w:szCs w:val="30"/>
        </w:rPr>
        <w:t>需求</w:t>
      </w:r>
      <w:r>
        <w:rPr>
          <w:rFonts w:ascii="方正大标宋简体" w:eastAsia="方正大标宋简体" w:hint="eastAsia"/>
          <w:sz w:val="30"/>
          <w:szCs w:val="30"/>
        </w:rPr>
        <w:t>明细表</w:t>
      </w:r>
      <w:bookmarkStart w:id="0" w:name="_GoBack"/>
      <w:bookmarkEnd w:id="0"/>
    </w:p>
    <w:sectPr>
      <w:pgSz w:w="16838" w:h="11906" w:orient="landscape"/>
      <w:pgMar w:top="1134" w:right="1134" w:bottom="1134" w:left="1134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华文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方正小标宋_GBK"/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altName w:val="方正黑体_GBK"/>
    <w:panose1 w:val="02000000000000000000"/>
    <w:charset w:val="86"/>
    <w:family w:val="script"/>
    <w:pitch w:val="variable"/>
    <w:sig w:usb0="A00002BF" w:usb1="38CF7CFA" w:usb2="00082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customStyle="1" w:styleId="15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AF647A84-4651-4743-A35E-9A8A9074A7EE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73</TotalTime>
  <Application>Yozo_Office27021597764231179</Application>
  <Pages>1</Pages>
  <Words>0</Words>
  <Characters>344</Characters>
  <Lines>0</Lines>
  <Paragraphs>3</Paragraphs>
  <CharactersWithSpaces>459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贾浩</dc:creator>
  <cp:lastModifiedBy>user</cp:lastModifiedBy>
  <cp:revision>3</cp:revision>
  <dcterms:created xsi:type="dcterms:W3CDTF">2025-10-23T07:09:00Z</dcterms:created>
  <dcterms:modified xsi:type="dcterms:W3CDTF">2025-10-24T02:18:27Z</dcterms:modified>
</cp:coreProperties>
</file>