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before="27" w:after="0" w:line="240" w:lineRule="auto"/>
        <w:ind w:right="1"/>
        <w:jc w:val="center"/>
        <w:outlineLvl w:val="9"/>
        <w:rPr>
          <w:rFonts w:ascii="方正小标宋_GBK" w:eastAsia="方正小标宋_GBK" w:cs="方正小标宋_GBK" w:hAnsi="方正小标宋_GBK" w:hint="eastAsia"/>
          <w:sz w:val="36"/>
          <w:szCs w:val="36"/>
        </w:rPr>
      </w:pPr>
      <w:r>
        <w:rPr>
          <w:rFonts w:ascii="方正小标宋_GBK" w:eastAsia="方正小标宋_GBK" w:cs="方正小标宋_GBK" w:hAnsi="方正小标宋_GBK" w:hint="eastAsia"/>
          <w:spacing w:val="0"/>
          <w:w w:val="100"/>
          <w:sz w:val="36"/>
          <w:szCs w:val="36"/>
        </w:rPr>
        <w:t>红</w:t>
      </w:r>
      <w:r>
        <w:rPr>
          <w:rFonts w:ascii="方正小标宋_GBK" w:eastAsia="方正小标宋_GBK" w:cs="方正小标宋_GBK" w:hAnsi="方正小标宋_GBK" w:hint="eastAsia"/>
          <w:spacing w:val="2"/>
          <w:w w:val="100"/>
          <w:sz w:val="36"/>
          <w:szCs w:val="36"/>
        </w:rPr>
        <w:t>外</w:t>
      </w:r>
      <w:r>
        <w:rPr>
          <w:rFonts w:ascii="方正小标宋_GBK" w:eastAsia="方正小标宋_GBK" w:cs="方正小标宋_GBK" w:hAnsi="方正小标宋_GBK" w:hint="eastAsia"/>
          <w:spacing w:val="0"/>
          <w:w w:val="100"/>
          <w:sz w:val="36"/>
          <w:szCs w:val="36"/>
          <w:lang w:val="en-US" w:eastAsia="zh-CN"/>
        </w:rPr>
        <w:t>体温</w:t>
      </w:r>
      <w:r>
        <w:rPr>
          <w:rFonts w:ascii="方正小标宋_GBK" w:eastAsia="方正小标宋_GBK" w:cs="方正小标宋_GBK" w:hAnsi="方正小标宋_GBK" w:hint="eastAsia"/>
          <w:spacing w:val="2"/>
          <w:w w:val="100"/>
          <w:sz w:val="36"/>
          <w:szCs w:val="36"/>
        </w:rPr>
        <w:t>监测</w:t>
      </w:r>
      <w:r>
        <w:rPr>
          <w:rFonts w:ascii="方正小标宋_GBK" w:eastAsia="方正小标宋_GBK" w:cs="方正小标宋_GBK" w:hAnsi="方正小标宋_GBK" w:hint="eastAsia"/>
          <w:spacing w:val="0"/>
          <w:w w:val="100"/>
          <w:sz w:val="36"/>
          <w:szCs w:val="36"/>
        </w:rPr>
        <w:t>仪</w:t>
      </w:r>
      <w:r>
        <w:rPr>
          <w:rFonts w:ascii="方正小标宋_GBK" w:eastAsia="方正小标宋_GBK" w:cs="方正小标宋_GBK" w:hAnsi="方正小标宋_GBK"/>
          <w:spacing w:val="0"/>
          <w:w w:val="100"/>
          <w:sz w:val="36"/>
          <w:szCs w:val="36"/>
        </w:rPr>
        <w:t>主要</w:t>
      </w:r>
      <w:r>
        <w:rPr>
          <w:rFonts w:ascii="方正小标宋_GBK" w:eastAsia="方正小标宋_GBK" w:cs="方正小标宋_GBK" w:hAnsi="方正小标宋_GBK" w:hint="eastAsia"/>
          <w:spacing w:val="0"/>
          <w:w w:val="100"/>
          <w:sz w:val="36"/>
          <w:szCs w:val="36"/>
        </w:rPr>
        <w:t>技术参数</w:t>
      </w:r>
    </w:p>
    <w:p>
      <w:pPr>
        <w:spacing w:before="0" w:after="0" w:line="560" w:lineRule="exact"/>
        <w:ind w:left="102" w:right="-23" w:firstLine="8"/>
        <w:jc w:val="center"/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</w:pPr>
    </w:p>
    <w:p>
      <w:pPr>
        <w:spacing w:before="0" w:after="0" w:line="560" w:lineRule="exact"/>
        <w:ind w:left="102" w:right="-23" w:firstLineChars="200" w:firstLine="640"/>
        <w:jc w:val="left"/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</w:pP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一、主要用途</w:t>
      </w:r>
    </w:p>
    <w:p>
      <w:pPr>
        <w:spacing w:before="0" w:after="0" w:line="560" w:lineRule="exact"/>
        <w:ind w:left="102" w:right="-23" w:firstLineChars="200" w:firstLine="648"/>
        <w:jc w:val="left"/>
        <w:rPr>
          <w:rFonts w:ascii="方正仿宋_GBK" w:eastAsia="方正仿宋_GBK" w:cs="方正仿宋_GBK" w:hAnsi="方正仿宋_GBK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spacing w:val="2"/>
          <w:w w:val="100"/>
          <w:sz w:val="32"/>
          <w:szCs w:val="32"/>
        </w:rPr>
        <w:t>对</w:t>
      </w:r>
      <w:r>
        <w:rPr>
          <w:rFonts w:ascii="方正仿宋_GBK" w:eastAsia="方正仿宋_GBK" w:cs="方正仿宋_GBK" w:hAnsi="方正仿宋_GBK"/>
          <w:spacing w:val="2"/>
          <w:w w:val="100"/>
          <w:sz w:val="32"/>
          <w:szCs w:val="32"/>
        </w:rPr>
        <w:t>进出境</w:t>
      </w:r>
      <w:r>
        <w:rPr>
          <w:rFonts w:ascii="方正仿宋_GBK" w:eastAsia="方正仿宋_GBK" w:cs="方正仿宋_GBK" w:hAnsi="方正仿宋_GBK" w:hint="eastAsia"/>
          <w:spacing w:val="2"/>
          <w:w w:val="100"/>
          <w:sz w:val="32"/>
          <w:szCs w:val="32"/>
        </w:rPr>
        <w:t>人员</w:t>
      </w:r>
      <w:r>
        <w:rPr>
          <w:rFonts w:ascii="方正仿宋_GBK" w:eastAsia="方正仿宋_GBK" w:cs="方正仿宋_GBK" w:hAnsi="方正仿宋_GBK"/>
          <w:spacing w:val="2"/>
          <w:w w:val="100"/>
          <w:sz w:val="32"/>
          <w:szCs w:val="32"/>
        </w:rPr>
        <w:t>实施</w:t>
      </w:r>
      <w:r>
        <w:rPr>
          <w:rFonts w:ascii="方正仿宋_GBK" w:eastAsia="方正仿宋_GBK" w:cs="方正仿宋_GBK" w:hAnsi="方正仿宋_GBK" w:hint="eastAsia"/>
          <w:spacing w:val="2"/>
          <w:w w:val="100"/>
          <w:sz w:val="32"/>
          <w:szCs w:val="32"/>
        </w:rPr>
        <w:t>无干扰体温实时在线检测</w:t>
      </w:r>
      <w:r>
        <w:rPr>
          <w:rFonts w:ascii="方正仿宋_GBK" w:eastAsia="方正仿宋_GBK" w:cs="方正仿宋_GBK" w:hAnsi="方正仿宋_GBK" w:hint="eastAsia"/>
          <w:spacing w:val="2"/>
          <w:w w:val="100"/>
          <w:sz w:val="32"/>
          <w:szCs w:val="32"/>
          <w:lang w:eastAsia="zh-CN"/>
        </w:rPr>
        <w:t>，实现对体温超标行人实时图像定位、追踪的功能，并能在显示界面上准确识别标记，</w:t>
      </w:r>
      <w:r>
        <w:rPr>
          <w:rFonts w:ascii="方正仿宋_GBK" w:eastAsia="方正仿宋_GBK" w:cs="方正仿宋_GBK" w:hAnsi="方正仿宋_GBK" w:hint="eastAsia"/>
          <w:spacing w:val="2"/>
          <w:w w:val="100"/>
          <w:sz w:val="32"/>
          <w:szCs w:val="32"/>
          <w:lang w:val="en-US" w:eastAsia="zh-CN"/>
        </w:rPr>
        <w:t>并实时告警。</w:t>
      </w:r>
    </w:p>
    <w:p>
      <w:pPr>
        <w:spacing w:before="84" w:after="0" w:line="560" w:lineRule="exact"/>
        <w:ind w:left="102" w:right="-23" w:firstLineChars="200" w:firstLine="640"/>
        <w:jc w:val="left"/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</w:pPr>
      <w:r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  <w:t>二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、</w:t>
      </w:r>
      <w:r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  <w:t>红外光部分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主要技术指标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传感器：非制冷焦平面探测器；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探测器材料：氧化钒；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★</w:t>
      </w: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探测器像素：≥640×512；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温度分辨率：0.05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方正仿宋_GBK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探测器象元间距：17um；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响应波段：8-14um；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空间分辨率：0.895mrad；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镜头焦距：19 mm ，电动；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视场角：32°×26°；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温度分辨率：（NETD）</w:t>
        <w:tab/>
        <w:t>0.05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方正仿宋_GBK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成像距离：0.5m～8m；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响应时间：≤1秒；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测温范围：30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～42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方正仿宋_GBK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测温精度（实验室误差）：±0.3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（在规定的测量距离和使用环境条件下，测量直径60mm的黑体辐射源）；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★</w:t>
      </w: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黑体：独立黑体，有效辐射面70×70mm，温度分辨率0.1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，温度精确度±0.2</w:t>
      </w:r>
      <w:r>
        <w:rPr>
          <w:rFonts w:ascii="方正仿宋_GBK" w:eastAsia="方正仿宋_GBK" w:cs="Times New Roman" w:hAnsi="Times New Roman" w:hint="eastAsia"/>
          <w:spacing w:val="0"/>
          <w:w w:val="100"/>
          <w:sz w:val="32"/>
          <w:szCs w:val="32"/>
          <w:lang w:val="en-US" w:eastAsia="zh-CN"/>
        </w:rPr>
        <w:t>℃</w:t>
      </w:r>
      <w:r>
        <w:rPr>
          <w:rFonts w:ascii="方正仿宋_GBK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接口：RJ45；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通讯协议：TCP/IP，UDP；</w:t>
      </w:r>
    </w:p>
    <w:p>
      <w:pPr>
        <w:spacing w:before="84" w:after="0" w:line="240" w:lineRule="auto"/>
        <w:ind w:left="102"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IP防护等级（机头）：IP44；</w:t>
      </w:r>
    </w:p>
    <w:p>
      <w:pPr>
        <w:spacing w:before="84" w:after="0" w:line="560" w:lineRule="exact"/>
        <w:ind w:left="102" w:right="-23" w:firstLineChars="200" w:firstLine="640"/>
        <w:jc w:val="left"/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</w:pPr>
      <w:r>
        <w:rPr>
          <w:rFonts w:ascii="方正黑体_GBK" w:eastAsia="方正黑体_GBK" w:cs="方正黑体_GBK" w:hAnsi="方正黑体_GBK"/>
          <w:spacing w:val="0"/>
          <w:w w:val="100"/>
          <w:sz w:val="32"/>
          <w:szCs w:val="32"/>
          <w:lang w:val="en-US" w:eastAsia="zh-CN"/>
        </w:rPr>
        <w:t>三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、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  <w:lang w:val="en-US" w:eastAsia="zh-CN"/>
        </w:rPr>
        <w:t>可见光部分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主要技术指标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b/>
          <w:bCs/>
          <w:sz w:val="32"/>
          <w:szCs w:val="32"/>
        </w:rPr>
      </w:pPr>
      <w:r>
        <w:rPr>
          <w:rFonts w:eastAsia="方正仿宋_GBK" w:cs="Times New Roman" w:hAnsi="Times New Roman"/>
          <w:b/>
          <w:bCs/>
          <w:sz w:val="32"/>
          <w:szCs w:val="32"/>
        </w:rPr>
        <w:t>（一）名称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20倍300万1/2.8" CMOS ICR日夜型网络高清机芯。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b/>
          <w:bCs/>
          <w:sz w:val="32"/>
          <w:szCs w:val="32"/>
        </w:rPr>
      </w:pPr>
      <w:r>
        <w:rPr>
          <w:rFonts w:eastAsia="方正仿宋_GBK" w:cs="Times New Roman" w:hAnsi="Times New Roman"/>
          <w:b/>
          <w:bCs/>
          <w:sz w:val="32"/>
          <w:szCs w:val="32"/>
        </w:rPr>
        <w:t>（二）摄像机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传感器类型：1/2.8" Progressive Scan CMOS；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扫描系统：逐行扫描；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信号系统：PAL/NTSC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最小照度：彩色：0.05Lux @（F1.6，AGC ON）；黑白：0.01Lux @（F1.6，AGC ON）；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信噪比：大于52dB；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视频输出：网络编码输出；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分辨率：50HZ:25fps（2048X1536 ），60HZ:30fps（2048X1536），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50HZ:25fps（1280X720）， 60HZ:30fps（1280X720）。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b/>
          <w:bCs/>
          <w:sz w:val="32"/>
          <w:szCs w:val="32"/>
        </w:rPr>
      </w:pPr>
      <w:r>
        <w:rPr>
          <w:rFonts w:eastAsia="方正仿宋_GBK" w:cs="Times New Roman" w:hAnsi="Times New Roman"/>
          <w:b/>
          <w:bCs/>
          <w:sz w:val="32"/>
          <w:szCs w:val="32"/>
        </w:rPr>
        <w:t>（三）镜头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焦距：4.7-94mm，20 倍光学；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光圈：F1.6-F3.5；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水平视角：50.6-3.3 度（广角-望远）；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近摄距：10-1500mm（广角-望远）；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变倍速度（电动调焦）：大约2.7 秒（光学，广角-望远）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日夜转换模式：ICR滤片式；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b/>
          <w:bCs/>
          <w:sz w:val="32"/>
          <w:szCs w:val="32"/>
        </w:rPr>
      </w:pPr>
      <w:r>
        <w:rPr>
          <w:rFonts w:eastAsia="方正仿宋_GBK" w:cs="Times New Roman" w:hAnsi="Times New Roman"/>
          <w:b/>
          <w:bCs/>
          <w:sz w:val="32"/>
          <w:szCs w:val="32"/>
        </w:rPr>
        <w:t>（四）网络功能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支持协议：TCP/IP、HTTP、DHCP、DNS、DDNS、RTP、RTSP、PPPoE、SMTP、NTP、UPnP、SNMP、FTP、802.1x、QoS、HTTPS、IPv6 （SIP、SRTP、可选）。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b/>
          <w:bCs/>
          <w:sz w:val="32"/>
          <w:szCs w:val="32"/>
        </w:rPr>
      </w:pPr>
      <w:r>
        <w:rPr>
          <w:rFonts w:eastAsia="方正仿宋_GBK" w:cs="Times New Roman" w:hAnsi="Times New Roman"/>
          <w:b/>
          <w:bCs/>
          <w:sz w:val="32"/>
          <w:szCs w:val="32"/>
        </w:rPr>
        <w:t>（五）主要功能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聚焦模式：自动/手动/一次聚焦；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曝光模式：自动曝光/光圈优先/快门优先/手动曝光；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日夜模式：自动/彩色/黑白；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电子快门：1/1秒 ~ 1/30,000秒；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宽动态：4级可调；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背光补偿：关/开；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曝光补偿：10级可调；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增益：16级可调；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坏点补偿：支持；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镜头初始化：内；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对外接口：36pin FFC（包括网口、RS485、RS232、CVBS、SDHC、Alarm In/Out、Line In/Out、电源）；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对外通信：RS485接口，Pelco协议。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b/>
          <w:bCs/>
          <w:sz w:val="32"/>
          <w:szCs w:val="32"/>
        </w:rPr>
      </w:pPr>
      <w:r>
        <w:rPr>
          <w:rFonts w:eastAsia="方正仿宋_GBK" w:cs="Times New Roman" w:hAnsi="Times New Roman"/>
          <w:b/>
          <w:bCs/>
          <w:sz w:val="32"/>
          <w:szCs w:val="32"/>
        </w:rPr>
        <w:t>（六）一般要求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工作温度和湿度：-20</w:t>
      </w:r>
      <w:r>
        <w:rPr>
          <w:rFonts w:ascii="方正仿宋_GBK" w:eastAsia="方正仿宋_GBK" w:cs="Times New Roman" w:hAnsi="Times New Roman" w:hint="eastAsia"/>
          <w:sz w:val="32"/>
          <w:szCs w:val="32"/>
        </w:rPr>
        <w:t>℃</w:t>
      </w:r>
      <w:r>
        <w:rPr>
          <w:rFonts w:eastAsia="方正仿宋_GBK" w:cs="Times New Roman" w:hAnsi="Times New Roman"/>
          <w:sz w:val="32"/>
          <w:szCs w:val="32"/>
        </w:rPr>
        <w:t> ~ 60</w:t>
      </w:r>
      <w:r>
        <w:rPr>
          <w:rFonts w:ascii="方正仿宋_GBK" w:eastAsia="方正仿宋_GBK" w:cs="Times New Roman" w:hAnsi="Times New Roman" w:hint="eastAsia"/>
          <w:sz w:val="32"/>
          <w:szCs w:val="32"/>
        </w:rPr>
        <w:t>℃</w:t>
      </w:r>
      <w:r>
        <w:rPr>
          <w:rFonts w:eastAsia="方正仿宋_GBK" w:cs="Times New Roman" w:hAnsi="Times New Roman"/>
          <w:sz w:val="32"/>
          <w:szCs w:val="32"/>
        </w:rPr>
        <w:t>，小于90％RH；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电源供应：DC12V±10%；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功耗：静态2.5W，动态4.5W；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尺寸（mm）：50×60×88；</w:t>
      </w:r>
    </w:p>
    <w:p>
      <w:pPr>
        <w:pStyle w:val="43"/>
        <w:spacing w:line="560" w:lineRule="exact"/>
        <w:ind w:firstLineChars="200" w:firstLine="640"/>
        <w:rPr>
          <w:rFonts w:eastAsia="方正仿宋_GBK" w:cs="Times New Roman" w:hAnsi="Times New Roman"/>
          <w:sz w:val="32"/>
          <w:szCs w:val="32"/>
        </w:rPr>
      </w:pPr>
      <w:r>
        <w:rPr>
          <w:rFonts w:eastAsia="方正仿宋_GBK" w:cs="Times New Roman" w:hAnsi="Times New Roman"/>
          <w:sz w:val="32"/>
          <w:szCs w:val="32"/>
        </w:rPr>
        <w:t>重量：265g。</w:t>
      </w:r>
    </w:p>
    <w:p>
      <w:pPr>
        <w:spacing w:after="0" w:line="560" w:lineRule="exact"/>
        <w:ind w:right="-23" w:firstLineChars="200" w:firstLine="640"/>
        <w:jc w:val="left"/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spacing w:val="0"/>
          <w:w w:val="100"/>
          <w:sz w:val="32"/>
          <w:szCs w:val="32"/>
        </w:rPr>
        <w:t>★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四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  <w:lang w:val="en-US" w:eastAsia="zh-CN"/>
        </w:rPr>
        <w:t>、数据管理平台及处理模块</w:t>
      </w:r>
    </w:p>
    <w:p>
      <w:pPr>
        <w:spacing w:after="0" w:line="560" w:lineRule="exact"/>
        <w:ind w:right="-23" w:firstLineChars="200" w:firstLine="640"/>
        <w:jc w:val="left"/>
        <w:rPr>
          <w:rFonts w:ascii="方正仿宋_GBK" w:eastAsia="方正仿宋_GBK" w:cs="方正仿宋_GBK" w:hAnsi="方正仿宋_GBK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spacing w:val="0"/>
          <w:w w:val="100"/>
          <w:sz w:val="32"/>
          <w:szCs w:val="32"/>
          <w:lang w:val="en-US" w:eastAsia="zh-CN"/>
        </w:rPr>
        <w:t>集成红外测温、数据分析应用服务，提供实时的报警数据传输、处理和结果展示，进行全链路的数据管理和实时报警信息处理。</w:t>
      </w:r>
    </w:p>
    <w:p>
      <w:pPr>
        <w:spacing w:before="84" w:after="0" w:line="560" w:lineRule="exact"/>
        <w:ind w:right="-23" w:firstLineChars="200" w:firstLine="640"/>
        <w:jc w:val="left"/>
        <w:rPr>
          <w:rFonts w:ascii="方正仿宋_GBK" w:eastAsia="方正仿宋_GBK" w:cs="方正仿宋_GBK" w:hAnsi="方正仿宋_GBK" w:hint="eastAsia"/>
          <w:spacing w:val="0"/>
          <w:w w:val="100"/>
          <w:sz w:val="32"/>
          <w:szCs w:val="32"/>
          <w:lang w:val="en-US" w:eastAsia="zh-CN"/>
        </w:rPr>
      </w:pPr>
      <w:r>
        <w:rPr>
          <w:rFonts w:ascii="方正仿宋_GBK" w:eastAsia="方正仿宋_GBK" w:cs="方正仿宋_GBK" w:hAnsi="方正仿宋_GBK" w:hint="eastAsia"/>
          <w:spacing w:val="0"/>
          <w:w w:val="100"/>
          <w:sz w:val="32"/>
          <w:szCs w:val="32"/>
          <w:lang w:val="en-US" w:eastAsia="zh-CN"/>
        </w:rPr>
        <w:t>平台系统功能要求：</w:t>
      </w:r>
    </w:p>
    <w:p>
      <w:pPr>
        <w:spacing w:before="84" w:after="0" w:line="560" w:lineRule="exact"/>
        <w:ind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（一）平台能兼容相关第三方设备的接口协议，预留接口，快速接入第三方信息，并与第三方确定通信协议后能将相关信息整合到平台中；</w:t>
      </w:r>
    </w:p>
    <w:p>
      <w:pPr>
        <w:spacing w:before="84" w:after="0" w:line="560" w:lineRule="exact"/>
        <w:ind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（二）服务器具有转发功能，可将第三方前端信息转发至后端应用，后端应用也可通过平台获取第三方前端信息；</w:t>
      </w:r>
    </w:p>
    <w:p>
      <w:pPr>
        <w:spacing w:before="84" w:after="0" w:line="560" w:lineRule="exact"/>
        <w:ind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（三）基于B/S架构的Web平台，可通过浏览器访问平台，实现信息的浏览、管理和操作；</w:t>
      </w:r>
    </w:p>
    <w:p>
      <w:pPr>
        <w:spacing w:before="84" w:after="0" w:line="560" w:lineRule="exact"/>
        <w:ind w:right="-23" w:firstLineChars="200" w:firstLine="640"/>
        <w:jc w:val="left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（四）支持在服务器端持久化存储，查询、处理第三方信息等功能；</w:t>
      </w:r>
    </w:p>
    <w:p>
      <w:pPr>
        <w:spacing w:before="84" w:after="0" w:line="560" w:lineRule="exact"/>
        <w:ind w:right="-23" w:firstLineChars="200" w:firstLine="640"/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</w:pPr>
      <w:r>
        <w:rPr>
          <w:rFonts w:ascii="Times New Roman" w:eastAsia="方正仿宋_GBK" w:cs="Times New Roman" w:hAnsi="Times New Roman"/>
          <w:spacing w:val="0"/>
          <w:w w:val="100"/>
          <w:sz w:val="32"/>
          <w:szCs w:val="32"/>
          <w:lang w:val="en-US" w:eastAsia="zh-CN"/>
        </w:rPr>
        <w:t>（五）采用国产数据库，提供权限管理功能，保护第三方信息不受未经授权的访问。</w:t>
      </w:r>
    </w:p>
    <w:p>
      <w:pPr>
        <w:spacing w:before="84" w:after="0" w:line="240" w:lineRule="auto"/>
        <w:ind w:right="-20"/>
        <w:rPr>
          <w:rFonts w:ascii="方正仿宋_GBK" w:eastAsia="方正仿宋_GBK" w:cs="方正仿宋_GBK" w:hAnsi="方正仿宋_GBK"/>
          <w:spacing w:val="0"/>
          <w:w w:val="100"/>
          <w:sz w:val="32"/>
          <w:szCs w:val="32"/>
          <w:lang w:val="en-US" w:eastAsia="zh-CN"/>
        </w:rPr>
      </w:pPr>
    </w:p>
    <w:p>
      <w:pPr>
        <w:spacing w:before="0" w:after="0" w:line="560" w:lineRule="exact"/>
        <w:ind w:left="0" w:right="40"/>
        <w:jc w:val="left"/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备注：</w:t>
      </w:r>
      <w:r>
        <w:rPr>
          <w:rFonts w:ascii="方正黑体_GBK" w:eastAsia="方正黑体_GBK" w:cs="方正黑体_GBK" w:hAnsi="方正黑体_GBK"/>
          <w:spacing w:val="2"/>
          <w:w w:val="100"/>
          <w:sz w:val="32"/>
          <w:szCs w:val="32"/>
        </w:rPr>
        <w:t>1、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带“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★”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的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为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必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须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满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足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内容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，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否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则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作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为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无效</w:t>
      </w:r>
      <w:r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  <w:t>报价</w:t>
      </w:r>
      <w:r>
        <w:rPr>
          <w:rFonts w:ascii="方正黑体_GBK" w:eastAsia="方正黑体_GBK" w:cs="方正黑体_GBK" w:hAnsi="方正黑体_GBK" w:hint="eastAsia"/>
          <w:spacing w:val="0"/>
          <w:w w:val="100"/>
          <w:sz w:val="32"/>
          <w:szCs w:val="32"/>
        </w:rPr>
        <w:t>处</w:t>
      </w:r>
      <w:r>
        <w:rPr>
          <w:rFonts w:ascii="方正黑体_GBK" w:eastAsia="方正黑体_GBK" w:cs="方正黑体_GBK" w:hAnsi="方正黑体_GBK" w:hint="eastAsia"/>
          <w:spacing w:val="2"/>
          <w:w w:val="100"/>
          <w:sz w:val="32"/>
          <w:szCs w:val="32"/>
        </w:rPr>
        <w:t>理</w:t>
      </w:r>
      <w:r>
        <w:rPr>
          <w:rFonts w:ascii="方正黑体_GBK" w:eastAsia="方正黑体_GBK" w:cs="方正黑体_GBK" w:hAnsi="方正黑体_GBK"/>
          <w:spacing w:val="2"/>
          <w:w w:val="100"/>
          <w:sz w:val="32"/>
          <w:szCs w:val="32"/>
        </w:rPr>
        <w:t>；</w:t>
      </w:r>
    </w:p>
    <w:p>
      <w:pPr>
        <w:spacing w:before="0" w:after="0" w:line="560" w:lineRule="exact"/>
        <w:ind w:left="0" w:right="40" w:firstLineChars="300" w:firstLine="960"/>
        <w:jc w:val="left"/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</w:pPr>
      <w:r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  <w:t>2、设备厂家要提供设备安装的技术服务；</w:t>
      </w:r>
    </w:p>
    <w:p>
      <w:pPr>
        <w:spacing w:before="0" w:after="0" w:line="560" w:lineRule="exact"/>
        <w:ind w:left="101" w:right="40" w:firstLineChars="250" w:firstLine="800"/>
        <w:jc w:val="left"/>
        <w:rPr>
          <w:rFonts w:ascii="方正黑体_GBK" w:eastAsia="方正黑体_GBK" w:cs="方正黑体_GBK" w:hAnsi="方正黑体_GBK" w:hint="eastAsia"/>
          <w:sz w:val="32"/>
          <w:szCs w:val="32"/>
        </w:rPr>
      </w:pPr>
      <w:r>
        <w:rPr>
          <w:rFonts w:ascii="方正黑体_GBK" w:eastAsia="方正黑体_GBK" w:cs="方正黑体_GBK" w:hAnsi="方正黑体_GBK"/>
          <w:spacing w:val="0"/>
          <w:w w:val="100"/>
          <w:sz w:val="32"/>
          <w:szCs w:val="32"/>
        </w:rPr>
        <w:t>3、满足该体温监测设备与我关现有通道式闸机的数据互联。</w:t>
      </w:r>
    </w:p>
    <w:p>
      <w:pPr>
        <w:spacing w:before="84" w:after="0" w:line="240" w:lineRule="auto"/>
        <w:ind w:right="-20"/>
        <w:rPr>
          <w:rFonts w:ascii="方正仿宋_GBK" w:eastAsia="方正仿宋_GBK" w:cs="方正仿宋_GBK" w:hAnsi="方正仿宋_GBK" w:hint="eastAsia"/>
          <w:sz w:val="32"/>
          <w:szCs w:val="32"/>
        </w:rPr>
      </w:pPr>
    </w:p>
    <w:sectPr>
      <w:headerReference w:type="default" r:id="rId2"/>
      <w:footerReference w:type="default" r:id="rId3"/>
      <w:pgSz w:w="11920" w:h="16840"/>
      <w:pgMar w:top="1580" w:right="1140" w:bottom="1020" w:left="1240" w:header="0" w:footer="836" w:gutter="0"/>
      <w:cols w:num="1" w:space="720"/>
      <w:docGrid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方正小标宋简体"/>
    <w:panose1 w:val="020F0502020204030204"/>
    <w:charset w:val="86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spacing w:before="0" w:after="0" w:line="200" w:lineRule="exact"/>
      <w:jc w:val="left"/>
      <w:rPr>
        <w:sz w:val="20"/>
        <w:szCs w:val="20"/>
      </w:rPr>
    </w:pPr>
    <w:r>
      <mc:AlternateContent>
        <mc:Choice Requires="wps">
          <w:drawing>
            <wp:anchor distT="0" distB="0" distL="114298" distR="114298" simplePos="0" relativeHeight="2" behindDoc="1" locked="0" layoutInCell="1" hidden="0" allowOverlap="1">
              <wp:simplePos x="0" y="0"/>
              <wp:positionH relativeFrom="page">
                <wp:posOffset>3672840</wp:posOffset>
              </wp:positionH>
              <wp:positionV relativeFrom="page">
                <wp:posOffset>9931400</wp:posOffset>
              </wp:positionV>
              <wp:extent cx="165735" cy="139699"/>
              <wp:effectExtent l="0" t="0" r="0" b="0"/>
              <wp:wrapNone/>
              <wp:docPr id="1" name="文本框 2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165735" cy="139699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spacing w:before="0" w:after="0" w:line="204" w:lineRule="exact"/>
                            <w:ind w:left="40" w:right="-20"/>
                            <w:jc w:val="left"/>
                            <w:rPr>
                              <w:rFonts w:ascii="Times New Roman" w:eastAsia="Times New Roman" w:cs="Times New Roman" w:hAnsi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cs="Times New Roman" w:hAnsi="Times New Roman"/>
                              <w:spacing w:val="0"/>
                              <w:w w:val="100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Times New Roman" w:cs="Times New Roman" w:hAnsi="Times New Roman"/>
                              <w:spacing w:val="0"/>
                              <w:w w:val="100"/>
                              <w:sz w:val="18"/>
                              <w:szCs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21 3" o:spid="_x0000_s3" filled="f" stroked="f" style="position:absolute;margin-left:289.2pt;margin-top:781.99994pt;width:13.050003pt;height:10.999985pt;z-index:-5;mso-position-horizontal:absolute;mso-position-horizontal-relative:page;mso-position-vertical:absolute;mso-position-vertical-relative:page;mso-wrap-distance-left:8.999863pt;mso-wrap-distance-right:8.999863pt;mso-wrap-style:square;">
              <v:stroke color="#000000"/>
              <v:textbox id="848" inset="0mm,0mm,0mm,0mm" o:insetmode="custom" style="layout-flow:horizontal;v-text-anchor:top;">
                <w:txbxContent>
                  <w:p>
                    <w:pPr>
                      <w:spacing w:before="0" w:after="0" w:line="204" w:lineRule="exact"/>
                      <w:ind w:left="40" w:right="-20"/>
                      <w:jc w:val="left"/>
                      <w:rPr>
                        <w:rFonts w:ascii="Times New Roman" w:eastAsia="Times New Roman" w:cs="Times New Roman" w:hAnsi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eastAsia="Times New Roman" w:cs="Times New Roman" w:hAnsi="Times New Roman"/>
                        <w:spacing w:val="0"/>
                        <w:w w:val="100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Times New Roman" w:eastAsia="Times New Roman" w:cs="Times New Roman" w:hAnsi="Times New Roman"/>
                        <w:spacing w:val="0"/>
                        <w:w w:val="100"/>
                        <w:sz w:val="18"/>
                        <w:szCs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spacing w:before="0" w:after="0" w:line="0" w:lineRule="atLeast"/>
      <w:jc w:val="left"/>
      <w:rPr>
        <w:sz w:val="2"/>
        <w:szCs w:val="2"/>
      </w:rPr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bordersDoNotSurroundHeader/>
  <w:bordersDoNotSurroundFooter/>
  <w:documentProtection w:edit="readOnly" w:enforcement="0"/>
  <w:defaultTabStop w:val="720"/>
  <w:drawingGridHorizontalSpacing w:val="110"/>
  <w:drawingGridVerticalSpacing w:val="156"/>
  <w:displayHorizontalDrawingGridEvery w:val="2"/>
  <w:displayVerticalDrawingGridEvery w:val="1"/>
  <w:compat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customStyle="1" w:styleId="15">
    <w:name w:val="样式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16">
    <w:name w:val="样式 1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17">
    <w:name w:val="样式 2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18">
    <w:name w:val="样式 3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19">
    <w:name w:val="样式 4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0">
    <w:name w:val="样式 5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1">
    <w:name w:val="样式 6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2">
    <w:name w:val="样式 7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3">
    <w:name w:val="样式 8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4">
    <w:name w:val="样式 9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5">
    <w:name w:val="样式 10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6">
    <w:name w:val="样式 11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7">
    <w:name w:val="样式 12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8">
    <w:name w:val="样式 13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29">
    <w:name w:val="样式 14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0">
    <w:name w:val="样式 15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1">
    <w:name w:val="样式 16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2">
    <w:name w:val="样式 17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3">
    <w:name w:val="样式 18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4">
    <w:name w:val="样式 19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5">
    <w:name w:val="样式 20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6">
    <w:name w:val="样式 21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7">
    <w:name w:val="样式 22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8">
    <w:name w:val="样式 23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39">
    <w:name w:val="样式 24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40">
    <w:name w:val="样式 25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41">
    <w:name w:val="样式 26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42">
    <w:name w:val="样式 27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43">
    <w:name w:val="样式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44">
    <w:name w:val="样式 1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45">
    <w:name w:val="样式 2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46">
    <w:name w:val="样式 28 11 磅"/>
    <w:pPr>
      <w:widowControl w:val="0"/>
      <w:spacing w:after="200" w:line="276" w:lineRule="auto"/>
    </w:pPr>
    <w:rPr>
      <w:rFonts w:ascii="Calibri" w:eastAsia="Calibri" w:cs="Arial" w:hAnsi="Calibri"/>
      <w:sz w:val="22"/>
      <w:szCs w:val="22"/>
      <w:lang w:val="en-US" w:eastAsia="zh-CN" w:bidi="ar-SA"/>
    </w:rPr>
  </w:style>
  <w:style w:type="paragraph" w:customStyle="1" w:styleId="165">
    <w:name w:val="样式 3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66">
    <w:name w:val="样式 4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67">
    <w:name w:val="样式 5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68">
    <w:name w:val="样式 6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69">
    <w:name w:val="样式 7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0">
    <w:name w:val="样式 8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1">
    <w:name w:val="样式 9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2">
    <w:name w:val="样式 10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3">
    <w:name w:val="样式 11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4">
    <w:name w:val="样式 12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5">
    <w:name w:val="样式 13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6">
    <w:name w:val="样式 14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customStyle="1" w:styleId="177">
    <w:name w:val="样式 15 10 磅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3126CF9-1CEB-4081-935C-7994F963FB8A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1026</TotalTime>
  <Application>Yozo_Office27021597764231179</Application>
  <Pages>4</Pages>
  <Words>0</Words>
  <Characters>1270</Characters>
  <Lines>0</Lines>
  <Paragraphs>76</Paragraphs>
  <CharactersWithSpaces>1694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招标文件</dc:title>
  <dc:creator>jujub</dc:creator>
  <cp:lastModifiedBy>user</cp:lastModifiedBy>
  <cp:revision>0</cp:revision>
  <dcterms:created xsi:type="dcterms:W3CDTF">2019-11-11T10:20:00Z</dcterms:created>
  <dcterms:modified xsi:type="dcterms:W3CDTF">2025-11-14T01:12:40Z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Created">
    <vt:filetime>2019-11-07T16:00:00Z</vt:filetime>
  </property>
  <property fmtid="{D5CDD505-2E9C-101B-9397-08002B2CF9AE}" pid="3" name="LastSaved">
    <vt:filetime>2019-11-10T16:00:00Z</vt:filetime>
  </property>
  <property fmtid="{D5CDD505-2E9C-101B-9397-08002B2CF9AE}" pid="4" name="KSOProductBuildVer">
    <vt:lpwstr>2052-12.1.0.22089</vt:lpwstr>
  </property>
  <property fmtid="{D5CDD505-2E9C-101B-9397-08002B2CF9AE}" pid="5" name="KSOTemplateDocerSaveRecord">
    <vt:lpwstr>eyJoZGlkIjoiODI3ZjUwZjViZTNiNzI2MjhmMDEzZDVjMDQ1MDA5YWYiLCJ1c2VySWQiOiI0Mzk1MTEyMjUifQ==</vt:lpwstr>
  </property>
  <property fmtid="{D5CDD505-2E9C-101B-9397-08002B2CF9AE}" pid="6" name="ICV">
    <vt:lpwstr>04C4997AF15543799D34997547832855_13</vt:lpwstr>
  </property>
</Properties>
</file>