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98"/>
        <w:spacing w:line="720" w:lineRule="exact"/>
        <w:ind w:left="0"/>
        <w:jc w:val="center"/>
        <w:rPr>
          <w:rFonts w:ascii="方正小标宋_GBK" w:eastAsia="方正小标宋_GBK" w:hint="eastAsia"/>
          <w:b/>
          <w:bCs/>
          <w:color w:val="000000"/>
          <w:kern w:val="2"/>
          <w:sz w:val="44"/>
          <w:szCs w:val="44"/>
        </w:rPr>
      </w:pPr>
      <w:r>
        <w:rPr>
          <w:rFonts w:ascii="方正小标宋_GBK" w:eastAsia="方正小标宋_GBK"/>
          <w:b/>
          <w:bCs/>
          <w:color w:val="000000"/>
          <w:kern w:val="2"/>
          <w:sz w:val="44"/>
          <w:szCs w:val="44"/>
        </w:rPr>
        <w:t>采购需求书</w:t>
      </w:r>
    </w:p>
    <w:p>
      <w:pPr>
        <w:pStyle w:val="59"/>
      </w:pPr>
    </w:p>
    <w:p>
      <w:pPr>
        <w:pStyle w:val="59"/>
      </w:pPr>
      <w:r>
        <w:rPr>
          <w:rFonts w:hint="eastAsia"/>
        </w:rPr>
        <w:t>一、项目概述</w:t>
      </w:r>
    </w:p>
    <w:p>
      <w:pPr>
        <w:pStyle w:val="65"/>
      </w:pPr>
      <w:r>
        <w:rPr>
          <w:rFonts w:hint="eastAsia"/>
        </w:rPr>
        <w:t>RFID资产盘点设备总价不超过13.5万元，包括RFID手持终端4台、RFID标签打印机2台、RFID不干胶电子标签2.5万个、RFID柔性抗金属电子标签3.5万个、树脂基碳带20卷。</w:t>
      </w:r>
    </w:p>
    <w:p>
      <w:pPr>
        <w:pStyle w:val="65"/>
        <w:ind w:left="0" w:firstLineChars="200" w:firstLine="480"/>
      </w:pPr>
      <w:r>
        <w:rPr>
          <w:rFonts w:hint="eastAsia"/>
        </w:rPr>
        <w:t>配套软件总价不超过11.5万元，需满足</w:t>
      </w:r>
      <w:r>
        <w:rPr>
          <w:rFonts w:hint="eastAsia"/>
          <w:lang w:val="en-US" w:eastAsia="zh-CN"/>
        </w:rPr>
        <w:t>采购方</w:t>
      </w:r>
      <w:r>
        <w:rPr>
          <w:rFonts w:hint="eastAsia"/>
          <w:lang w:val="en-US" w:eastAsia="zh-CN"/>
          <w:highlight w:val="auto"/>
        </w:rPr>
        <w:t>现有</w:t>
      </w:r>
      <w:r>
        <w:rPr>
          <w:rFonts w:hint="eastAsia"/>
          <w:highlight w:val="auto"/>
        </w:rPr>
        <w:t>资产管理系统框</w:t>
      </w:r>
      <w:r>
        <w:rPr>
          <w:rFonts w:hint="eastAsia"/>
        </w:rPr>
        <w:t>架，充分提高资产盘点</w:t>
      </w:r>
      <w:r>
        <w:rPr>
          <w:rFonts w:hint="eastAsia"/>
          <w:lang w:val="en-US" w:eastAsia="zh-CN"/>
        </w:rPr>
        <w:t>效率</w:t>
      </w:r>
      <w:r>
        <w:rPr>
          <w:rFonts w:hint="eastAsia"/>
        </w:rPr>
        <w:t>和资产</w:t>
      </w:r>
      <w:r>
        <w:rPr>
          <w:rFonts w:hint="eastAsia"/>
          <w:lang w:val="en-US" w:eastAsia="zh-CN"/>
        </w:rPr>
        <w:t>状态准确性</w:t>
      </w:r>
      <w:r>
        <w:rPr>
          <w:rFonts w:hint="eastAsia"/>
        </w:rPr>
        <w:t>。</w:t>
      </w:r>
    </w:p>
    <w:p>
      <w:pPr>
        <w:pStyle w:val="59"/>
      </w:pPr>
      <w:r>
        <w:rPr>
          <w:rFonts w:hint="eastAsia"/>
        </w:rPr>
        <w:t>二、技术路线要求</w:t>
      </w:r>
    </w:p>
    <w:p>
      <w:pPr>
        <w:pStyle w:val="59"/>
      </w:pPr>
      <w:r>
        <w:rPr>
          <w:rFonts w:hint="eastAsia"/>
        </w:rPr>
        <w:t>2</w:t>
      </w:r>
      <w:r>
        <w:t xml:space="preserve">.1 </w:t>
      </w:r>
      <w:r>
        <w:rPr>
          <w:rFonts w:hint="eastAsia"/>
        </w:rPr>
        <w:t>硬件技术</w:t>
      </w:r>
    </w:p>
    <w:p>
      <w:pPr>
        <w:pStyle w:val="65"/>
        <w:rPr>
          <w:rFonts w:hint="eastAsia"/>
        </w:rPr>
      </w:pPr>
      <w:r>
        <w:rPr>
          <w:rFonts w:hint="eastAsia"/>
        </w:rPr>
        <w:t>采用射频识别（RFID技术）为核心技术，该技术原理为阅读器与标签之间进行非接触式的数据通信，达到识别目标的目的。本项目中，主要利用R</w:t>
      </w:r>
      <w:r>
        <w:t>FID</w:t>
      </w:r>
      <w:r>
        <w:rPr>
          <w:rFonts w:hint="eastAsia"/>
        </w:rPr>
        <w:t>的技术特点，在前端R</w:t>
      </w:r>
      <w:r>
        <w:t>FID</w:t>
      </w:r>
      <w:r>
        <w:rPr>
          <w:rFonts w:hint="eastAsia"/>
        </w:rPr>
        <w:t>标签可以采用非供电设备的电子标签，相对其他非接触式近场通讯技术来说，识别速度快，可广泛应用于资产盘点和出入库的使用场景，技术成熟度高，因此项目从技术的第一角度考虑应选用R</w:t>
      </w:r>
      <w:r>
        <w:t>FID</w:t>
      </w:r>
      <w:r>
        <w:rPr>
          <w:rFonts w:hint="eastAsia"/>
        </w:rPr>
        <w:t>技术作为核心识别技术。</w:t>
      </w:r>
    </w:p>
    <w:p>
      <w:pPr>
        <w:pStyle w:val="65"/>
        <w:rPr>
          <w:rFonts w:hint="eastAsia"/>
          <w:lang w:eastAsia="zh-CN"/>
        </w:rPr>
      </w:pPr>
      <w:r>
        <w:rPr>
          <w:rFonts w:hint="eastAsia"/>
          <w:lang w:val="en-US" w:eastAsia="zh-CN"/>
        </w:rPr>
        <w:t>1.</w:t>
      </w:r>
      <w:r>
        <w:rPr>
          <w:rFonts w:hint="eastAsia"/>
        </w:rPr>
        <w:t>RFID手持终端</w:t>
      </w:r>
      <w:r>
        <w:rPr>
          <w:rFonts w:hint="eastAsia"/>
          <w:lang w:val="en-US" w:eastAsia="zh-CN"/>
        </w:rPr>
        <w:t>4台</w:t>
      </w:r>
      <w:r>
        <w:rPr>
          <w:rFonts w:hint="eastAsia"/>
          <w:lang w:eastAsia="zh-CN"/>
        </w:rPr>
        <w:t>。</w:t>
      </w:r>
      <w:r>
        <w:rPr>
          <w:rFonts w:hint="eastAsia"/>
        </w:rPr>
        <w:t>RFID安卓手持终端，工业级设计，外观简洁，结实耐用；手持握柄读写更方便，握持感舒适；性能强劲，读写一流；超远的读取距离，读写距离满足</w:t>
      </w:r>
      <w:r>
        <w:rPr>
          <w:rFonts w:hint="eastAsia"/>
          <w:lang w:val="en-US" w:eastAsia="zh-CN"/>
        </w:rPr>
        <w:t>采购方</w:t>
      </w:r>
      <w:r>
        <w:rPr>
          <w:rFonts w:hint="eastAsia"/>
        </w:rPr>
        <w:t>现场实际要求；读写6C和6B标签，适用更多行业；采用Android 10以上操作系统，系统运行稳定快速；5寸以上高清大屏，视觉更清晰；屏下按键，使用更便捷；具有超高频读写、条码扫描、NFC读写、高清摄像头、GPS+北斗双定位等功能；超长续航，8000mAh大容量锂离子电池</w:t>
      </w:r>
      <w:r>
        <w:rPr>
          <w:rFonts w:hint="eastAsia"/>
          <w:lang w:eastAsia="zh-CN"/>
        </w:rPr>
        <w:t>。</w:t>
      </w:r>
    </w:p>
    <w:p>
      <w:pPr>
        <w:pStyle w:val="65"/>
        <w:rPr>
          <w:rFonts w:hint="eastAsia"/>
          <w:lang w:val="en-US" w:eastAsia="zh-CN"/>
        </w:rPr>
      </w:pPr>
      <w:r>
        <w:rPr>
          <w:rFonts w:hint="eastAsia"/>
          <w:lang w:val="en-US" w:eastAsia="zh-CN"/>
        </w:rPr>
        <w:t>2.</w:t>
      </w:r>
      <w:r>
        <w:rPr>
          <w:rFonts w:hint="eastAsia"/>
        </w:rPr>
        <w:t>RFID打印机</w:t>
      </w:r>
      <w:r>
        <w:rPr>
          <w:rFonts w:hint="eastAsia"/>
          <w:lang w:val="en-US" w:eastAsia="zh-CN"/>
        </w:rPr>
        <w:t>2台。</w:t>
      </w:r>
      <w:r>
        <w:rPr>
          <w:rFonts w:hint="eastAsia"/>
        </w:rPr>
        <w:t>分辨率300DPI，打印速度6英寸/秒，带DIP开关，网口、串口、USB口</w:t>
      </w:r>
      <w:r>
        <w:rPr>
          <w:rFonts w:hint="eastAsia"/>
          <w:lang w:eastAsia="zh-CN"/>
        </w:rPr>
        <w:t>；</w:t>
      </w:r>
      <w:r>
        <w:rPr>
          <w:rFonts w:hint="eastAsia"/>
        </w:rPr>
        <w:t>小巧紧凑型机身，快速打印时支持203.2mm/s，支持厚度1.5mm以内的柔性抗金属标签打印，支持RFID标签的读、写、打印及校验同步操作，支持RFID一键校准功能；可提供二次开发支持VC/C#/JAVA/HTML5等主流变成语言，支持自主研发的标签编辑读写、打印软件</w:t>
      </w:r>
      <w:r>
        <w:rPr>
          <w:rFonts w:hint="eastAsia"/>
          <w:lang w:eastAsia="zh-CN"/>
        </w:rPr>
        <w:t>。</w:t>
      </w:r>
    </w:p>
    <w:p>
      <w:pPr>
        <w:pStyle w:val="65"/>
        <w:rPr>
          <w:rFonts w:hint="eastAsia"/>
          <w:lang w:val="en-US" w:eastAsia="zh-CN"/>
        </w:rPr>
      </w:pPr>
      <w:r>
        <w:rPr>
          <w:rFonts w:hint="eastAsia"/>
          <w:lang w:val="en-US" w:eastAsia="zh-CN"/>
        </w:rPr>
        <w:t>3.</w:t>
      </w:r>
      <w:r>
        <w:rPr>
          <w:rFonts w:hint="eastAsia"/>
        </w:rPr>
        <w:t>RFID不干胶电子标签</w:t>
      </w:r>
      <w:r>
        <w:rPr>
          <w:rFonts w:hint="eastAsia"/>
          <w:lang w:val="en-US" w:eastAsia="zh-CN"/>
        </w:rPr>
        <w:t>2.5万个。</w:t>
      </w:r>
      <w:r>
        <w:rPr>
          <w:rFonts w:hint="eastAsia"/>
        </w:rPr>
        <w:t>不干胶纸超高频电子标签，不干胶纸或合成纸、PET制作，粘贴方便简单。印刷美观，方便打印文字、图案及其它内容。可直接提供干的或湿的INLAY，为超高频（UHF）类；工作频率：840-960MHz；工作模式：可读可写；工作方式：被动反射，具有很高的读写灵敏度。</w:t>
      </w:r>
    </w:p>
    <w:p>
      <w:pPr>
        <w:pStyle w:val="65"/>
        <w:rPr>
          <w:rFonts w:hint="eastAsia"/>
          <w:lang w:val="en-US" w:eastAsia="zh-CN"/>
        </w:rPr>
      </w:pPr>
      <w:r>
        <w:rPr>
          <w:rFonts w:hint="eastAsia"/>
          <w:lang w:val="en-US" w:eastAsia="zh-CN"/>
        </w:rPr>
        <w:t>4.</w:t>
      </w:r>
      <w:r>
        <w:rPr>
          <w:rFonts w:hint="eastAsia"/>
        </w:rPr>
        <w:t>RFID柔性抗金属电子标签</w:t>
      </w:r>
      <w:r>
        <w:rPr>
          <w:rFonts w:hint="eastAsia"/>
          <w:lang w:val="en-US" w:eastAsia="zh-CN"/>
        </w:rPr>
        <w:t>3.5万个。</w:t>
      </w:r>
      <w:r>
        <w:rPr>
          <w:rFonts w:hint="eastAsia"/>
        </w:rPr>
        <w:t>柔性抗金属超高频电子标签，抗金属屏蔽，固定在金属表面上使用效果更佳；读取距离可达8米，读写容易，使用方便；可以贴在不规则或曲面的金属上使用；可使用RFID打印机打印和读写信息；工作频率：840-960MHz</w:t>
      </w:r>
      <w:r>
        <w:rPr>
          <w:rFonts w:hint="eastAsia"/>
          <w:lang w:eastAsia="zh-CN"/>
        </w:rPr>
        <w:t>。</w:t>
      </w:r>
    </w:p>
    <w:p>
      <w:pPr>
        <w:pStyle w:val="65"/>
        <w:rPr>
          <w:rFonts w:hint="eastAsia"/>
          <w:lang w:val="en-US" w:eastAsia="zh-CN"/>
        </w:rPr>
      </w:pPr>
      <w:r>
        <w:rPr>
          <w:rFonts w:hint="eastAsia"/>
          <w:lang w:val="en-US" w:eastAsia="zh-CN"/>
        </w:rPr>
        <w:t>5.</w:t>
      </w:r>
      <w:r>
        <w:rPr>
          <w:rFonts w:hint="eastAsia"/>
        </w:rPr>
        <w:t>树脂基碳带</w:t>
      </w:r>
      <w:r>
        <w:rPr>
          <w:rFonts w:hint="eastAsia"/>
          <w:lang w:val="en-US" w:eastAsia="zh-CN"/>
        </w:rPr>
        <w:t>20卷。</w:t>
      </w:r>
      <w:r>
        <w:rPr>
          <w:rFonts w:hint="eastAsia"/>
        </w:rPr>
        <w:t>110mm宽，300m长，树脂基碳带</w:t>
      </w:r>
      <w:r>
        <w:rPr>
          <w:rFonts w:hint="eastAsia"/>
          <w:lang w:eastAsia="zh-CN"/>
        </w:rPr>
        <w:t>。</w:t>
      </w:r>
    </w:p>
    <w:p>
      <w:pPr>
        <w:pStyle w:val="60"/>
      </w:pPr>
      <w:r>
        <w:rPr>
          <w:rFonts w:hint="eastAsia"/>
        </w:rPr>
        <w:t>2</w:t>
      </w:r>
      <w:r>
        <w:t xml:space="preserve">.2 </w:t>
      </w:r>
      <w:r>
        <w:rPr>
          <w:rFonts w:hint="eastAsia"/>
        </w:rPr>
        <w:t>软件技术</w:t>
      </w:r>
    </w:p>
    <w:p>
      <w:pPr>
        <w:pStyle w:val="65"/>
      </w:pPr>
      <w:r>
        <w:rPr>
          <w:rFonts w:hint="eastAsia"/>
          <w:lang w:eastAsia="zh-CN"/>
        </w:rPr>
        <w:t>需在</w:t>
      </w:r>
      <w:r>
        <w:rPr>
          <w:rFonts w:hint="eastAsia"/>
        </w:rPr>
        <w:t>采用成熟的资产管理系统软件的基础上，增加相关功能模块。其主要需实现的内容如下：</w:t>
      </w:r>
    </w:p>
    <w:p>
      <w:pPr>
        <w:pStyle w:val="65"/>
        <w:rPr>
          <w:b/>
        </w:rPr>
      </w:pPr>
      <w:r>
        <w:rPr>
          <w:b/>
        </w:rPr>
        <w:t>1.</w:t>
      </w:r>
      <w:r>
        <w:rPr>
          <w:rFonts w:hint="eastAsia"/>
          <w:b/>
        </w:rPr>
        <w:t>资产管理基础模块</w:t>
      </w:r>
    </w:p>
    <w:p>
      <w:pPr>
        <w:pStyle w:val="65"/>
      </w:pPr>
      <w:r>
        <w:rPr>
          <w:rFonts w:hint="eastAsia"/>
        </w:rPr>
        <w:t>基础功能：</w:t>
      </w:r>
    </w:p>
    <w:p>
      <w:pPr>
        <w:pStyle w:val="65"/>
      </w:pPr>
      <w:r>
        <w:rPr>
          <w:rFonts w:hint="eastAsia"/>
        </w:rPr>
        <w:t>（1）系统基于WEB页面开发，支持国产化及非国产化操作系统及浏览器，跟客户实际需求进行适配；</w:t>
      </w:r>
    </w:p>
    <w:p>
      <w:pPr>
        <w:pStyle w:val="65"/>
      </w:pPr>
      <w:r>
        <w:rPr>
          <w:rFonts w:hint="eastAsia"/>
        </w:rPr>
        <w:t>（2）提供后台管理、系统管理、用户管理、资产类别、固定资产管理、备件管理和物品品类管理等功能；</w:t>
      </w:r>
    </w:p>
    <w:p>
      <w:pPr>
        <w:pStyle w:val="65"/>
      </w:pPr>
      <w:r>
        <w:rPr>
          <w:rFonts w:hint="eastAsia"/>
        </w:rPr>
        <w:t>（3）固定资产类管理至少支持固定资产、低值易耗品、专项工程资产管理等基本组件，根据用户要求提供字段自定义功能，满足客户当前需要；</w:t>
      </w:r>
    </w:p>
    <w:p>
      <w:pPr>
        <w:pStyle w:val="65"/>
      </w:pPr>
      <w:r>
        <w:rPr>
          <w:rFonts w:hint="eastAsia"/>
        </w:rPr>
        <w:t>（4）提供资产的相关属性，至少包含条形码、二维码、财务编码、名称、类别、状态、规格、金额、所属公司、购入时间、使用单位、使用部门、使用人、存入方式、使用地点等常用的资产属性信息，可灵活定义；</w:t>
      </w:r>
    </w:p>
    <w:p>
      <w:pPr>
        <w:pStyle w:val="65"/>
      </w:pPr>
      <w:r>
        <w:rPr>
          <w:rFonts w:hint="eastAsia"/>
        </w:rPr>
        <w:t>（5）资产查询功能刻支持基于上述各类字段的高级检索、模糊查询、全局关键字模糊查询等，帮助采购方快速定位该资产的相关信息。</w:t>
      </w:r>
    </w:p>
    <w:p>
      <w:pPr>
        <w:pStyle w:val="65"/>
        <w:rPr>
          <w:b/>
        </w:rPr>
      </w:pPr>
      <w:r>
        <w:rPr>
          <w:b/>
        </w:rPr>
        <w:t>2.</w:t>
      </w:r>
      <w:r>
        <w:rPr>
          <w:rFonts w:hint="eastAsia"/>
          <w:b/>
        </w:rPr>
        <w:t>资产限额功能模块</w:t>
      </w:r>
    </w:p>
    <w:p>
      <w:pPr>
        <w:pStyle w:val="65"/>
        <w:rPr>
          <w:highlight w:val="yellow"/>
        </w:rPr>
      </w:pPr>
      <w:r>
        <w:rPr>
          <w:rFonts w:hint="eastAsia"/>
        </w:rPr>
        <w:t>可根据通用资产配置计划形成资产限额，自动比对通用资产配置计划和资产实际情况，在资产数量、购置单价超标时进行提醒。</w:t>
      </w:r>
    </w:p>
    <w:p>
      <w:pPr>
        <w:pStyle w:val="65"/>
        <w:rPr>
          <w:b/>
        </w:rPr>
      </w:pPr>
      <w:r>
        <w:rPr>
          <w:rFonts w:hint="eastAsia"/>
          <w:b/>
        </w:rPr>
        <w:t>3</w:t>
      </w:r>
      <w:r>
        <w:rPr>
          <w:b/>
        </w:rPr>
        <w:t>.</w:t>
      </w:r>
      <w:r>
        <w:rPr>
          <w:rFonts w:hint="eastAsia"/>
          <w:b/>
        </w:rPr>
        <w:t>资产移动查询模块</w:t>
      </w:r>
    </w:p>
    <w:p>
      <w:pPr>
        <w:pStyle w:val="65"/>
      </w:pPr>
      <w:r>
        <w:rPr>
          <w:rFonts w:hint="eastAsia"/>
        </w:rPr>
        <w:t>具有资产的属性变更记录，能导出该资产的变更记录；</w:t>
      </w:r>
    </w:p>
    <w:p>
      <w:pPr>
        <w:pStyle w:val="65"/>
      </w:pPr>
      <w:r>
        <w:rPr>
          <w:rFonts w:hint="eastAsia"/>
        </w:rPr>
        <w:t>对资产的部门变化后导入新系统后做出提醒，可使用户即时变更对应资产所属人。</w:t>
      </w:r>
    </w:p>
    <w:p>
      <w:pPr>
        <w:pStyle w:val="65"/>
        <w:rPr>
          <w:b/>
        </w:rPr>
      </w:pPr>
      <w:r>
        <w:rPr>
          <w:rFonts w:hint="eastAsia"/>
          <w:b/>
        </w:rPr>
        <w:t>4</w:t>
      </w:r>
      <w:r>
        <w:rPr>
          <w:b/>
        </w:rPr>
        <w:t>.</w:t>
      </w:r>
      <w:r>
        <w:rPr>
          <w:rFonts w:hint="eastAsia"/>
          <w:b/>
        </w:rPr>
        <w:t>资产数据的统计分析</w:t>
      </w:r>
    </w:p>
    <w:p>
      <w:pPr>
        <w:pStyle w:val="65"/>
      </w:pPr>
      <w:r>
        <w:rPr>
          <w:rFonts w:hint="eastAsia"/>
        </w:rPr>
        <w:t>（1）可分析未分配资产数量，通过该指标可以清晰显示资产状态是闲置、已分配和未分配等分类数据，提示该部分部门和主管进行资产划分；</w:t>
      </w:r>
    </w:p>
    <w:p>
      <w:pPr>
        <w:pStyle w:val="65"/>
      </w:pPr>
      <w:r>
        <w:rPr>
          <w:rFonts w:hint="eastAsia"/>
        </w:rPr>
        <w:t>（2）可分析即将到达报废期限的资产数量，可快速查看当前资产是否到达报废年限，对即将达到报废年限的资产进行预警，提前帮助用户做好采购规划；</w:t>
      </w:r>
    </w:p>
    <w:p>
      <w:pPr>
        <w:pStyle w:val="65"/>
      </w:pPr>
      <w:r>
        <w:rPr>
          <w:rFonts w:hint="eastAsia"/>
        </w:rPr>
        <w:t>（3）可定制可视化的资产分布地图，查看该资产的具体位置；</w:t>
      </w:r>
    </w:p>
    <w:p>
      <w:pPr>
        <w:pStyle w:val="65"/>
      </w:pPr>
      <w:r>
        <w:rPr>
          <w:rFonts w:hint="eastAsia"/>
        </w:rPr>
        <w:t>（4）可实现资产的历史信息，包括对应匹配的合同、资产归属、资产分发历史、资产当前位置等资产详细信息；</w:t>
      </w:r>
    </w:p>
    <w:p>
      <w:pPr>
        <w:pStyle w:val="65"/>
      </w:pPr>
      <w:r>
        <w:rPr>
          <w:rFonts w:hint="eastAsia"/>
        </w:rPr>
        <w:t>（5）可提供资产热力图，用户可通过热力图分布情况查看每个楼层、房间的资产分配密度情况。该功能需对应匹配好</w:t>
      </w:r>
      <w:r>
        <w:rPr>
          <w:rFonts w:hint="eastAsia"/>
          <w:lang w:val="en-US" w:eastAsia="zh-CN"/>
        </w:rPr>
        <w:t>采购方</w:t>
      </w:r>
      <w:r>
        <w:rPr>
          <w:rFonts w:hint="eastAsia"/>
        </w:rPr>
        <w:t>楼层图纸，该图纸绘制和优化工作由实施单位承担；</w:t>
      </w:r>
    </w:p>
    <w:p>
      <w:pPr>
        <w:pStyle w:val="65"/>
        <w:rPr>
          <w:rFonts w:eastAsia="宋体"/>
          <w:lang w:val="en-US" w:eastAsia="zh-CN"/>
        </w:rPr>
      </w:pPr>
      <w:r>
        <w:rPr>
          <w:rFonts w:hint="eastAsia"/>
          <w:lang w:eastAsia="zh-CN"/>
        </w:rPr>
        <w:t>（</w:t>
      </w:r>
      <w:r>
        <w:rPr>
          <w:rFonts w:hint="eastAsia"/>
          <w:lang w:val="en-US" w:eastAsia="zh-CN"/>
        </w:rPr>
        <w:t>6）提供租赁管理，支持房产类型、出租、处置、到期提醒等功能。</w:t>
      </w:r>
    </w:p>
    <w:p>
      <w:pPr>
        <w:pStyle w:val="65"/>
        <w:rPr>
          <w:b/>
        </w:rPr>
      </w:pPr>
      <w:r>
        <w:rPr>
          <w:rFonts w:hint="eastAsia"/>
          <w:b/>
        </w:rPr>
        <w:t>5</w:t>
      </w:r>
      <w:r>
        <w:rPr>
          <w:b/>
        </w:rPr>
        <w:t>.</w:t>
      </w:r>
      <w:r>
        <w:rPr>
          <w:rFonts w:hint="eastAsia"/>
          <w:b/>
        </w:rPr>
        <w:t>移动盘点功能</w:t>
      </w:r>
    </w:p>
    <w:p>
      <w:pPr>
        <w:pStyle w:val="65"/>
      </w:pPr>
      <w:r>
        <w:rPr>
          <w:rFonts w:hint="eastAsia"/>
        </w:rPr>
        <w:t>（1）提供资产查询功能，可通过扫一扫、手动输入等方式查询。可提供根据资产编码、二维码或条码等信息查询该资产当前的相关信息，至少包含资产编码、资产名称、对应资产管理人员等相关信息；</w:t>
      </w:r>
    </w:p>
    <w:p>
      <w:pPr>
        <w:pStyle w:val="65"/>
      </w:pPr>
      <w:r>
        <w:rPr>
          <w:rFonts w:hint="eastAsia"/>
        </w:rPr>
        <w:t>（2）提供RFID的批量盘点功能，实现在房间内通过按钮方式进行“一键快速盘点”功能，对指定位置内的资产进行快速盘点；</w:t>
      </w:r>
    </w:p>
    <w:p>
      <w:pPr>
        <w:pStyle w:val="65"/>
      </w:pPr>
      <w:r>
        <w:rPr>
          <w:rFonts w:hint="eastAsia"/>
        </w:rPr>
        <w:t>（3）提供盘点终端的数据与服务器、客户端之间的数据同步通讯接口，使服务器内的资产数据可以同步到该设备当中，在设备盘点时提供详细的资产相关信息；提供盘点后的数据向服务器进行推送和数据同步功能；</w:t>
      </w:r>
    </w:p>
    <w:p>
      <w:pPr>
        <w:pStyle w:val="65"/>
      </w:pPr>
      <w:r>
        <w:rPr>
          <w:rFonts w:hint="eastAsia"/>
        </w:rPr>
        <w:t>（4）支持针对房间号提供特定的功能条码，用户可在进入房间盘点前，通过条码扫描的形式登记房间信息；</w:t>
      </w:r>
    </w:p>
    <w:p>
      <w:pPr>
        <w:pStyle w:val="65"/>
      </w:pPr>
      <w:r>
        <w:rPr>
          <w:rFonts w:hint="eastAsia"/>
        </w:rPr>
        <w:t>（5）支持盘点反馈功能，实时反馈当前盘点的数量，对未盘点到的设备进行提醒，可补充二次盘点。</w:t>
      </w:r>
    </w:p>
    <w:p>
      <w:pPr>
        <w:pStyle w:val="60"/>
      </w:pPr>
      <w:r>
        <w:rPr>
          <w:rFonts w:hint="eastAsia"/>
        </w:rPr>
        <w:t>2</w:t>
      </w:r>
      <w:r>
        <w:t xml:space="preserve">.3 </w:t>
      </w:r>
      <w:r>
        <w:rPr>
          <w:rFonts w:hint="eastAsia"/>
        </w:rPr>
        <w:t>项目实施和交付</w:t>
      </w:r>
    </w:p>
    <w:p>
      <w:pPr>
        <w:spacing w:line="360" w:lineRule="auto"/>
        <w:ind w:right="-2" w:firstLineChars="200" w:firstLine="480"/>
        <w:rPr>
          <w:rFonts w:ascii="宋体" w:eastAsia="宋体" w:cs="Times New Roman" w:hAnsi="宋体"/>
          <w:kern w:val="2"/>
          <w:sz w:val="24"/>
          <w:szCs w:val="28"/>
          <w:lang w:val="en-US" w:eastAsia="zh-CN" w:bidi="ar-SA"/>
        </w:rPr>
      </w:pPr>
      <w:r>
        <w:rPr>
          <w:rFonts w:ascii="宋体" w:eastAsia="宋体" w:cs="Times New Roman" w:hAnsi="宋体" w:hint="eastAsia"/>
          <w:kern w:val="2"/>
          <w:sz w:val="24"/>
          <w:szCs w:val="28"/>
          <w:lang w:val="en-US" w:eastAsia="zh-CN" w:bidi="ar-SA"/>
        </w:rPr>
        <w:t>投标人应提供根据本项目内的相关专业，提供技术工程师进行技术实施服务，需提供不少于2人的软硬件专业技术工程师进行实施</w:t>
      </w:r>
      <w:r>
        <w:rPr>
          <w:rFonts w:ascii="宋体" w:cs="Times New Roman" w:hAnsi="宋体" w:hint="eastAsia"/>
          <w:kern w:val="2"/>
          <w:sz w:val="24"/>
          <w:szCs w:val="28"/>
          <w:lang w:val="en-US" w:eastAsia="zh-CN" w:bidi="ar-SA"/>
        </w:rPr>
        <w:t>并提供</w:t>
      </w:r>
      <w:r>
        <w:rPr>
          <w:rFonts w:ascii="宋体" w:eastAsia="宋体" w:cs="Times New Roman" w:hAnsi="宋体" w:hint="eastAsia"/>
          <w:kern w:val="2"/>
          <w:sz w:val="24"/>
          <w:szCs w:val="28"/>
          <w:lang w:val="en-US" w:eastAsia="zh-CN" w:bidi="ar-SA"/>
        </w:rPr>
        <w:t>。</w:t>
      </w:r>
    </w:p>
    <w:p>
      <w:pPr>
        <w:spacing w:line="360" w:lineRule="auto"/>
        <w:ind w:right="-2" w:firstLineChars="200" w:firstLine="480"/>
        <w:rPr>
          <w:rFonts w:ascii="宋体" w:eastAsia="宋体" w:cs="Times New Roman" w:hAnsi="宋体" w:hint="eastAsia"/>
          <w:kern w:val="2"/>
          <w:sz w:val="24"/>
          <w:szCs w:val="28"/>
          <w:lang w:val="en-US" w:eastAsia="zh-CN" w:bidi="ar-SA"/>
        </w:rPr>
      </w:pPr>
      <w:r>
        <w:rPr>
          <w:rFonts w:ascii="宋体" w:eastAsia="宋体" w:cs="Times New Roman" w:hAnsi="宋体" w:hint="eastAsia"/>
          <w:kern w:val="2"/>
          <w:sz w:val="24"/>
          <w:szCs w:val="28"/>
          <w:lang w:val="en-US" w:eastAsia="zh-CN" w:bidi="ar-SA"/>
        </w:rPr>
        <w:t>项目实施完毕后，提供不少于4人的软硬件专业技术工程师作为售后处理和应急响应人员。项目实施完毕后，提供针对本项目的培训服务，保障采购方相关使用人员可以熟练使用该系统。</w:t>
      </w:r>
    </w:p>
    <w:p>
      <w:pPr>
        <w:spacing w:line="360" w:lineRule="auto"/>
        <w:ind w:right="-2" w:firstLineChars="200" w:firstLine="480"/>
        <w:rPr>
          <w:lang w:val="en-US" w:eastAsia="zh-CN"/>
        </w:rPr>
      </w:pPr>
      <w:r>
        <w:rPr>
          <w:rFonts w:cs="Times New Roman" w:hint="eastAsia"/>
          <w:kern w:val="2"/>
          <w:sz w:val="24"/>
          <w:szCs w:val="28"/>
          <w:lang w:val="en-US" w:eastAsia="zh-CN" w:bidi="ar-SA"/>
        </w:rPr>
        <w:t>以上所有人员均</w:t>
      </w:r>
      <w:r>
        <w:rPr>
          <w:rFonts w:ascii="宋体" w:cs="宋体" w:hAnsi="宋体" w:hint="eastAsia"/>
          <w:sz w:val="24"/>
        </w:rPr>
        <w:t>需提供</w:t>
      </w:r>
      <w:r>
        <w:rPr>
          <w:rFonts w:cs="宋体" w:hint="eastAsia"/>
          <w:sz w:val="24"/>
          <w:lang w:val="en-US" w:eastAsia="zh-CN"/>
        </w:rPr>
        <w:t>在投标方单位缴纳的</w:t>
      </w:r>
      <w:r>
        <w:rPr>
          <w:rFonts w:ascii="宋体" w:cs="宋体" w:hAnsi="宋体" w:hint="eastAsia"/>
          <w:sz w:val="24"/>
        </w:rPr>
        <w:t>距投标之日近3个月连续的社保证明</w:t>
      </w:r>
      <w:r>
        <w:rPr>
          <w:rFonts w:ascii="宋体" w:cs="宋体" w:hAnsi="宋体" w:hint="eastAsia"/>
          <w:sz w:val="24"/>
          <w:lang w:val="en-US" w:eastAsia="zh-CN"/>
        </w:rPr>
        <w:t>并加盖公章</w:t>
      </w:r>
      <w:r>
        <w:rPr>
          <w:rFonts w:ascii="宋体" w:cs="宋体" w:hAnsi="宋体" w:hint="eastAsia"/>
          <w:sz w:val="24"/>
        </w:rPr>
        <w:t>。</w:t>
      </w:r>
    </w:p>
    <w:p>
      <w:pPr>
        <w:pStyle w:val="15"/>
        <w:rPr>
          <w:lang w:val="en-US" w:eastAsia="zh-CN"/>
        </w:rPr>
      </w:pPr>
      <w:r>
        <w:rPr>
          <w:rFonts w:cs="Times New Roman" w:hint="eastAsia"/>
          <w:kern w:val="2"/>
          <w:sz w:val="24"/>
          <w:szCs w:val="28"/>
          <w:lang w:val="en-US" w:eastAsia="zh-CN" w:bidi="ar-SA"/>
        </w:rPr>
        <w:t xml:space="preserve">    </w:t>
      </w:r>
    </w:p>
    <w:p>
      <w:pPr>
        <w:pStyle w:val="59"/>
      </w:pPr>
      <w:r>
        <w:rPr>
          <w:rFonts w:hint="eastAsia"/>
        </w:rPr>
        <w:t>三、其它要求</w:t>
      </w:r>
    </w:p>
    <w:p>
      <w:pPr>
        <w:pStyle w:val="60"/>
      </w:pPr>
      <w:r>
        <w:rPr>
          <w:rFonts w:hint="eastAsia"/>
        </w:rPr>
        <w:t>3</w:t>
      </w:r>
      <w:r>
        <w:t xml:space="preserve">.1 </w:t>
      </w:r>
      <w:r>
        <w:rPr>
          <w:rFonts w:hint="eastAsia"/>
        </w:rPr>
        <w:t>知识产权</w:t>
      </w:r>
    </w:p>
    <w:p>
      <w:pPr>
        <w:pStyle w:val="65"/>
      </w:pPr>
      <w:r>
        <w:rPr>
          <w:rFonts w:hint="eastAsia"/>
        </w:rPr>
        <w:t>投标方应保证所提供的货物或其任何一部分均不会侵犯任何第三方的知识产权、专有技术或商业秘密，否则由此产生的一切后果由</w:t>
      </w:r>
      <w:r>
        <w:rPr>
          <w:rFonts w:hint="eastAsia"/>
          <w:lang w:val="en-US" w:eastAsia="zh-CN"/>
        </w:rPr>
        <w:t>投标方</w:t>
      </w:r>
      <w:r>
        <w:rPr>
          <w:rFonts w:hint="eastAsia"/>
        </w:rPr>
        <w:t>负全责。</w:t>
      </w:r>
    </w:p>
    <w:p>
      <w:pPr>
        <w:pStyle w:val="60"/>
      </w:pPr>
      <w:r>
        <w:rPr>
          <w:rFonts w:hint="eastAsia"/>
        </w:rPr>
        <w:t>3</w:t>
      </w:r>
      <w:r>
        <w:t xml:space="preserve">.2 </w:t>
      </w:r>
      <w:r>
        <w:rPr>
          <w:rFonts w:hint="eastAsia"/>
        </w:rPr>
        <w:t>无产权瑕疵</w:t>
      </w:r>
    </w:p>
    <w:p>
      <w:pPr>
        <w:pStyle w:val="65"/>
      </w:pPr>
      <w:r>
        <w:rPr>
          <w:rFonts w:hint="eastAsia"/>
        </w:rPr>
        <w:t>投标方保证所交付的货物的所有权完全属于投标方且无任何抵押、查封等产权瑕疵。如投标方所交货物有产权</w:t>
      </w:r>
      <w:bookmarkStart w:id="0" w:name="_GoBack"/>
      <w:bookmarkEnd w:id="0"/>
      <w:r>
        <w:rPr>
          <w:rFonts w:hint="eastAsia"/>
        </w:rPr>
        <w:t>瑕疵的，采购方除有权单方解除合同外，还有权要求投标方按照合同总价款10%承担违约金。如果给采购方造成损失（包括直接损失、间接损失及</w:t>
      </w:r>
      <w:r>
        <w:rPr>
          <w:rFonts w:hint="eastAsia"/>
          <w:lang w:val="en-US" w:eastAsia="zh-CN"/>
        </w:rPr>
        <w:t>采购方</w:t>
      </w:r>
      <w:r>
        <w:rPr>
          <w:rFonts w:hint="eastAsia"/>
        </w:rPr>
        <w:t>为维权所支付的调查取证费、律师费、差旅费等）的，投标方还应当承担赔偿责任。</w:t>
      </w:r>
    </w:p>
    <w:p>
      <w:pPr>
        <w:pStyle w:val="60"/>
      </w:pPr>
      <w:r>
        <w:rPr>
          <w:rFonts w:hint="eastAsia"/>
        </w:rPr>
        <w:t>3</w:t>
      </w:r>
      <w:r>
        <w:t xml:space="preserve">.3 </w:t>
      </w:r>
      <w:r>
        <w:rPr>
          <w:rFonts w:hint="eastAsia"/>
        </w:rPr>
        <w:t>交货期、交货方式及交货地点</w:t>
      </w:r>
    </w:p>
    <w:p>
      <w:pPr>
        <w:pStyle w:val="65"/>
      </w:pPr>
      <w:r>
        <w:t>1.</w:t>
      </w:r>
      <w:r>
        <w:rPr>
          <w:rFonts w:hint="eastAsia"/>
        </w:rPr>
        <w:t>交货期：合同签订后</w:t>
      </w:r>
      <w:r>
        <w:rPr>
          <w:rFonts w:hint="eastAsia"/>
          <w:highlight w:val="auto"/>
        </w:rPr>
        <w:t>60日</w:t>
      </w:r>
      <w:r>
        <w:rPr>
          <w:rFonts w:hint="eastAsia"/>
        </w:rPr>
        <w:t>内完成供货安装，并且调试完毕。</w:t>
      </w:r>
    </w:p>
    <w:p>
      <w:pPr>
        <w:pStyle w:val="65"/>
      </w:pPr>
      <w:r>
        <w:t>2.</w:t>
      </w:r>
      <w:r>
        <w:rPr>
          <w:rFonts w:hint="eastAsia"/>
        </w:rPr>
        <w:t>交货地点：中华人民共和国大连海关指定地点。</w:t>
      </w:r>
    </w:p>
    <w:p>
      <w:pPr>
        <w:pStyle w:val="60"/>
      </w:pPr>
      <w:r>
        <w:rPr>
          <w:rFonts w:hint="eastAsia"/>
        </w:rPr>
        <w:t>3</w:t>
      </w:r>
      <w:r>
        <w:t xml:space="preserve">.4 </w:t>
      </w:r>
      <w:r>
        <w:rPr>
          <w:rFonts w:hint="eastAsia"/>
        </w:rPr>
        <w:t>付款方式</w:t>
      </w:r>
    </w:p>
    <w:p>
      <w:pPr>
        <w:pStyle w:val="65"/>
      </w:pPr>
      <w:r>
        <w:t>合同签订后，支付合同价款的80%；</w:t>
      </w:r>
      <w:r>
        <w:rPr>
          <w:rFonts w:hint="eastAsia"/>
        </w:rPr>
        <w:t>货到安装调试完毕并验收合格</w:t>
      </w:r>
      <w:r>
        <w:t>后</w:t>
      </w:r>
      <w:r>
        <w:rPr>
          <w:rFonts w:hint="eastAsia"/>
        </w:rPr>
        <w:t>，支付</w:t>
      </w:r>
      <w:r>
        <w:t>剩余</w:t>
      </w:r>
      <w:r>
        <w:rPr>
          <w:rFonts w:hint="eastAsia"/>
        </w:rPr>
        <w:t>合同价款的</w:t>
      </w:r>
      <w:r>
        <w:t>20</w:t>
      </w:r>
      <w:r>
        <w:rPr>
          <w:rFonts w:hint="eastAsia"/>
        </w:rPr>
        <w:t>%。</w:t>
      </w:r>
    </w:p>
    <w:p>
      <w:pPr>
        <w:pStyle w:val="60"/>
      </w:pPr>
      <w:r>
        <w:rPr>
          <w:rFonts w:hint="eastAsia"/>
        </w:rPr>
        <w:t>3</w:t>
      </w:r>
      <w:r>
        <w:t xml:space="preserve">.5 </w:t>
      </w:r>
      <w:r>
        <w:rPr>
          <w:rFonts w:hint="eastAsia"/>
        </w:rPr>
        <w:t>质量保证和售后服务要求</w:t>
      </w:r>
    </w:p>
    <w:p>
      <w:pPr>
        <w:spacing w:line="360" w:lineRule="auto"/>
        <w:ind w:right="-2" w:firstLineChars="200" w:firstLine="480"/>
        <w:rPr>
          <w:rFonts w:ascii="宋体" w:cs="宋体" w:hAnsi="宋体"/>
          <w:sz w:val="24"/>
        </w:rPr>
      </w:pPr>
      <w:r>
        <w:rPr>
          <w:rFonts w:ascii="宋体" w:cs="宋体" w:hAnsi="宋体"/>
          <w:sz w:val="24"/>
        </w:rPr>
        <w:t>1.</w:t>
      </w:r>
      <w:r>
        <w:rPr>
          <w:rFonts w:ascii="宋体" w:cs="宋体" w:hAnsi="宋体" w:hint="eastAsia"/>
          <w:sz w:val="24"/>
        </w:rPr>
        <w:t>投标</w:t>
      </w:r>
      <w:r>
        <w:rPr>
          <w:rFonts w:ascii="宋体" w:cs="宋体" w:hAnsi="宋体" w:hint="eastAsia"/>
          <w:sz w:val="24"/>
          <w:lang w:val="en-US" w:eastAsia="zh-CN"/>
        </w:rPr>
        <w:t>方</w:t>
      </w:r>
      <w:r>
        <w:rPr>
          <w:rFonts w:ascii="宋体" w:cs="宋体" w:hAnsi="宋体" w:hint="eastAsia"/>
          <w:sz w:val="24"/>
        </w:rPr>
        <w:t>应按本</w:t>
      </w:r>
      <w:r>
        <w:rPr>
          <w:rFonts w:ascii="宋体" w:cs="宋体" w:hAnsi="宋体" w:hint="eastAsia"/>
          <w:sz w:val="24"/>
          <w:lang w:val="en-US" w:eastAsia="zh-CN"/>
        </w:rPr>
        <w:t>需求书</w:t>
      </w:r>
      <w:r>
        <w:rPr>
          <w:rFonts w:ascii="宋体" w:cs="宋体" w:hAnsi="宋体" w:hint="eastAsia"/>
          <w:sz w:val="24"/>
        </w:rPr>
        <w:t>规定的货物性能、技术要求、质量标准向采购方提供未经使用的全新产品。</w:t>
      </w:r>
    </w:p>
    <w:p>
      <w:pPr>
        <w:spacing w:line="360" w:lineRule="auto"/>
        <w:ind w:right="-2" w:firstLineChars="200" w:firstLine="480"/>
        <w:rPr>
          <w:rFonts w:ascii="宋体" w:cs="宋体" w:hAnsi="宋体"/>
          <w:sz w:val="24"/>
        </w:rPr>
      </w:pPr>
      <w:r>
        <w:rPr>
          <w:rFonts w:ascii="宋体" w:cs="宋体" w:hAnsi="宋体"/>
          <w:sz w:val="24"/>
        </w:rPr>
        <w:t>2.</w:t>
      </w:r>
      <w:r>
        <w:rPr>
          <w:rFonts w:ascii="宋体" w:cs="宋体" w:hAnsi="宋体" w:hint="eastAsia"/>
          <w:sz w:val="24"/>
        </w:rPr>
        <w:t>投标</w:t>
      </w:r>
      <w:r>
        <w:rPr>
          <w:rFonts w:ascii="宋体" w:cs="宋体" w:hAnsi="宋体" w:hint="eastAsia"/>
          <w:sz w:val="24"/>
          <w:lang w:val="en-US" w:eastAsia="zh-CN"/>
        </w:rPr>
        <w:t>方</w:t>
      </w:r>
      <w:r>
        <w:rPr>
          <w:rFonts w:ascii="宋体" w:cs="宋体" w:hAnsi="宋体" w:hint="eastAsia"/>
          <w:sz w:val="24"/>
        </w:rPr>
        <w:t>应按</w:t>
      </w:r>
      <w:r>
        <w:rPr>
          <w:rFonts w:ascii="宋体" w:cs="宋体" w:hAnsi="宋体" w:hint="eastAsia"/>
          <w:sz w:val="24"/>
          <w:lang w:val="en-US" w:eastAsia="zh-CN"/>
        </w:rPr>
        <w:t>本需求书</w:t>
      </w:r>
      <w:r>
        <w:rPr>
          <w:rFonts w:ascii="宋体" w:cs="宋体" w:hAnsi="宋体" w:hint="eastAsia"/>
          <w:sz w:val="24"/>
        </w:rPr>
        <w:t>要求的软件功能向采购方提供相关软件产品，不设置授权期限。软件产品交付后，无需后续再次激活。</w:t>
      </w:r>
    </w:p>
    <w:p>
      <w:pPr>
        <w:spacing w:line="360" w:lineRule="auto"/>
        <w:ind w:right="-2" w:firstLineChars="200" w:firstLine="480"/>
        <w:rPr>
          <w:rFonts w:ascii="宋体" w:cs="宋体" w:hAnsi="宋体"/>
          <w:sz w:val="24"/>
        </w:rPr>
      </w:pPr>
      <w:r>
        <w:rPr>
          <w:rFonts w:ascii="宋体" w:cs="宋体" w:hAnsi="宋体"/>
          <w:sz w:val="24"/>
        </w:rPr>
        <w:t>3.</w:t>
      </w:r>
      <w:r>
        <w:rPr>
          <w:rFonts w:ascii="宋体" w:cs="宋体" w:hAnsi="宋体" w:hint="eastAsia"/>
          <w:sz w:val="24"/>
        </w:rPr>
        <w:t>投标</w:t>
      </w:r>
      <w:r>
        <w:rPr>
          <w:rFonts w:ascii="宋体" w:cs="宋体" w:hAnsi="宋体" w:hint="eastAsia"/>
          <w:sz w:val="24"/>
          <w:lang w:val="en-US" w:eastAsia="zh-CN"/>
        </w:rPr>
        <w:t>方</w:t>
      </w:r>
      <w:r>
        <w:rPr>
          <w:rFonts w:ascii="宋体" w:cs="宋体" w:hAnsi="宋体" w:hint="eastAsia"/>
          <w:sz w:val="24"/>
        </w:rPr>
        <w:t>应确保交付产品符合软件开发相关技术规范，无版权问题，并在质保期内对已知B</w:t>
      </w:r>
      <w:r>
        <w:rPr>
          <w:rFonts w:ascii="宋体" w:cs="宋体" w:hAnsi="宋体"/>
          <w:sz w:val="24"/>
        </w:rPr>
        <w:t>UG</w:t>
      </w:r>
      <w:r>
        <w:rPr>
          <w:rFonts w:ascii="宋体" w:cs="宋体" w:hAnsi="宋体" w:hint="eastAsia"/>
          <w:sz w:val="24"/>
        </w:rPr>
        <w:t>进行修复。在软件交付后，如有应用系统安全漏洞、安全组件版本等的问题，应按采购方要求进行修复。</w:t>
      </w:r>
    </w:p>
    <w:p>
      <w:pPr>
        <w:spacing w:line="360" w:lineRule="auto"/>
        <w:ind w:right="-2" w:firstLineChars="200" w:firstLine="480"/>
        <w:rPr>
          <w:rFonts w:ascii="宋体" w:cs="宋体" w:hAnsi="宋体"/>
          <w:sz w:val="24"/>
        </w:rPr>
      </w:pPr>
      <w:r>
        <w:rPr>
          <w:rFonts w:ascii="宋体" w:cs="宋体" w:hAnsi="宋体"/>
          <w:sz w:val="24"/>
        </w:rPr>
        <w:t>4.</w:t>
      </w:r>
      <w:r>
        <w:rPr>
          <w:rFonts w:ascii="宋体" w:cs="宋体" w:hAnsi="宋体" w:hint="eastAsia"/>
          <w:sz w:val="24"/>
        </w:rPr>
        <w:t>投标</w:t>
      </w:r>
      <w:r>
        <w:rPr>
          <w:rFonts w:ascii="宋体" w:cs="宋体" w:hAnsi="宋体" w:hint="eastAsia"/>
          <w:sz w:val="24"/>
          <w:lang w:val="en-US" w:eastAsia="zh-CN"/>
        </w:rPr>
        <w:t>方</w:t>
      </w:r>
      <w:r>
        <w:rPr>
          <w:rFonts w:ascii="宋体" w:cs="宋体" w:hAnsi="宋体" w:hint="eastAsia"/>
          <w:sz w:val="24"/>
        </w:rPr>
        <w:t>应确保交付产品具有二次开发、升级的相关服务和能力，采购方若后续有新的管理要求，投标人应提供延伸二次开发服务，其开发内容以双方确认为准，费用根据实际发生酌情收取，并由采购方确认。投标时，提供承诺函说明。</w:t>
      </w:r>
    </w:p>
    <w:p>
      <w:pPr>
        <w:spacing w:line="360" w:lineRule="auto"/>
        <w:ind w:right="-2" w:firstLineChars="200" w:firstLine="480"/>
        <w:rPr>
          <w:rFonts w:ascii="宋体" w:cs="宋体" w:hAnsi="宋体"/>
          <w:sz w:val="24"/>
        </w:rPr>
      </w:pPr>
      <w:r>
        <w:rPr>
          <w:rFonts w:ascii="宋体" w:cs="宋体" w:hAnsi="宋体"/>
          <w:sz w:val="24"/>
        </w:rPr>
        <w:t>5.</w:t>
      </w:r>
      <w:r>
        <w:rPr>
          <w:rFonts w:ascii="宋体" w:cs="宋体" w:hAnsi="宋体" w:hint="eastAsia"/>
          <w:sz w:val="24"/>
        </w:rPr>
        <w:t>投标</w:t>
      </w:r>
      <w:r>
        <w:rPr>
          <w:rFonts w:ascii="宋体" w:cs="宋体" w:hAnsi="宋体" w:hint="eastAsia"/>
          <w:sz w:val="24"/>
          <w:lang w:val="en-US" w:eastAsia="zh-CN"/>
        </w:rPr>
        <w:t>方</w:t>
      </w:r>
      <w:r>
        <w:rPr>
          <w:rFonts w:ascii="宋体" w:cs="宋体" w:hAnsi="宋体" w:hint="eastAsia"/>
          <w:sz w:val="24"/>
        </w:rPr>
        <w:t>提供货物的质量保证期为：</w:t>
      </w:r>
      <w:r>
        <w:rPr>
          <w:rFonts w:ascii="宋体" w:cs="宋体" w:hAnsi="宋体"/>
          <w:sz w:val="24"/>
          <w:u w:val="single"/>
        </w:rPr>
        <w:t xml:space="preserve"> 2 </w:t>
      </w:r>
      <w:r>
        <w:rPr>
          <w:rFonts w:ascii="宋体" w:cs="宋体" w:hAnsi="宋体" w:hint="eastAsia"/>
          <w:sz w:val="24"/>
        </w:rPr>
        <w:t>年，自安装调试完成并经</w:t>
      </w:r>
      <w:r>
        <w:rPr>
          <w:rFonts w:ascii="宋体" w:cs="宋体" w:hAnsi="宋体" w:hint="eastAsia"/>
          <w:sz w:val="24"/>
          <w:lang w:val="en-US" w:eastAsia="zh-CN"/>
        </w:rPr>
        <w:t>采购方</w:t>
      </w:r>
      <w:r>
        <w:rPr>
          <w:rFonts w:ascii="宋体" w:cs="宋体" w:hAnsi="宋体" w:hint="eastAsia"/>
          <w:sz w:val="24"/>
        </w:rPr>
        <w:t>验收合格之日起计算。提供软件产品的质保期为：</w:t>
      </w:r>
      <w:r>
        <w:rPr>
          <w:rFonts w:ascii="宋体" w:cs="宋体" w:hAnsi="宋体"/>
          <w:sz w:val="24"/>
          <w:u w:val="single"/>
        </w:rPr>
        <w:t xml:space="preserve"> 2 </w:t>
      </w:r>
      <w:r>
        <w:rPr>
          <w:rFonts w:ascii="宋体" w:cs="宋体" w:hAnsi="宋体" w:hint="eastAsia"/>
          <w:sz w:val="24"/>
        </w:rPr>
        <w:t>年，自软件系统交付、调试完毕并经采购方验收合格之日起计算。在质量保证期内因货物本身的质量问题发生故障，投标人应负责免费更换或维修。对达不到技术要求的，根据实际情况，采购方有权要求</w:t>
      </w:r>
      <w:r>
        <w:rPr>
          <w:rFonts w:ascii="宋体" w:cs="宋体" w:hAnsi="宋体" w:hint="eastAsia"/>
          <w:sz w:val="24"/>
          <w:lang w:val="en-US" w:eastAsia="zh-CN"/>
        </w:rPr>
        <w:t>投标</w:t>
      </w:r>
      <w:r>
        <w:rPr>
          <w:rFonts w:ascii="宋体" w:cs="宋体" w:hAnsi="宋体" w:hint="eastAsia"/>
          <w:sz w:val="24"/>
        </w:rPr>
        <w:t>方按以下办法处理：</w:t>
      </w:r>
    </w:p>
    <w:p>
      <w:pPr>
        <w:spacing w:line="360" w:lineRule="auto"/>
        <w:ind w:right="-2" w:firstLineChars="200" w:firstLine="480"/>
        <w:rPr>
          <w:rFonts w:ascii="宋体" w:cs="宋体" w:hAnsi="宋体"/>
          <w:sz w:val="24"/>
        </w:rPr>
      </w:pPr>
      <w:r>
        <w:rPr>
          <w:rFonts w:ascii="宋体" w:cs="宋体" w:hAnsi="宋体"/>
          <w:sz w:val="24"/>
        </w:rPr>
        <w:t>(</w:t>
      </w:r>
      <w:r>
        <w:rPr>
          <w:rFonts w:ascii="宋体" w:cs="宋体" w:hAnsi="宋体" w:hint="eastAsia"/>
          <w:sz w:val="24"/>
        </w:rPr>
        <w:t>1</w:t>
      </w:r>
      <w:r>
        <w:rPr>
          <w:rFonts w:ascii="宋体" w:cs="宋体" w:hAnsi="宋体"/>
          <w:sz w:val="24"/>
        </w:rPr>
        <w:t>)</w:t>
      </w:r>
      <w:r>
        <w:rPr>
          <w:rFonts w:ascii="宋体" w:cs="宋体" w:hAnsi="宋体" w:hint="eastAsia"/>
          <w:sz w:val="24"/>
        </w:rPr>
        <w:t>更换：由投标</w:t>
      </w:r>
      <w:r>
        <w:rPr>
          <w:rFonts w:ascii="宋体" w:cs="宋体" w:hAnsi="宋体" w:hint="eastAsia"/>
          <w:sz w:val="24"/>
          <w:lang w:val="en-US" w:eastAsia="zh-CN"/>
        </w:rPr>
        <w:t>方</w:t>
      </w:r>
      <w:r>
        <w:rPr>
          <w:rFonts w:ascii="宋体" w:cs="宋体" w:hAnsi="宋体" w:hint="eastAsia"/>
          <w:sz w:val="24"/>
        </w:rPr>
        <w:t>承担所发生的全部费用。</w:t>
      </w:r>
    </w:p>
    <w:p>
      <w:pPr>
        <w:spacing w:line="360" w:lineRule="auto"/>
        <w:ind w:right="-2" w:firstLineChars="200" w:firstLine="480"/>
        <w:rPr>
          <w:rFonts w:ascii="宋体" w:cs="宋体" w:hAnsi="宋体"/>
          <w:sz w:val="24"/>
        </w:rPr>
      </w:pPr>
      <w:r>
        <w:rPr>
          <w:rFonts w:ascii="宋体" w:cs="宋体" w:hAnsi="宋体"/>
          <w:sz w:val="24"/>
        </w:rPr>
        <w:t>(</w:t>
      </w:r>
      <w:r>
        <w:rPr>
          <w:rFonts w:ascii="宋体" w:cs="宋体" w:hAnsi="宋体" w:hint="eastAsia"/>
          <w:sz w:val="24"/>
        </w:rPr>
        <w:t>2</w:t>
      </w:r>
      <w:r>
        <w:rPr>
          <w:rFonts w:ascii="宋体" w:cs="宋体" w:hAnsi="宋体"/>
          <w:sz w:val="24"/>
        </w:rPr>
        <w:t>)</w:t>
      </w:r>
      <w:r>
        <w:rPr>
          <w:rFonts w:ascii="宋体" w:cs="宋体" w:hAnsi="宋体" w:hint="eastAsia"/>
          <w:sz w:val="24"/>
        </w:rPr>
        <w:t>贬值处理：由双方合议定价。</w:t>
      </w:r>
    </w:p>
    <w:p>
      <w:pPr>
        <w:spacing w:line="360" w:lineRule="auto"/>
        <w:ind w:right="-2" w:firstLineChars="200" w:firstLine="480"/>
        <w:rPr>
          <w:rFonts w:ascii="宋体" w:cs="宋体" w:hAnsi="宋体"/>
          <w:sz w:val="24"/>
        </w:rPr>
      </w:pPr>
      <w:r>
        <w:rPr>
          <w:rFonts w:ascii="宋体" w:cs="宋体" w:hAnsi="宋体"/>
          <w:sz w:val="24"/>
        </w:rPr>
        <w:t>(</w:t>
      </w:r>
      <w:r>
        <w:rPr>
          <w:rFonts w:ascii="宋体" w:cs="宋体" w:hAnsi="宋体" w:hint="eastAsia"/>
          <w:sz w:val="24"/>
        </w:rPr>
        <w:t>3</w:t>
      </w:r>
      <w:r>
        <w:rPr>
          <w:rFonts w:ascii="宋体" w:cs="宋体" w:hAnsi="宋体"/>
          <w:sz w:val="24"/>
        </w:rPr>
        <w:t>)</w:t>
      </w:r>
      <w:r>
        <w:rPr>
          <w:rFonts w:ascii="宋体" w:cs="宋体" w:hAnsi="宋体" w:hint="eastAsia"/>
          <w:sz w:val="24"/>
        </w:rPr>
        <w:t>退货处理: 投标</w:t>
      </w:r>
      <w:r>
        <w:rPr>
          <w:rFonts w:ascii="宋体" w:cs="宋体" w:hAnsi="宋体" w:hint="eastAsia"/>
          <w:sz w:val="24"/>
          <w:lang w:val="en-US" w:eastAsia="zh-CN"/>
        </w:rPr>
        <w:t>方</w:t>
      </w:r>
      <w:r>
        <w:rPr>
          <w:rFonts w:ascii="宋体" w:cs="宋体" w:hAnsi="宋体" w:hint="eastAsia"/>
          <w:sz w:val="24"/>
        </w:rPr>
        <w:t>应退还采购方支付的款</w:t>
      </w:r>
      <w:r>
        <w:rPr>
          <w:rFonts w:ascii="宋体" w:cs="宋体" w:hAnsi="宋体" w:hint="eastAsia"/>
          <w:sz w:val="24"/>
          <w:lang w:val="en-US" w:eastAsia="zh-CN"/>
        </w:rPr>
        <w:t>项</w:t>
      </w:r>
      <w:r>
        <w:rPr>
          <w:rFonts w:ascii="宋体" w:cs="宋体" w:hAnsi="宋体" w:hint="eastAsia"/>
          <w:sz w:val="24"/>
        </w:rPr>
        <w:t>，同时应承担该货物的直接费用（运输、保险、检验、货款利息及银行手续费等）。</w:t>
      </w:r>
    </w:p>
    <w:p>
      <w:pPr>
        <w:spacing w:line="360" w:lineRule="auto"/>
        <w:ind w:right="-2" w:firstLineChars="200" w:firstLine="480"/>
        <w:rPr>
          <w:rFonts w:ascii="宋体" w:cs="宋体" w:hAnsi="宋体"/>
          <w:sz w:val="24"/>
        </w:rPr>
      </w:pPr>
      <w:r>
        <w:rPr>
          <w:rFonts w:ascii="宋体" w:cs="宋体" w:hAnsi="宋体"/>
          <w:sz w:val="24"/>
        </w:rPr>
        <w:t>6.</w:t>
      </w:r>
      <w:r>
        <w:rPr>
          <w:rFonts w:ascii="宋体" w:cs="宋体" w:hAnsi="宋体" w:hint="eastAsia"/>
          <w:sz w:val="24"/>
        </w:rPr>
        <w:t>如在使用过程中发生质量问题，投标</w:t>
      </w:r>
      <w:r>
        <w:rPr>
          <w:rFonts w:ascii="宋体" w:cs="宋体" w:hAnsi="宋体" w:hint="eastAsia"/>
          <w:sz w:val="24"/>
          <w:lang w:val="en-US" w:eastAsia="zh-CN"/>
        </w:rPr>
        <w:t>方</w:t>
      </w:r>
      <w:r>
        <w:rPr>
          <w:rFonts w:ascii="宋体" w:cs="宋体" w:hAnsi="宋体" w:hint="eastAsia"/>
          <w:sz w:val="24"/>
        </w:rPr>
        <w:t>应当在接到</w:t>
      </w:r>
      <w:r>
        <w:rPr>
          <w:rFonts w:ascii="宋体" w:cs="宋体" w:hAnsi="宋体" w:hint="eastAsia"/>
          <w:sz w:val="24"/>
          <w:lang w:val="en-US" w:eastAsia="zh-CN"/>
        </w:rPr>
        <w:t>采购方</w:t>
      </w:r>
      <w:r>
        <w:rPr>
          <w:rFonts w:ascii="宋体" w:cs="宋体" w:hAnsi="宋体" w:hint="eastAsia"/>
          <w:sz w:val="24"/>
        </w:rPr>
        <w:t>通知后在</w:t>
      </w:r>
      <w:r>
        <w:rPr>
          <w:rFonts w:ascii="宋体" w:cs="宋体" w:hAnsi="宋体" w:hint="eastAsia"/>
          <w:sz w:val="24"/>
          <w:u w:val="single"/>
        </w:rPr>
        <w:t xml:space="preserve"> 12</w:t>
      </w:r>
      <w:r>
        <w:rPr>
          <w:rFonts w:ascii="宋体" w:cs="宋体" w:hAnsi="宋体"/>
          <w:sz w:val="24"/>
          <w:u w:val="single"/>
        </w:rPr>
        <w:t xml:space="preserve"> </w:t>
      </w:r>
      <w:r>
        <w:rPr>
          <w:rFonts w:ascii="宋体" w:cs="宋体" w:hAnsi="宋体" w:hint="eastAsia"/>
          <w:sz w:val="24"/>
        </w:rPr>
        <w:t>小时内到达现场，处理质量问题。对于采购方提出的售后服务请求，投标</w:t>
      </w:r>
      <w:r>
        <w:rPr>
          <w:rFonts w:ascii="宋体" w:cs="宋体" w:hAnsi="宋体" w:hint="eastAsia"/>
          <w:sz w:val="24"/>
          <w:lang w:val="en-US" w:eastAsia="zh-CN"/>
        </w:rPr>
        <w:t>方</w:t>
      </w:r>
      <w:r>
        <w:rPr>
          <w:rFonts w:ascii="宋体" w:cs="宋体" w:hAnsi="宋体" w:hint="eastAsia"/>
          <w:sz w:val="24"/>
        </w:rPr>
        <w:t>在接到通知后</w:t>
      </w:r>
      <w:r>
        <w:rPr>
          <w:rFonts w:ascii="宋体" w:cs="宋体" w:hAnsi="宋体" w:hint="eastAsia"/>
          <w:sz w:val="24"/>
          <w:u w:val="single"/>
        </w:rPr>
        <w:t>12</w:t>
      </w:r>
      <w:r>
        <w:rPr>
          <w:rFonts w:ascii="宋体" w:cs="宋体" w:hAnsi="宋体"/>
          <w:sz w:val="24"/>
          <w:u w:val="single"/>
        </w:rPr>
        <w:t xml:space="preserve"> </w:t>
      </w:r>
      <w:r>
        <w:rPr>
          <w:rFonts w:ascii="宋体" w:cs="宋体" w:hAnsi="宋体" w:hint="eastAsia"/>
          <w:sz w:val="24"/>
        </w:rPr>
        <w:t>小时内到场响应，简单问题</w:t>
      </w:r>
      <w:r>
        <w:rPr>
          <w:rFonts w:ascii="宋体" w:cs="宋体" w:hAnsi="宋体" w:hint="eastAsia"/>
          <w:sz w:val="24"/>
          <w:u w:val="single"/>
        </w:rPr>
        <w:t xml:space="preserve"> </w:t>
      </w:r>
      <w:r>
        <w:rPr>
          <w:rFonts w:ascii="宋体" w:cs="宋体" w:hAnsi="宋体"/>
          <w:sz w:val="24"/>
          <w:u w:val="single"/>
        </w:rPr>
        <w:t xml:space="preserve">24 </w:t>
      </w:r>
      <w:r>
        <w:rPr>
          <w:rFonts w:ascii="宋体" w:cs="宋体" w:hAnsi="宋体" w:hint="eastAsia"/>
          <w:sz w:val="24"/>
        </w:rPr>
        <w:t>小时解决问题，如遇复杂问题不能即时修复的，应与采购方协商在最短时间内解决。</w:t>
      </w:r>
    </w:p>
    <w:p>
      <w:pPr>
        <w:spacing w:line="360" w:lineRule="auto"/>
        <w:ind w:right="-2" w:firstLineChars="200" w:firstLine="480"/>
        <w:rPr>
          <w:rFonts w:ascii="宋体" w:cs="宋体" w:hAnsi="宋体"/>
          <w:sz w:val="24"/>
        </w:rPr>
      </w:pPr>
      <w:r>
        <w:rPr>
          <w:rFonts w:ascii="宋体" w:cs="宋体" w:hAnsi="宋体"/>
          <w:sz w:val="24"/>
        </w:rPr>
        <w:t>7.</w:t>
      </w:r>
      <w:r>
        <w:rPr>
          <w:rFonts w:ascii="宋体" w:cs="宋体" w:hAnsi="宋体" w:hint="eastAsia"/>
          <w:sz w:val="24"/>
        </w:rPr>
        <w:t>在质保期内，投标人应对货物出现的质量及安全问题负责处理解决并承担一切费用。</w:t>
      </w:r>
    </w:p>
    <w:p>
      <w:pPr>
        <w:pStyle w:val="60"/>
        <w:rPr>
          <w:rFonts w:cs="Times New Roman" w:hint="eastAsia"/>
          <w:lang w:val="en-US" w:eastAsia="zh-CN"/>
        </w:rPr>
      </w:pPr>
      <w:r>
        <w:rPr>
          <w:rFonts w:cs="Times New Roman" w:hint="eastAsia"/>
        </w:rPr>
        <w:t>3.</w:t>
      </w:r>
      <w:r>
        <w:rPr>
          <w:rFonts w:cs="Times New Roman" w:hint="eastAsia"/>
          <w:lang w:val="en-US" w:eastAsia="zh-CN"/>
        </w:rPr>
        <w:t>6</w:t>
      </w:r>
      <w:r>
        <w:rPr>
          <w:rFonts w:cs="Times New Roman" w:hint="eastAsia"/>
        </w:rPr>
        <w:t xml:space="preserve"> </w:t>
      </w:r>
      <w:r>
        <w:rPr>
          <w:rFonts w:cs="Times New Roman" w:hint="eastAsia"/>
          <w:lang w:val="en-US" w:eastAsia="zh-CN"/>
        </w:rPr>
        <w:t>安全保密要求</w:t>
      </w:r>
    </w:p>
    <w:p>
      <w:pPr>
        <w:spacing w:line="360" w:lineRule="auto"/>
        <w:ind w:right="-2" w:firstLineChars="200" w:firstLine="480"/>
      </w:pPr>
      <w:r>
        <w:rPr>
          <w:rStyle w:val="0"/>
          <w:rFonts w:ascii="宋体" w:cs="宋体" w:hAnsi="宋体" w:hint="eastAsia"/>
          <w:sz w:val="24"/>
          <w:lang w:val="en-US" w:eastAsia="zh-CN" w:bidi="ar-SA"/>
        </w:rPr>
        <w:t>投标方应对在工作过程中所获知的全部业务资料、技术资料和技术秘密采取保密措施。除非法律法规要求或取得采购方事先书面同意，否则不得对外透漏。在本项目服务期结束后，投标方应保证归还采购方提供的所有业务资料、技术资料和文件，并承诺不保留任何副本。投标方应保证参项人员保守其获悉的秘密，并采取必要措施确保投标方工作人员遵守上述有关知识产权、保密等方面的约定。</w:t>
      </w:r>
    </w:p>
    <w:sectPr>
      <w:headerReference w:type="default" r:id="rId2"/>
      <w:footerReference w:type="default" r:id="rId3"/>
      <w:pgSz w:w="11906" w:h="16838"/>
      <w:pgMar w:top="1440" w:right="1800" w:bottom="1440" w:left="1800" w:header="851" w:footer="992" w:gutter="0"/>
      <w:cols w:num="1" w:space="425"/>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小标宋_GBK">
    <w:panose1 w:val="02000000000000000000"/>
    <w:charset w:val="86"/>
    <w:family w:val="script"/>
    <w:pitch w:val="variable"/>
    <w:sig w:usb0="A00002BF" w:usb1="38CF7CFA" w:usb2="00082016" w:usb3="00000000" w:csb0="00040001" w:csb1="00000000"/>
  </w:font>
  <w:font w:name="Times New Roman">
    <w:panose1 w:val="02020603050405020304"/>
    <w:charset w:val="00"/>
    <w:family w:val="roman"/>
    <w:pitch w:val="variable"/>
    <w:sig w:usb0="20007A87" w:usb1="80000000" w:usb2="00000008" w:usb3="00000000" w:csb0="000001FF" w:csb1="00000000"/>
  </w:font>
  <w:font w:name="Lucida Sans">
    <w:panose1 w:val="020B0602030504020204"/>
    <w:charset w:val="00"/>
    <w:family w:val="auto"/>
    <w:pitch w:val="variable"/>
    <w:sig w:usb0="00000003" w:usb1="00000000" w:usb2="00000000" w:usb3="00000000" w:csb0="20000001" w:csb1="00000000"/>
  </w:font>
  <w:font w:name="Calibri">
    <w:altName w:val="Times New Roman"/>
    <w:panose1 w:val="020F0502020204030204"/>
    <w:charset w:val="00"/>
    <w:family w:val="swiss"/>
    <w:pitch w:val="variable"/>
    <w:sig w:usb0="E4002EFF" w:usb1="C000247B" w:usb2="00000009" w:usb3="00000000" w:csb0="200001FF" w:csb1="00000000"/>
  </w:font>
  <w:font w:name="Arial">
    <w:altName w:val="DejaVu Sans"/>
    <w:panose1 w:val="020B0604020202020204"/>
    <w:charset w:val="01"/>
    <w:family w:val="swiss"/>
    <w:pitch w:val="variable"/>
    <w:sig w:usb0="E0002EFF" w:usb1="C000785B" w:usb2="00000009"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 w:name="Calibri Light">
    <w:altName w:val="DejaVu Sans"/>
    <w:panose1 w:val="020F0302020204030204"/>
    <w:charset w:val="00"/>
    <w:family w:val="swiss"/>
    <w:pitch w:val="variable"/>
    <w:sig w:usb0="E4002EFF" w:usb1="C000247B" w:usb2="00000009" w:usb3="00000000" w:csb0="200001FF" w:csb1="00000000"/>
  </w:font>
  <w:font w:name="Courier New">
    <w:altName w:val="DejaVu Sans"/>
    <w:panose1 w:val="02070309020205020404"/>
    <w:charset w:val="01"/>
    <w:family w:val="modern"/>
    <w:pitch w:val="variable"/>
    <w:sig w:usb0="E0002EFF" w:usb1="C0007843" w:usb2="00000009" w:usb3="00000000" w:csb0="400001FF" w:csb1="FFFF0000"/>
  </w:font>
  <w:font w:name="仿宋_GB2312">
    <w:altName w:val="方正仿宋_GBK"/>
    <w:panose1 w:val="02010609030101010101"/>
    <w:charset w:val="86"/>
    <w:family w:val="modern"/>
    <w:pitch w:val="variable"/>
    <w:sig w:usb0="00000000" w:usb1="00000000" w:usb2="00000010" w:usb3="00000000" w:csb0="00040000" w:csb1="00000000"/>
  </w:font>
  <w:font w:name="楷体_GB2312">
    <w:altName w:val="方正楷体_GBK"/>
    <w:panose1 w:val="00000000000000000000"/>
    <w:charset w:val="86"/>
    <w:family w:val="modern"/>
    <w:pitch w:val="variable"/>
    <w:sig w:usb0="00000000" w:usb1="00000000" w:usb2="00000010" w:usb3="00000000" w:csb0="00040000" w:csb1="00000000"/>
  </w:font>
  <w:font w:name="方正书宋简体">
    <w:altName w:val="宋体"/>
    <w:panose1 w:val="00000000000000000000"/>
    <w:charset w:val="86"/>
    <w:family w:val="auto"/>
    <w:pitch w:val="variable"/>
    <w:sig w:usb0="00000000" w:usb1="00000000" w:usb2="00000010" w:usb3="00000000" w:csb0="00040000" w:csb1="00000000"/>
  </w:font>
  <w:font w:name="方正小标宋简体">
    <w:altName w:val="方正小标宋_GBK"/>
    <w:panose1 w:val="02000000000000000000"/>
    <w:charset w:val="86"/>
    <w:family w:val="auto"/>
    <w:pitch w:val="variable"/>
    <w:sig w:usb0="00000001" w:usb1="08000000" w:usb2="00000000" w:usb3="00000000" w:csb0="00040000" w:csb1="00000000"/>
  </w:font>
  <w:font w:name="等线">
    <w:altName w:val="方正黑体_GBK"/>
    <w:panose1 w:val="02010600030101010101"/>
    <w:charset w:val="86"/>
    <w:family w:val="auto"/>
    <w:pitch w:val="variable"/>
    <w:sig w:usb0="A00002BF" w:usb1="38CF7CFA" w:usb2="00000016" w:usb3="00000000" w:csb0="0004000F" w:csb1="00000000"/>
  </w:font>
  <w:font w:name="SimSun">
    <w:panose1 w:val="02010600030101010101"/>
    <w:charset w:val="86"/>
    <w:family w:val="auto"/>
    <w:pitch w:val="variable"/>
    <w:sig w:usb0="00000003" w:usb1="080E0000" w:usb2="00000000" w:usb3="00000000" w:csb0="00040001" w:csb1="00000000"/>
  </w:font>
  <w:font w:name="Wingdings">
    <w:altName w:val="DejaVu Sans"/>
    <w:panose1 w:val="05000000000000000000"/>
    <w:charset w:val="02"/>
    <w:family w:val="auto"/>
    <w:pitch w:val="variable"/>
    <w:sig w:usb0="00000000" w:usb1="00000000" w:usb2="00000000" w:usb3="00000000" w:csb0="80000000" w:csb1="00000000"/>
  </w:font>
  <w:font w:name="Book Antiqua">
    <w:altName w:val="DejaVu Sans"/>
    <w:panose1 w:val="02040602050305030304"/>
    <w:charset w:val="00"/>
    <w:family w:val="roman"/>
    <w:pitch w:val="variable"/>
    <w:sig w:usb0="00000287" w:usb1="00000000" w:usb2="00000000" w:usb3="00000000" w:csb0="2000009F" w:csb1="DFD7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5"/>
      <w:tabs>
        <w:tab w:val="center" w:pos="4153"/>
        <w:tab w:val="right" w:pos="8306"/>
      </w:tabs>
      <w:jc w:val="center"/>
      <w:rPr>
        <w:rFonts w:ascii="宋体" w:hAnsi="宋体"/>
        <w:b/>
        <w:bCs/>
      </w:rPr>
    </w:pPr>
    <w:r>
      <w:rPr>
        <w:rFonts w:ascii="宋体" w:hAnsi="宋体" w:hint="eastAsia"/>
        <w:b/>
        <w:bCs/>
      </w:rPr>
      <w:t>第</w:t>
    </w:r>
    <w:r>
      <w:rPr>
        <w:rFonts w:ascii="宋体" w:hAnsi="宋体"/>
        <w:b/>
        <w:bCs/>
      </w:rPr>
      <w:t xml:space="preserve"> </w:t>
    </w:r>
    <w:r>
      <w:rPr>
        <w:rFonts w:ascii="宋体" w:hAnsi="宋体"/>
        <w:b/>
        <w:bCs/>
      </w:rPr>
      <w:fldChar w:fldCharType="begin"/>
    </w:r>
    <w:r>
      <w:rPr>
        <w:rFonts w:ascii="宋体" w:hAnsi="宋体"/>
        <w:b/>
        <w:bCs/>
      </w:rPr>
      <w:instrText xml:space="preserve"> PAGE   \* MERGEFORMAT </w:instrText>
    </w:r>
    <w:r>
      <w:rPr>
        <w:rFonts w:ascii="宋体" w:hAnsi="宋体"/>
        <w:b/>
        <w:bCs/>
      </w:rPr>
      <w:fldChar w:fldCharType="separate"/>
    </w:r>
    <w:r>
      <w:rPr>
        <w:rFonts w:ascii="宋体" w:hAnsi="宋体"/>
        <w:b/>
        <w:bCs/>
        <w:lang w:val="zh-CN"/>
      </w:rPr>
      <w:t>6</w:t>
    </w:r>
    <w:r>
      <w:rPr>
        <w:rFonts w:ascii="宋体" w:hAnsi="宋体"/>
        <w:b/>
        <w:bCs/>
        <w:lang w:val="zh-CN"/>
      </w:rPr>
      <w:fldChar w:fldCharType="end"/>
    </w:r>
    <w:r>
      <w:rPr>
        <w:rFonts w:ascii="宋体" w:hAnsi="宋体"/>
        <w:b/>
        <w:bCs/>
        <w:lang w:val="zh-CN"/>
      </w:rPr>
      <w:t xml:space="preserve"> </w:t>
    </w:r>
    <w:r>
      <w:rPr>
        <w:rFonts w:ascii="宋体" w:hAnsi="宋体" w:hint="eastAsia"/>
        <w:b/>
        <w:bCs/>
        <w:lang w:val="zh-CN"/>
      </w:rPr>
      <w:t>页</w:t>
    </w:r>
  </w:p>
  <w:p>
    <w:pPr>
      <w:pStyle w:val="25"/>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FFFFFF7F"/>
    <w:multiLevelType w:val="singleLevel"/>
    <w:tmpl w:val="FFFFFF7F"/>
    <w:lvl w:ilvl="0">
      <w:start w:val="1"/>
      <w:numFmt w:val="decimal"/>
      <w:lvlRestart w:val="0"/>
      <w:pStyle w:val="17"/>
      <w:lvlText w:val="%1."/>
      <w:lvlJc w:val="left"/>
      <w:pPr>
        <w:tabs>
          <w:tab w:val="num" w:pos="780"/>
        </w:tabs>
        <w:ind w:left="780" w:hanging="360"/>
      </w:pPr>
    </w:lvl>
  </w:abstractNum>
  <w:abstractNum w:abstractNumId="1">
    <w:nsid w:val="6E230785"/>
    <w:multiLevelType w:val="multilevel"/>
    <w:tmpl w:val="6E230785"/>
    <w:lvl w:ilvl="0">
      <w:start w:val="1"/>
      <w:numFmt w:val="bullet"/>
      <w:lvlRestart w:val="0"/>
      <w:lvlText w:val=""/>
      <w:lvlJc w:val="left"/>
      <w:pPr>
        <w:tabs>
          <w:tab w:val="num" w:pos="170"/>
        </w:tabs>
        <w:ind w:left="170" w:hanging="170"/>
      </w:pPr>
      <w:rPr>
        <w:rFonts w:ascii="Wingdings" w:hAnsi="Wingdings" w:eastAsia="宋体" w:hint="default"/>
        <w:b w:val="0"/>
        <w:i w:val="0"/>
        <w:color w:val="auto"/>
        <w:position w:val="3"/>
        <w:sz w:val="13"/>
        <w:szCs w:val="13"/>
      </w:rPr>
    </w:lvl>
    <w:lvl w:ilvl="1">
      <w:start w:val="1"/>
      <w:numFmt w:val="lowerLetter"/>
      <w:lvlText w:val="%2."/>
      <w:lvlJc w:val="left"/>
      <w:pPr>
        <w:tabs>
          <w:tab w:val="num" w:pos="284"/>
        </w:tabs>
        <w:ind w:left="568" w:hanging="284"/>
      </w:pPr>
      <w:rPr>
        <w:rFonts w:ascii="Times New Roman" w:hAnsi="Times New Roman" w:cs="Book Antiqua" w:hint="default"/>
        <w:b w:val="0"/>
        <w:bCs/>
        <w:i w:val="0"/>
        <w:iCs w:val="0"/>
        <w:sz w:val="21"/>
        <w:szCs w:val="21"/>
        <w:u w:val="none"/>
      </w:rPr>
    </w:lvl>
    <w:lvl w:ilvl="2">
      <w:start w:val="1"/>
      <w:numFmt w:val="bullet"/>
      <w:lvlText w:val="−"/>
      <w:lvlJc w:val="left"/>
      <w:pPr>
        <w:tabs>
          <w:tab w:val="num" w:pos="568"/>
        </w:tabs>
        <w:ind w:left="568" w:hanging="284"/>
      </w:pPr>
      <w:rPr>
        <w:rFonts w:ascii="Times New Roman" w:hAnsi="Times New Roman" w:cs="Times New Roman" w:hint="default"/>
        <w:sz w:val="16"/>
        <w:szCs w:val="16"/>
      </w:rPr>
    </w:lvl>
    <w:lvl w:ilvl="3">
      <w:start w:val="1"/>
      <w:numFmt w:val="decimal"/>
      <w:lvlText w:val="%4."/>
      <w:lvlJc w:val="left"/>
      <w:pPr>
        <w:tabs>
          <w:tab w:val="num" w:pos="284"/>
        </w:tabs>
        <w:ind w:left="568" w:hanging="284"/>
      </w:pPr>
      <w:rPr>
        <w:rFonts w:ascii="Times New Roman" w:hAnsi="Times New Roman" w:cs="Book Antiqua" w:hint="default"/>
        <w:b w:val="0"/>
        <w:bCs/>
        <w:i w:val="0"/>
        <w:iCs w:val="0"/>
        <w:sz w:val="21"/>
        <w:szCs w:val="21"/>
        <w:u w:val="none"/>
      </w:rPr>
    </w:lvl>
    <w:lvl w:ilvl="4">
      <w:start w:val="1"/>
      <w:numFmt w:val="bullet"/>
      <w:lvlText w:val=""/>
      <w:lvlJc w:val="left"/>
      <w:pPr>
        <w:tabs>
          <w:tab w:val="num" w:pos="568"/>
        </w:tabs>
        <w:ind w:left="568" w:hanging="284"/>
      </w:pPr>
      <w:rPr>
        <w:rFonts w:ascii="Wingdings" w:hAnsi="Wingdings" w:eastAsia="宋体" w:hint="default"/>
        <w:b w:val="0"/>
        <w:i w:val="0"/>
        <w:color w:val="auto"/>
        <w:position w:val="3"/>
        <w:sz w:val="13"/>
        <w:szCs w:val="13"/>
      </w:rPr>
    </w:lvl>
    <w:lvl w:ilvl="5">
      <w:start w:val="1"/>
      <w:numFmt w:val="decimal"/>
      <w:pStyle w:val="75"/>
      <w:lvlText w:val="%6."/>
      <w:lvlJc w:val="left"/>
      <w:pPr>
        <w:tabs>
          <w:tab w:val="num" w:pos="1985"/>
        </w:tabs>
        <w:ind w:left="1985" w:hanging="284"/>
      </w:pPr>
      <w:rPr>
        <w:rFonts w:ascii="Times New Roman" w:hAnsi="Times New Roman" w:cs="Book Antiqua" w:hint="default"/>
        <w:color w:val="auto"/>
        <w:spacing w:val="0"/>
        <w:w w:val="100"/>
        <w:position w:val="1"/>
        <w:sz w:val="21"/>
        <w:szCs w:val="21"/>
      </w:rPr>
    </w:lvl>
    <w:lvl w:ilvl="6">
      <w:start w:val="1"/>
      <w:numFmt w:val="decimal"/>
      <w:pStyle w:val="77"/>
      <w:lvlText w:val="%7."/>
      <w:lvlJc w:val="left"/>
      <w:pPr>
        <w:tabs>
          <w:tab w:val="num" w:pos="2359"/>
        </w:tabs>
        <w:ind w:left="2359" w:hanging="284"/>
      </w:pPr>
      <w:rPr>
        <w:rFonts w:ascii="Times New Roman" w:hAnsi="Times New Roman" w:cs="Book Antiqua" w:hint="default"/>
        <w:color w:val="auto"/>
        <w:spacing w:val="0"/>
        <w:w w:val="100"/>
        <w:position w:val="1"/>
        <w:sz w:val="18"/>
        <w:szCs w:val="18"/>
      </w:rPr>
    </w:lvl>
    <w:lvl w:ilvl="7">
      <w:start w:val="1"/>
      <w:numFmt w:val="decimal"/>
      <w:pStyle w:val="76"/>
      <w:lvlText w:val="%8."/>
      <w:lvlJc w:val="left"/>
      <w:pPr>
        <w:tabs>
          <w:tab w:val="num" w:pos="454"/>
        </w:tabs>
        <w:ind w:left="454" w:hanging="284"/>
      </w:pPr>
      <w:rPr>
        <w:rFonts w:ascii="Times New Roman" w:hAnsi="Times New Roman" w:cs="Book Antiqua" w:hint="default"/>
        <w:color w:val="auto"/>
        <w:spacing w:val="0"/>
        <w:w w:val="100"/>
        <w:position w:val="1"/>
        <w:sz w:val="18"/>
        <w:szCs w:val="18"/>
      </w:rPr>
    </w:lvl>
    <w:lvl w:ilvl="8">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6"/>
  <w:bordersDoNotSurroundHeader/>
  <w:bordersDoNotSurroundFooter/>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5"/>
  </w:compat>
  <w:docVars>
    <w:docVar w:name="commondata" w:val="eyJoZGlkIjoiYmQ5OWFjNjcwYjFhY2MyZTMxNTA1NGRjZTdmNTE0NT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next w:val="15"/>
    <w:pPr>
      <w:widowControl w:val="0"/>
      <w:jc w:val="both"/>
    </w:pPr>
    <w:rPr>
      <w:rFonts w:ascii="Calibri" w:eastAsia="宋体" w:cs="Times New Roman" w:hAnsi="Calibri"/>
      <w:kern w:val="2"/>
      <w:sz w:val="21"/>
      <w:szCs w:val="2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3" w:lineRule="auto"/>
      <w:outlineLvl w:val="1"/>
    </w:pPr>
    <w:rPr>
      <w:rFonts w:ascii="Arial" w:eastAsia="黑体" w:hAnsi="Arial"/>
      <w:b/>
      <w:kern w:val="0"/>
      <w:sz w:val="32"/>
      <w:szCs w:val="20"/>
    </w:rPr>
  </w:style>
  <w:style w:type="paragraph" w:styleId="3">
    <w:name w:val="heading 3"/>
    <w:basedOn w:val="0"/>
    <w:next w:val="0"/>
    <w:pPr>
      <w:keepNext/>
      <w:keepLines/>
      <w:widowControl w:val="0"/>
      <w:spacing w:before="260" w:after="260" w:line="415" w:lineRule="auto"/>
      <w:outlineLvl w:val="2"/>
    </w:pPr>
    <w:rPr>
      <w:b/>
      <w:bCs/>
      <w:sz w:val="32"/>
      <w:szCs w:val="32"/>
    </w:rPr>
  </w:style>
  <w:style w:type="paragraph" w:styleId="4">
    <w:name w:val="heading 4"/>
    <w:basedOn w:val="0"/>
    <w:next w:val="0"/>
    <w:pPr>
      <w:keepNext/>
      <w:keepLines/>
      <w:widowControl w:val="0"/>
      <w:spacing w:line="360" w:lineRule="auto"/>
      <w:ind w:left="1680" w:hanging="420"/>
      <w:outlineLvl w:val="3"/>
    </w:pPr>
    <w:rPr>
      <w:rFonts w:ascii="Arial" w:eastAsia="黑体" w:hAnsi="Arial"/>
      <w:b/>
      <w:bCs/>
      <w:kern w:val="0"/>
      <w:sz w:val="24"/>
      <w:szCs w:val="28"/>
    </w:rPr>
  </w:style>
  <w:style w:type="paragraph" w:styleId="5">
    <w:name w:val="heading 5"/>
    <w:basedOn w:val="0"/>
    <w:next w:val="0"/>
    <w:pPr>
      <w:keepNext/>
      <w:keepLines/>
      <w:widowControl w:val="0"/>
      <w:spacing w:before="280" w:after="290" w:line="377" w:lineRule="auto"/>
      <w:outlineLvl w:val="4"/>
    </w:pPr>
    <w:rPr>
      <w:b/>
      <w:bCs/>
      <w:sz w:val="28"/>
      <w:szCs w:val="28"/>
    </w:rPr>
  </w:style>
  <w:style w:type="paragraph" w:styleId="6">
    <w:name w:val="heading 6"/>
    <w:basedOn w:val="0"/>
    <w:next w:val="0"/>
    <w:pPr>
      <w:keepNext/>
      <w:keepLines/>
      <w:widowControl w:val="0"/>
      <w:spacing w:before="240" w:after="64" w:line="319" w:lineRule="auto"/>
      <w:outlineLvl w:val="5"/>
    </w:pPr>
    <w:rPr>
      <w:rFonts w:ascii="Calibri Light" w:hAnsi="Calibri Light"/>
      <w:b/>
      <w:bCs/>
      <w:kern w:val="0"/>
      <w:sz w:val="24"/>
      <w:szCs w:val="24"/>
    </w:rPr>
  </w:style>
  <w:style w:type="paragraph" w:styleId="7">
    <w:name w:val="heading 7"/>
    <w:basedOn w:val="0"/>
    <w:next w:val="0"/>
    <w:pPr>
      <w:keepNext/>
      <w:keepLines/>
      <w:widowControl w:val="0"/>
      <w:spacing w:before="240" w:after="64" w:line="319" w:lineRule="auto"/>
      <w:outlineLvl w:val="6"/>
    </w:pPr>
    <w:rPr>
      <w:b/>
      <w:bCs/>
      <w:kern w:val="0"/>
      <w:sz w:val="24"/>
      <w:szCs w:val="24"/>
    </w:rPr>
  </w:style>
  <w:style w:type="paragraph" w:styleId="8">
    <w:name w:val="heading 8"/>
    <w:basedOn w:val="0"/>
    <w:next w:val="0"/>
    <w:pPr>
      <w:keepNext/>
      <w:keepLines/>
      <w:widowControl w:val="0"/>
      <w:adjustRightInd w:val="0"/>
      <w:snapToGrid w:val="0"/>
      <w:spacing w:before="240" w:after="64" w:line="317" w:lineRule="auto"/>
      <w:ind w:left="1440" w:hanging="1440"/>
      <w:jc w:val="left"/>
      <w:outlineLvl w:val="7"/>
    </w:pPr>
    <w:rPr>
      <w:rFonts w:ascii="Arial" w:eastAsia="黑体" w:hAnsi="Arial"/>
      <w:sz w:val="24"/>
      <w:szCs w:val="24"/>
    </w:rPr>
  </w:style>
  <w:style w:type="paragraph" w:styleId="9">
    <w:name w:val="heading 9"/>
    <w:basedOn w:val="0"/>
    <w:next w:val="0"/>
    <w:pPr>
      <w:keepNext/>
      <w:keepLines/>
      <w:widowControl w:val="0"/>
      <w:adjustRightInd w:val="0"/>
      <w:snapToGrid w:val="0"/>
      <w:spacing w:before="240" w:after="64" w:line="317" w:lineRule="auto"/>
      <w:ind w:left="1583" w:hanging="1583"/>
      <w:jc w:val="left"/>
      <w:outlineLvl w:val="8"/>
    </w:pPr>
    <w:rPr>
      <w:rFonts w:ascii="Arial" w:eastAsia="黑体" w:hAnsi="Arial"/>
      <w:szCs w:val="24"/>
    </w:rPr>
  </w:style>
  <w:style w:type="character" w:default="1" w:styleId="10">
    <w:name w:val="Default Paragraph Font"/>
  </w:style>
  <w:style w:type="paragraph" w:styleId="15">
    <w:name w:val="Body Text"/>
    <w:basedOn w:val="0"/>
    <w:pPr>
      <w:autoSpaceDE w:val="0"/>
      <w:autoSpaceDN w:val="0"/>
      <w:jc w:val="left"/>
    </w:pPr>
    <w:rPr>
      <w:rFonts w:ascii="宋体" w:cs="宋体" w:hAnsi="宋体"/>
      <w:kern w:val="0"/>
      <w:szCs w:val="21"/>
      <w:lang w:val="zh-CN" w:bidi="zh-CN"/>
    </w:rPr>
  </w:style>
  <w:style w:type="paragraph" w:styleId="16">
    <w:name w:val="toc 7"/>
    <w:basedOn w:val="0"/>
    <w:autoRedefine/>
    <w:next w:val="0"/>
    <w:pPr>
      <w:ind w:leftChars="1200" w:left="1200"/>
    </w:pPr>
    <w:rPr>
      <w:rFonts w:ascii="Calibri" w:eastAsia="宋体" w:cs="Arial" w:hAnsi="Calibri"/>
    </w:rPr>
  </w:style>
  <w:style w:type="paragraph" w:styleId="17">
    <w:name w:val="List Number 2"/>
    <w:basedOn w:val="0"/>
    <w:pPr>
      <w:numPr>
        <w:ilvl w:val="0"/>
        <w:numId w:val="1"/>
      </w:numPr>
      <w:contextualSpacing/>
    </w:pPr>
  </w:style>
  <w:style w:type="paragraph" w:styleId="18">
    <w:name w:val="Normal Indent"/>
    <w:basedOn w:val="0"/>
    <w:pPr>
      <w:ind w:firstLineChars="200" w:firstLine="200"/>
    </w:pPr>
    <w:rPr>
      <w:rFonts w:ascii="Times New Roman" w:hAnsi="Times New Roman"/>
      <w:szCs w:val="24"/>
    </w:rPr>
  </w:style>
  <w:style w:type="paragraph" w:styleId="19">
    <w:name w:val="annotation text"/>
    <w:basedOn w:val="0"/>
    <w:pPr>
      <w:jc w:val="left"/>
    </w:pPr>
    <w:rPr>
      <w:kern w:val="0"/>
      <w:sz w:val="20"/>
      <w:szCs w:val="20"/>
    </w:rPr>
  </w:style>
  <w:style w:type="paragraph" w:styleId="20">
    <w:name w:val="toc 5"/>
    <w:basedOn w:val="0"/>
    <w:autoRedefine/>
    <w:next w:val="0"/>
    <w:pPr>
      <w:ind w:leftChars="800" w:left="800"/>
    </w:pPr>
  </w:style>
  <w:style w:type="paragraph" w:styleId="21">
    <w:name w:val="toc 3"/>
    <w:basedOn w:val="0"/>
    <w:autoRedefine/>
    <w:next w:val="0"/>
    <w:pPr>
      <w:ind w:leftChars="400" w:left="400"/>
    </w:pPr>
  </w:style>
  <w:style w:type="paragraph" w:styleId="22">
    <w:name w:val="Plain Text"/>
    <w:basedOn w:val="0"/>
    <w:rPr>
      <w:rFonts w:ascii="宋体" w:hAnsi="Courier New"/>
      <w:kern w:val="0"/>
      <w:szCs w:val="21"/>
    </w:rPr>
  </w:style>
  <w:style w:type="paragraph" w:styleId="23">
    <w:name w:val="toc 8"/>
    <w:basedOn w:val="0"/>
    <w:autoRedefine/>
    <w:next w:val="0"/>
    <w:pPr>
      <w:ind w:leftChars="1400" w:left="1400"/>
    </w:pPr>
    <w:rPr>
      <w:rFonts w:ascii="Calibri" w:eastAsia="宋体" w:cs="Arial" w:hAnsi="Calibri"/>
    </w:rPr>
  </w:style>
  <w:style w:type="paragraph" w:styleId="24">
    <w:name w:val="Balloon Text"/>
    <w:basedOn w:val="0"/>
    <w:rPr>
      <w:sz w:val="18"/>
      <w:szCs w:val="18"/>
    </w:rPr>
  </w:style>
  <w:style w:type="paragraph" w:styleId="25">
    <w:name w:val="footer"/>
    <w:basedOn w:val="0"/>
    <w:pPr>
      <w:tabs>
        <w:tab w:val="center" w:pos="4153"/>
        <w:tab w:val="right" w:pos="8306"/>
      </w:tabs>
      <w:snapToGrid w:val="0"/>
      <w:jc w:val="left"/>
    </w:pPr>
    <w:rPr>
      <w:kern w:val="0"/>
      <w:sz w:val="18"/>
      <w:szCs w:val="18"/>
    </w:rPr>
  </w:style>
  <w:style w:type="paragraph" w:styleId="26">
    <w:name w:val="header"/>
    <w:basedOn w:val="0"/>
    <w:pPr>
      <w:pBdr>
        <w:bottom w:val="single" w:sz="6" w:space="1" w:color="auto"/>
      </w:pBdr>
      <w:tabs>
        <w:tab w:val="center" w:pos="4153"/>
        <w:tab w:val="right" w:pos="8306"/>
      </w:tabs>
      <w:snapToGrid w:val="0"/>
      <w:jc w:val="center"/>
    </w:pPr>
    <w:rPr>
      <w:sz w:val="18"/>
      <w:szCs w:val="18"/>
    </w:rPr>
  </w:style>
  <w:style w:type="paragraph" w:styleId="27">
    <w:name w:val="toc 1"/>
    <w:basedOn w:val="0"/>
    <w:autoRedefine/>
    <w:next w:val="0"/>
  </w:style>
  <w:style w:type="paragraph" w:styleId="28">
    <w:name w:val="toc 4"/>
    <w:basedOn w:val="0"/>
    <w:autoRedefine/>
    <w:next w:val="0"/>
    <w:pPr>
      <w:ind w:leftChars="600" w:left="600"/>
    </w:pPr>
  </w:style>
  <w:style w:type="paragraph" w:styleId="29">
    <w:name w:val="toc 6"/>
    <w:basedOn w:val="0"/>
    <w:autoRedefine/>
    <w:next w:val="0"/>
    <w:pPr>
      <w:ind w:leftChars="1000" w:left="1000"/>
    </w:pPr>
    <w:rPr>
      <w:rFonts w:ascii="Calibri" w:eastAsia="宋体" w:cs="Arial" w:hAnsi="Calibri"/>
    </w:rPr>
  </w:style>
  <w:style w:type="paragraph" w:styleId="30">
    <w:name w:val="Body Text Indent 3"/>
    <w:basedOn w:val="0"/>
    <w:pPr>
      <w:ind w:left="720"/>
    </w:pPr>
    <w:rPr>
      <w:rFonts w:ascii="仿宋_GB2312" w:eastAsia="仿宋_GB2312" w:hAnsi="Times New Roman"/>
      <w:sz w:val="32"/>
      <w:szCs w:val="24"/>
    </w:rPr>
  </w:style>
  <w:style w:type="paragraph" w:styleId="31">
    <w:name w:val="toc 2"/>
    <w:basedOn w:val="0"/>
    <w:autoRedefine/>
    <w:next w:val="0"/>
    <w:pPr>
      <w:ind w:leftChars="200" w:left="200"/>
    </w:pPr>
  </w:style>
  <w:style w:type="paragraph" w:styleId="32">
    <w:name w:val="toc 9"/>
    <w:basedOn w:val="0"/>
    <w:autoRedefine/>
    <w:next w:val="0"/>
    <w:pPr>
      <w:ind w:leftChars="1600" w:left="1600"/>
    </w:pPr>
    <w:rPr>
      <w:rFonts w:ascii="Calibri" w:eastAsia="宋体" w:cs="Arial" w:hAnsi="Calibri"/>
    </w:rPr>
  </w:style>
  <w:style w:type="paragraph" w:styleId="33">
    <w:name w:val="HTML Preformatted"/>
    <w:basedOn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cs="Arial" w:hAnsi="Arial"/>
      <w:kern w:val="0"/>
      <w:sz w:val="24"/>
      <w:szCs w:val="21"/>
    </w:rPr>
  </w:style>
  <w:style w:type="paragraph" w:styleId="34">
    <w:name w:val="Normal (Web)"/>
    <w:basedOn w:val="0"/>
    <w:pPr>
      <w:widowControl/>
      <w:spacing w:before="100" w:beforeAutospacing="1" w:after="100" w:afterAutospacing="1" w:line="360" w:lineRule="auto"/>
      <w:ind w:firstLineChars="200" w:firstLine="200"/>
      <w:contextualSpacing/>
      <w:jc w:val="left"/>
    </w:pPr>
    <w:rPr>
      <w:rFonts w:ascii="宋体" w:hAnsi="宋体"/>
      <w:kern w:val="0"/>
      <w:sz w:val="24"/>
      <w:szCs w:val="20"/>
    </w:rPr>
  </w:style>
  <w:style w:type="paragraph" w:styleId="35">
    <w:name w:val="annotation subject"/>
    <w:basedOn w:val="19"/>
    <w:next w:val="19"/>
    <w:rPr>
      <w:b/>
      <w:bCs/>
      <w:kern w:val="2"/>
      <w:sz w:val="21"/>
      <w:szCs w:val="22"/>
    </w:rPr>
  </w:style>
  <w:style w:type="character" w:styleId="36">
    <w:name w:val="Strong"/>
    <w:basedOn w:val="10"/>
    <w:rPr>
      <w:b/>
      <w:bCs/>
    </w:rPr>
  </w:style>
  <w:style w:type="character" w:styleId="37">
    <w:name w:val="page number"/>
    <w:basedOn w:val="10"/>
  </w:style>
  <w:style w:type="character" w:styleId="38">
    <w:name w:val="FollowedHyperlink"/>
    <w:basedOn w:val="10"/>
    <w:rPr>
      <w:color w:val="954F72"/>
      <w:u w:val="single"/>
    </w:rPr>
  </w:style>
  <w:style w:type="character" w:styleId="39">
    <w:name w:val="Hyperlink"/>
    <w:rPr>
      <w:rFonts w:cs="Times New Roman"/>
      <w:color w:val="0000FF"/>
      <w:u w:val="single"/>
    </w:rPr>
  </w:style>
  <w:style w:type="character" w:styleId="40">
    <w:name w:val="annotation reference"/>
    <w:basedOn w:val="10"/>
    <w:rPr>
      <w:rFonts w:cs="Times New Roman"/>
      <w:sz w:val="21"/>
    </w:rPr>
  </w:style>
  <w:style w:type="paragraph" w:customStyle="1" w:styleId="41">
    <w:name w:val="PlainText"/>
    <w:basedOn w:val="0"/>
    <w:pPr>
      <w:widowControl/>
      <w:textAlignment w:val="baseline"/>
    </w:pPr>
    <w:rPr>
      <w:rFonts w:ascii="宋体" w:hAnsi="Courier New"/>
      <w:kern w:val="0"/>
      <w:szCs w:val="21"/>
    </w:rPr>
  </w:style>
  <w:style w:type="character" w:customStyle="1" w:styleId="42">
    <w:name w:val="NormalCharacter"/>
  </w:style>
  <w:style w:type="paragraph" w:customStyle="1" w:styleId="43">
    <w:name w:val="列出段落1"/>
    <w:basedOn w:val="0"/>
    <w:pPr>
      <w:ind w:firstLineChars="200" w:firstLine="200"/>
    </w:pPr>
  </w:style>
  <w:style w:type="paragraph" w:styleId="44">
    <w:name w:val="List Paragraph"/>
    <w:basedOn w:val="0"/>
    <w:pPr>
      <w:ind w:firstLineChars="200" w:firstLine="200"/>
    </w:pPr>
  </w:style>
  <w:style w:type="paragraph" w:customStyle="1" w:styleId="45">
    <w:name w:val="列出段落3"/>
    <w:basedOn w:val="0"/>
    <w:pPr>
      <w:ind w:firstLineChars="200" w:firstLine="200"/>
    </w:pPr>
  </w:style>
  <w:style w:type="paragraph" w:customStyle="1" w:styleId="46">
    <w:name w:val="Heading6"/>
    <w:basedOn w:val="0"/>
    <w:next w:val="0"/>
    <w:pPr>
      <w:keepNext/>
      <w:keepLines/>
      <w:widowControl/>
      <w:spacing w:before="240" w:after="64" w:line="319" w:lineRule="auto"/>
      <w:textAlignment w:val="baseline"/>
    </w:pPr>
    <w:rPr>
      <w:rFonts w:ascii="Calibri Light" w:hAnsi="Calibri Light"/>
      <w:sz w:val="24"/>
      <w:szCs w:val="24"/>
    </w:rPr>
  </w:style>
  <w:style w:type="character" w:customStyle="1" w:styleId="47">
    <w:name w:val="纯文本 Char1"/>
    <w:rPr>
      <w:rFonts w:ascii="宋体" w:cs="Courier New" w:hAnsi="Courier New"/>
      <w:szCs w:val="21"/>
    </w:rPr>
  </w:style>
  <w:style w:type="paragraph" w:customStyle="1" w:styleId="48">
    <w:name w:val="缩进正文"/>
    <w:basedOn w:val="0"/>
    <w:pPr>
      <w:widowControl/>
      <w:spacing w:line="360" w:lineRule="auto"/>
      <w:ind w:firstLineChars="200" w:firstLine="200"/>
      <w:jc w:val="left"/>
    </w:pPr>
    <w:rPr>
      <w:kern w:val="0"/>
      <w:sz w:val="24"/>
      <w:szCs w:val="24"/>
    </w:rPr>
  </w:style>
  <w:style w:type="character" w:customStyle="1" w:styleId="49">
    <w:name w:val="标题 1 字符1"/>
    <w:rPr>
      <w:rFonts w:ascii="Times New Roman" w:eastAsia="宋体" w:cs="Times New Roman" w:hAnsi="Times New Roman"/>
      <w:b/>
      <w:bCs/>
      <w:kern w:val="44"/>
      <w:sz w:val="30"/>
      <w:szCs w:val="44"/>
    </w:rPr>
  </w:style>
  <w:style w:type="paragraph" w:customStyle="1" w:styleId="50">
    <w:name w:val="Normal Indent1"/>
    <w:basedOn w:val="0"/>
    <w:pPr>
      <w:spacing w:line="660" w:lineRule="exact"/>
      <w:ind w:firstLineChars="200" w:firstLine="200"/>
    </w:pPr>
    <w:rPr>
      <w:rFonts w:eastAsia="楷体_GB2312" w:cs="Calibri"/>
      <w:sz w:val="36"/>
      <w:szCs w:val="36"/>
    </w:rPr>
  </w:style>
  <w:style w:type="character" w:customStyle="1" w:styleId="51">
    <w:name w:val="font51"/>
    <w:basedOn w:val="10"/>
    <w:rPr>
      <w:rFonts w:ascii="宋体" w:eastAsia="宋体" w:cs="宋体" w:hAnsi="宋体"/>
      <w:color w:val="000000"/>
      <w:sz w:val="20"/>
      <w:szCs w:val="20"/>
      <w:u w:val="none"/>
    </w:rPr>
  </w:style>
  <w:style w:type="character" w:customStyle="1" w:styleId="52">
    <w:name w:val="font11"/>
    <w:basedOn w:val="10"/>
    <w:rPr>
      <w:rFonts w:ascii="宋体" w:eastAsia="宋体" w:cs="宋体" w:hAnsi="宋体"/>
      <w:color w:val="FF0000"/>
      <w:sz w:val="21"/>
      <w:szCs w:val="21"/>
      <w:u w:val="none"/>
    </w:rPr>
  </w:style>
  <w:style w:type="character" w:customStyle="1" w:styleId="53">
    <w:name w:val="font01"/>
    <w:basedOn w:val="10"/>
    <w:rPr>
      <w:rFonts w:ascii="Times New Roman" w:cs="Times New Roman" w:hAnsi="Times New Roman"/>
      <w:color w:val="000000"/>
      <w:sz w:val="20"/>
      <w:szCs w:val="20"/>
      <w:u w:val="none"/>
    </w:rPr>
  </w:style>
  <w:style w:type="paragraph" w:customStyle="1" w:styleId="54">
    <w:name w:val="首行缩进"/>
    <w:basedOn w:val="0"/>
    <w:pPr>
      <w:ind w:firstLineChars="200" w:firstLine="200"/>
    </w:pPr>
    <w:rPr>
      <w:rFonts w:ascii="Times New Roman" w:hAnsi="Times New Roman"/>
      <w:szCs w:val="24"/>
      <w:lang w:val="zh-CN"/>
    </w:rPr>
  </w:style>
  <w:style w:type="paragraph" w:customStyle="1" w:styleId="55">
    <w:name w:val="样式 标题 2 + (西文) 方正书宋简体 (中文) 方正黑体简体 非加粗 黑色 行距: 固定值 15 磅"/>
    <w:basedOn w:val="2"/>
    <w:pPr>
      <w:tabs>
        <w:tab w:val="left" w:pos="1134"/>
      </w:tabs>
      <w:spacing w:before="0" w:after="0" w:line="300" w:lineRule="exact"/>
      <w:ind w:firstLineChars="200" w:firstLine="200"/>
      <w:jc w:val="left"/>
    </w:pPr>
    <w:rPr>
      <w:rFonts w:ascii="方正书宋简体" w:eastAsia="方正小标宋简体" w:cs="宋体" w:hAnsi="宋体"/>
      <w:b w:val="0"/>
      <w:color w:val="000000"/>
      <w:sz w:val="21"/>
    </w:rPr>
  </w:style>
  <w:style w:type="paragraph" w:customStyle="1" w:styleId="56">
    <w:name w:val="列出段落2"/>
    <w:basedOn w:val="0"/>
    <w:pPr>
      <w:ind w:firstLineChars="200" w:firstLine="200"/>
    </w:pPr>
  </w:style>
  <w:style w:type="paragraph" w:customStyle="1" w:styleId="57">
    <w:name w:val="C包二级标题"/>
    <w:basedOn w:val="2"/>
    <w:pPr>
      <w:spacing w:line="415" w:lineRule="auto"/>
      <w:jc w:val="center"/>
    </w:pPr>
    <w:rPr>
      <w:rFonts w:eastAsia="宋体"/>
      <w:b w:val="0"/>
      <w:sz w:val="24"/>
      <w:szCs w:val="32"/>
    </w:rPr>
  </w:style>
  <w:style w:type="paragraph" w:customStyle="1" w:styleId="58">
    <w:name w:val="一级标题"/>
    <w:basedOn w:val="0"/>
    <w:pPr>
      <w:keepNext/>
      <w:keepLines/>
      <w:widowControl w:val="0"/>
      <w:spacing w:before="120" w:after="120" w:line="360" w:lineRule="auto"/>
      <w:jc w:val="center"/>
      <w:outlineLvl w:val="0"/>
    </w:pPr>
    <w:rPr>
      <w:rFonts w:ascii="宋体" w:hAnsi="宋体"/>
      <w:b/>
      <w:kern w:val="44"/>
      <w:sz w:val="32"/>
      <w:szCs w:val="44"/>
    </w:rPr>
  </w:style>
  <w:style w:type="paragraph" w:customStyle="1" w:styleId="59">
    <w:name w:val="二级标题"/>
    <w:basedOn w:val="0"/>
    <w:pPr>
      <w:keepNext/>
      <w:keepLines/>
      <w:widowControl/>
      <w:adjustRightInd w:val="0"/>
      <w:snapToGrid w:val="0"/>
      <w:spacing w:beforeLines="50" w:before="50" w:afterLines="30" w:after="30" w:line="360" w:lineRule="auto"/>
      <w:ind w:left="720" w:hanging="720"/>
      <w:jc w:val="left"/>
      <w:outlineLvl w:val="1"/>
    </w:pPr>
    <w:rPr>
      <w:rFonts w:ascii="宋体" w:cs="宋体" w:hAnsi="宋体"/>
      <w:b/>
      <w:sz w:val="24"/>
      <w:szCs w:val="24"/>
    </w:rPr>
  </w:style>
  <w:style w:type="paragraph" w:customStyle="1" w:styleId="60">
    <w:name w:val="三级标题"/>
    <w:basedOn w:val="0"/>
    <w:next w:val="3"/>
    <w:pPr>
      <w:keepNext/>
      <w:keepLines/>
      <w:widowControl w:val="0"/>
      <w:spacing w:beforeLines="50" w:before="50" w:line="360" w:lineRule="auto"/>
      <w:ind w:left="170"/>
      <w:outlineLvl w:val="2"/>
    </w:pPr>
    <w:rPr>
      <w:rFonts w:ascii="宋体" w:cs="宋体" w:hAnsi="宋体"/>
      <w:b/>
      <w:bCs/>
      <w:color w:val="000000"/>
      <w:kern w:val="0"/>
      <w:sz w:val="24"/>
      <w:szCs w:val="24"/>
    </w:rPr>
  </w:style>
  <w:style w:type="paragraph" w:customStyle="1" w:styleId="61">
    <w:name w:val="四级标题"/>
    <w:basedOn w:val="0"/>
    <w:pPr>
      <w:keepNext/>
      <w:widowControl/>
      <w:adjustRightInd w:val="0"/>
      <w:snapToGrid w:val="0"/>
      <w:spacing w:beforeLines="20" w:before="20" w:line="360" w:lineRule="auto"/>
      <w:ind w:firstLine="210"/>
      <w:jc w:val="left"/>
      <w:outlineLvl w:val="3"/>
    </w:pPr>
    <w:rPr>
      <w:rFonts w:ascii="宋体" w:cs="宋体" w:hAnsi="宋体"/>
      <w:b/>
      <w:kern w:val="0"/>
      <w:sz w:val="24"/>
      <w:szCs w:val="24"/>
    </w:rPr>
  </w:style>
  <w:style w:type="paragraph" w:customStyle="1" w:styleId="62">
    <w:name w:val="样式1"/>
    <w:basedOn w:val="5"/>
    <w:next w:val="5"/>
    <w:pPr>
      <w:spacing w:before="4" w:after="0" w:line="360" w:lineRule="auto"/>
      <w:ind w:firstLine="420"/>
    </w:pPr>
    <w:rPr>
      <w:rFonts w:ascii="宋体" w:hAnsi="宋体"/>
      <w:sz w:val="24"/>
      <w:szCs w:val="24"/>
    </w:rPr>
  </w:style>
  <w:style w:type="paragraph" w:customStyle="1" w:styleId="63">
    <w:name w:val="五级标题"/>
    <w:basedOn w:val="62"/>
    <w:pPr>
      <w:spacing w:before="0"/>
      <w:ind w:leftChars="120" w:left="120" w:firstLine="0"/>
    </w:pPr>
  </w:style>
  <w:style w:type="paragraph" w:customStyle="1" w:styleId="64">
    <w:name w:val="时间格式"/>
    <w:basedOn w:val="22"/>
    <w:pPr>
      <w:ind w:firstLineChars="200" w:firstLine="200"/>
      <w:jc w:val="right"/>
    </w:pPr>
    <w:rPr>
      <w:rFonts w:ascii="宋体" w:eastAsia="宋体"/>
      <w:color w:val="000000"/>
    </w:rPr>
  </w:style>
  <w:style w:type="paragraph" w:customStyle="1" w:styleId="65">
    <w:name w:val="方案正文"/>
    <w:basedOn w:val="0"/>
    <w:pPr>
      <w:spacing w:line="360" w:lineRule="auto"/>
      <w:ind w:firstLineChars="200" w:firstLine="200"/>
    </w:pPr>
    <w:rPr>
      <w:rFonts w:ascii="宋体" w:hAnsi="宋体"/>
      <w:sz w:val="24"/>
      <w:szCs w:val="28"/>
    </w:rPr>
  </w:style>
  <w:style w:type="paragraph" w:customStyle="1" w:styleId="66">
    <w:name w:val="样式2"/>
    <w:basedOn w:val="65"/>
    <w:pPr>
      <w:outlineLvl w:val="5"/>
    </w:pPr>
    <w:rPr>
      <w:b/>
      <w:bCs/>
    </w:rPr>
  </w:style>
  <w:style w:type="paragraph" w:customStyle="1" w:styleId="67">
    <w:name w:val="六级标题"/>
    <w:basedOn w:val="66"/>
  </w:style>
  <w:style w:type="paragraph" w:customStyle="1" w:styleId="68">
    <w:name w:val="C包一级标题"/>
    <w:basedOn w:val="1"/>
    <w:pPr>
      <w:spacing w:before="120" w:after="120" w:line="360" w:lineRule="auto"/>
      <w:jc w:val="center"/>
    </w:pPr>
    <w:rPr>
      <w:rFonts w:ascii="宋体" w:hAnsi="宋体"/>
      <w:sz w:val="36"/>
      <w:szCs w:val="36"/>
    </w:rPr>
  </w:style>
  <w:style w:type="paragraph" w:customStyle="1" w:styleId="69">
    <w:name w:val="Default"/>
    <w:pPr>
      <w:widowControl w:val="0"/>
      <w:autoSpaceDE w:val="0"/>
      <w:autoSpaceDN w:val="0"/>
      <w:adjustRightInd w:val="0"/>
    </w:pPr>
    <w:rPr>
      <w:rFonts w:ascii="宋体" w:eastAsia="宋体" w:cs="宋体" w:hAnsi="Calibri"/>
      <w:color w:val="000000"/>
      <w:sz w:val="24"/>
      <w:szCs w:val="24"/>
      <w:lang w:val="en-US" w:eastAsia="zh-CN" w:bidi="ar-SA"/>
    </w:rPr>
  </w:style>
  <w:style w:type="paragraph" w:customStyle="1" w:styleId="70">
    <w:name w:val="Item List in Table"/>
    <w:basedOn w:val="0"/>
    <w:pPr>
      <w:widowControl/>
      <w:tabs>
        <w:tab w:val="left" w:pos="284"/>
      </w:tabs>
      <w:topLinePunct/>
      <w:adjustRightInd w:val="0"/>
      <w:snapToGrid w:val="0"/>
      <w:spacing w:before="80" w:after="80" w:line="240" w:lineRule="atLeast"/>
      <w:ind w:left="284" w:hanging="284"/>
      <w:jc w:val="left"/>
    </w:pPr>
    <w:rPr>
      <w:rFonts w:ascii="Times New Roman" w:cs="Arial" w:hAnsi="Times New Roman"/>
      <w:kern w:val="0"/>
      <w:szCs w:val="21"/>
    </w:rPr>
  </w:style>
  <w:style w:type="paragraph" w:customStyle="1" w:styleId="71">
    <w:name w:val="Sub Item List in Table"/>
    <w:basedOn w:val="0"/>
    <w:pPr>
      <w:widowControl/>
      <w:tabs>
        <w:tab w:val="left" w:pos="568"/>
      </w:tabs>
      <w:topLinePunct/>
      <w:adjustRightInd w:val="0"/>
      <w:snapToGrid w:val="0"/>
      <w:spacing w:before="80" w:after="80" w:line="240" w:lineRule="atLeast"/>
      <w:ind w:left="568" w:hanging="284"/>
      <w:jc w:val="left"/>
    </w:pPr>
    <w:rPr>
      <w:rFonts w:ascii="Times New Roman" w:cs="Arial" w:hAnsi="Times New Roman"/>
      <w:szCs w:val="21"/>
    </w:rPr>
  </w:style>
  <w:style w:type="paragraph" w:customStyle="1" w:styleId="72">
    <w:name w:val="Sub Item Step in Table"/>
    <w:pPr>
      <w:tabs>
        <w:tab w:val="left" w:pos="284"/>
      </w:tabs>
      <w:adjustRightInd w:val="0"/>
      <w:snapToGrid w:val="0"/>
      <w:spacing w:before="80" w:after="80" w:line="240" w:lineRule="atLeast"/>
      <w:ind w:left="568" w:hanging="284"/>
    </w:pPr>
    <w:rPr>
      <w:rFonts w:ascii="Times New Roman" w:eastAsia="宋体" w:cs="Arial" w:hAnsi="Times New Roman"/>
      <w:sz w:val="21"/>
      <w:szCs w:val="21"/>
      <w:lang w:val="en-US" w:eastAsia="zh-CN" w:bidi="ar-SA"/>
    </w:rPr>
  </w:style>
  <w:style w:type="paragraph" w:customStyle="1" w:styleId="73">
    <w:name w:val="Sub Item Step in Table List"/>
    <w:pPr>
      <w:tabs>
        <w:tab w:val="left" w:pos="284"/>
      </w:tabs>
      <w:adjustRightInd w:val="0"/>
      <w:snapToGrid w:val="0"/>
      <w:spacing w:before="80" w:after="80" w:line="240" w:lineRule="atLeast"/>
      <w:ind w:left="568" w:hanging="284"/>
    </w:pPr>
    <w:rPr>
      <w:rFonts w:ascii="Times New Roman" w:eastAsia="宋体" w:cs="Arial" w:hAnsi="Times New Roman"/>
      <w:sz w:val="21"/>
      <w:szCs w:val="21"/>
      <w:lang w:val="en-US" w:eastAsia="zh-CN" w:bidi="ar-SA"/>
    </w:rPr>
  </w:style>
  <w:style w:type="paragraph" w:customStyle="1" w:styleId="74">
    <w:name w:val="Sub Item List in Table Step"/>
    <w:basedOn w:val="0"/>
    <w:pPr>
      <w:widowControl/>
      <w:tabs>
        <w:tab w:val="left" w:pos="568"/>
      </w:tabs>
      <w:topLinePunct/>
      <w:adjustRightInd w:val="0"/>
      <w:snapToGrid w:val="0"/>
      <w:spacing w:before="80" w:after="80" w:line="240" w:lineRule="atLeast"/>
      <w:ind w:left="568" w:hanging="284"/>
      <w:jc w:val="left"/>
    </w:pPr>
    <w:rPr>
      <w:rFonts w:ascii="Times New Roman" w:cs="Arial" w:hAnsi="Times New Roman"/>
      <w:szCs w:val="21"/>
    </w:rPr>
  </w:style>
  <w:style w:type="paragraph" w:customStyle="1" w:styleId="75">
    <w:name w:val="CAUTION Text Step"/>
    <w:basedOn w:val="0"/>
    <w:pPr>
      <w:keepNext/>
      <w:keepLines/>
      <w:widowControl/>
      <w:numPr>
        <w:ilvl w:val="5"/>
        <w:numId w:val="2"/>
      </w:numPr>
      <w:pBdr>
        <w:bottom w:val="single" w:sz="12" w:space="4" w:color="auto"/>
      </w:pBdr>
      <w:topLinePunct/>
      <w:adjustRightInd w:val="0"/>
      <w:snapToGrid w:val="0"/>
      <w:spacing w:before="80" w:after="80" w:line="240" w:lineRule="atLeast"/>
      <w:jc w:val="left"/>
    </w:pPr>
    <w:rPr>
      <w:rFonts w:ascii="Times New Roman" w:eastAsia="楷体_GB2312" w:cs="Arial" w:hAnsi="Times New Roman"/>
      <w:iCs/>
      <w:szCs w:val="21"/>
    </w:rPr>
  </w:style>
  <w:style w:type="paragraph" w:customStyle="1" w:styleId="76">
    <w:name w:val="Notes Text Step in Table"/>
    <w:pPr>
      <w:numPr>
        <w:ilvl w:val="7"/>
        <w:numId w:val="2"/>
      </w:numPr>
      <w:spacing w:before="40" w:after="80" w:line="200" w:lineRule="atLeast"/>
    </w:pPr>
    <w:rPr>
      <w:rFonts w:ascii="Times New Roman" w:eastAsia="楷体_GB2312" w:cs="楷体_GB2312" w:hAnsi="Times New Roman"/>
      <w:sz w:val="18"/>
      <w:szCs w:val="18"/>
      <w:lang w:val="en-US" w:eastAsia="zh-CN" w:bidi="ar-SA"/>
    </w:rPr>
  </w:style>
  <w:style w:type="paragraph" w:customStyle="1" w:styleId="77">
    <w:name w:val="Notes Text Step"/>
    <w:basedOn w:val="75"/>
    <w:pPr>
      <w:numPr>
        <w:ilvl w:val="6"/>
        <w:numId w:val="2"/>
      </w:numPr>
      <w:pBdr>
        <w:bottom w:val="none" w:sz="0" w:space="0" w:color="auto"/>
      </w:pBdr>
      <w:spacing w:before="40" w:line="200" w:lineRule="atLeast"/>
    </w:pPr>
    <w:rPr>
      <w:sz w:val="18"/>
      <w:szCs w:val="18"/>
    </w:rPr>
  </w:style>
  <w:style w:type="paragraph" w:customStyle="1" w:styleId="78">
    <w:name w:val="shizuzhengwen"/>
    <w:basedOn w:val="0"/>
    <w:pPr>
      <w:widowControl/>
      <w:jc w:val="left"/>
    </w:pPr>
    <w:rPr>
      <w:rFonts w:ascii="宋体" w:hAnsi="宋体"/>
      <w:sz w:val="28"/>
      <w:szCs w:val="20"/>
    </w:rPr>
  </w:style>
  <w:style w:type="paragraph" w:customStyle="1" w:styleId="79">
    <w:name w:val="缺省文本"/>
    <w:basedOn w:val="0"/>
    <w:pPr>
      <w:autoSpaceDE w:val="0"/>
      <w:autoSpaceDN w:val="0"/>
      <w:adjustRightInd w:val="0"/>
      <w:spacing w:line="360" w:lineRule="auto"/>
      <w:ind w:firstLineChars="200" w:firstLine="200"/>
      <w:jc w:val="left"/>
    </w:pPr>
    <w:rPr>
      <w:rFonts w:ascii="Times New Roman" w:hAnsi="Times New Roman"/>
      <w:kern w:val="0"/>
      <w:szCs w:val="20"/>
    </w:rPr>
  </w:style>
  <w:style w:type="paragraph" w:customStyle="1" w:styleId="80">
    <w:name w:val="投标二级标题"/>
    <w:basedOn w:val="2"/>
    <w:pPr>
      <w:keepNext/>
      <w:keepLines/>
      <w:widowControl/>
      <w:adjustRightInd w:val="0"/>
      <w:snapToGrid w:val="0"/>
      <w:spacing w:beforeLines="40" w:before="40" w:afterLines="30" w:after="30" w:line="360" w:lineRule="auto"/>
      <w:ind w:left="720" w:hanging="720"/>
      <w:jc w:val="left"/>
      <w:textAlignment w:val="baseline"/>
    </w:pPr>
    <w:rPr>
      <w:rFonts w:ascii="宋体" w:eastAsia="宋体" w:cs="宋体" w:hAnsi="宋体"/>
      <w:sz w:val="30"/>
      <w:szCs w:val="30"/>
    </w:rPr>
  </w:style>
  <w:style w:type="character" w:customStyle="1" w:styleId="81">
    <w:name w:val="HTML 预设格式 字符"/>
    <w:basedOn w:val="10"/>
    <w:rPr>
      <w:rFonts w:ascii="Courier New" w:cs="Courier New" w:hAnsi="Courier New"/>
      <w:kern w:val="2"/>
    </w:rPr>
  </w:style>
  <w:style w:type="paragraph" w:customStyle="1" w:styleId="82">
    <w:name w:val="TOC 标题1"/>
    <w:basedOn w:val="1"/>
    <w:next w:val="0"/>
    <w:pPr>
      <w:keepNext/>
      <w:keepLines/>
      <w:widowControl/>
      <w:spacing w:before="240" w:after="0" w:line="259" w:lineRule="auto"/>
      <w:jc w:val="left"/>
      <w:outlineLvl w:val="9"/>
    </w:pPr>
    <w:rPr>
      <w:rFonts w:ascii="Calibri Light" w:eastAsia="宋体" w:cs="Times New Roman" w:hAnsi="Calibri Light"/>
      <w:b w:val="0"/>
      <w:bCs w:val="0"/>
      <w:color w:val="2E75B6"/>
      <w:kern w:val="0"/>
      <w:sz w:val="32"/>
      <w:szCs w:val="32"/>
    </w:rPr>
  </w:style>
  <w:style w:type="character" w:customStyle="1" w:styleId="83">
    <w:name w:val="Unresolved Mention"/>
    <w:basedOn w:val="10"/>
    <w:rPr>
      <w:color w:val="605E5C"/>
      <w:shd w:val="clear" w:color="auto" w:fill="E1DFDD"/>
    </w:rPr>
  </w:style>
  <w:style w:type="character" w:customStyle="1" w:styleId="84">
    <w:name w:val="font31"/>
    <w:basedOn w:val="10"/>
    <w:rPr>
      <w:rFonts w:ascii="宋体" w:eastAsia="宋体" w:cs="宋体" w:hAnsi="宋体"/>
      <w:color w:val="000000"/>
      <w:sz w:val="21"/>
      <w:szCs w:val="21"/>
      <w:u w:val="none"/>
    </w:rPr>
  </w:style>
  <w:style w:type="paragraph" w:customStyle="1" w:styleId="85">
    <w:name w:val="msonormal"/>
    <w:basedOn w:val="0"/>
    <w:pPr>
      <w:widowControl/>
      <w:spacing w:before="100" w:beforeAutospacing="1" w:after="100" w:afterAutospacing="1"/>
      <w:jc w:val="left"/>
    </w:pPr>
    <w:rPr>
      <w:rFonts w:ascii="宋体" w:cs="宋体" w:hAnsi="宋体"/>
      <w:kern w:val="0"/>
      <w:sz w:val="24"/>
      <w:szCs w:val="24"/>
    </w:rPr>
  </w:style>
  <w:style w:type="paragraph" w:customStyle="1" w:styleId="86">
    <w:name w:val="font5"/>
    <w:basedOn w:val="0"/>
    <w:pPr>
      <w:widowControl/>
      <w:spacing w:before="100" w:beforeAutospacing="1" w:after="100" w:afterAutospacing="1"/>
      <w:jc w:val="left"/>
    </w:pPr>
    <w:rPr>
      <w:rFonts w:ascii="等线" w:eastAsia="等线" w:cs="宋体" w:hAnsi="等线"/>
      <w:kern w:val="0"/>
      <w:sz w:val="18"/>
      <w:szCs w:val="18"/>
    </w:rPr>
  </w:style>
  <w:style w:type="paragraph" w:customStyle="1" w:styleId="87">
    <w:name w:val="xl65"/>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cs="宋体" w:hAnsi="宋体"/>
      <w:b/>
      <w:bCs/>
      <w:color w:val="000000"/>
      <w:kern w:val="0"/>
      <w:sz w:val="24"/>
      <w:szCs w:val="24"/>
    </w:rPr>
  </w:style>
  <w:style w:type="paragraph" w:customStyle="1" w:styleId="88">
    <w:name w:val="xl66"/>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hAnsi="宋体"/>
      <w:b/>
      <w:bCs/>
      <w:color w:val="000000"/>
      <w:kern w:val="0"/>
      <w:sz w:val="24"/>
      <w:szCs w:val="24"/>
    </w:rPr>
  </w:style>
  <w:style w:type="paragraph" w:customStyle="1" w:styleId="89">
    <w:name w:val="xl67"/>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cs="宋体" w:hAnsi="宋体"/>
      <w:color w:val="000000"/>
      <w:kern w:val="0"/>
      <w:sz w:val="20"/>
      <w:szCs w:val="20"/>
    </w:rPr>
  </w:style>
  <w:style w:type="paragraph" w:customStyle="1" w:styleId="90">
    <w:name w:val="xl68"/>
    <w:basedOn w:val="0"/>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宋体" w:cs="宋体" w:hAnsi="宋体"/>
      <w:color w:val="000000"/>
      <w:kern w:val="0"/>
      <w:sz w:val="20"/>
      <w:szCs w:val="20"/>
    </w:rPr>
  </w:style>
  <w:style w:type="paragraph" w:customStyle="1" w:styleId="91">
    <w:name w:val="xl69"/>
    <w:basedOn w:val="0"/>
    <w:pPr>
      <w:widowControl/>
      <w:spacing w:before="100" w:beforeAutospacing="1" w:after="100" w:afterAutospacing="1"/>
      <w:jc w:val="left"/>
    </w:pPr>
    <w:rPr>
      <w:rFonts w:ascii="宋体" w:cs="宋体" w:hAnsi="宋体"/>
      <w:kern w:val="0"/>
      <w:sz w:val="24"/>
      <w:szCs w:val="24"/>
    </w:rPr>
  </w:style>
  <w:style w:type="paragraph" w:customStyle="1" w:styleId="92">
    <w:name w:val="xl70"/>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hAnsi="宋体"/>
      <w:color w:val="000000"/>
      <w:kern w:val="0"/>
      <w:sz w:val="20"/>
      <w:szCs w:val="20"/>
    </w:rPr>
  </w:style>
  <w:style w:type="paragraph" w:customStyle="1" w:styleId="93">
    <w:name w:val="xl71"/>
    <w:basedOn w:val="0"/>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left"/>
      <w:textAlignment w:val="center"/>
    </w:pPr>
    <w:rPr>
      <w:rFonts w:ascii="宋体" w:cs="宋体" w:hAnsi="宋体"/>
      <w:color w:val="000000"/>
      <w:kern w:val="0"/>
      <w:sz w:val="20"/>
      <w:szCs w:val="20"/>
    </w:rPr>
  </w:style>
  <w:style w:type="paragraph" w:customStyle="1" w:styleId="94">
    <w:name w:val="xl72"/>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hAnsi="宋体"/>
      <w:kern w:val="0"/>
      <w:sz w:val="20"/>
      <w:szCs w:val="20"/>
    </w:rPr>
  </w:style>
  <w:style w:type="paragraph" w:customStyle="1" w:styleId="95">
    <w:name w:val="xl73"/>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cs="宋体" w:hAnsi="宋体"/>
      <w:kern w:val="0"/>
      <w:sz w:val="24"/>
      <w:szCs w:val="24"/>
    </w:rPr>
  </w:style>
  <w:style w:type="paragraph" w:customStyle="1" w:styleId="96">
    <w:name w:val="xl74"/>
    <w:basedOn w:val="0"/>
    <w:pPr>
      <w:widowControl/>
      <w:spacing w:before="100" w:beforeAutospacing="1" w:after="100" w:afterAutospacing="1"/>
      <w:jc w:val="left"/>
      <w:textAlignment w:val="center"/>
    </w:pPr>
    <w:rPr>
      <w:rFonts w:ascii="宋体" w:cs="宋体" w:hAnsi="宋体"/>
      <w:kern w:val="0"/>
      <w:sz w:val="24"/>
      <w:szCs w:val="24"/>
    </w:rPr>
  </w:style>
  <w:style w:type="paragraph" w:customStyle="1" w:styleId="97">
    <w:name w:val="xl75"/>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hAnsi="宋体"/>
      <w:kern w:val="0"/>
      <w:sz w:val="24"/>
      <w:szCs w:val="24"/>
    </w:rPr>
  </w:style>
  <w:style w:type="paragraph" w:customStyle="1" w:styleId="98">
    <w:name w:val="xl76"/>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hAnsi="宋体"/>
      <w:kern w:val="0"/>
      <w:sz w:val="20"/>
      <w:szCs w:val="20"/>
    </w:rPr>
  </w:style>
  <w:style w:type="paragraph" w:customStyle="1" w:styleId="99">
    <w:name w:val="xl77"/>
    <w:basedOn w:val="0"/>
    <w:pPr>
      <w:widowControl/>
      <w:spacing w:before="100" w:beforeAutospacing="1" w:after="100" w:afterAutospacing="1"/>
      <w:jc w:val="left"/>
      <w:textAlignment w:val="center"/>
    </w:pPr>
    <w:rPr>
      <w:rFonts w:ascii="宋体" w:cs="宋体" w:hAnsi="宋体"/>
      <w:kern w:val="0"/>
      <w:sz w:val="24"/>
      <w:szCs w:val="24"/>
    </w:rPr>
  </w:style>
  <w:style w:type="paragraph" w:customStyle="1" w:styleId="100">
    <w:name w:val="xl78"/>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hAnsi="宋体"/>
      <w:kern w:val="0"/>
      <w:sz w:val="24"/>
      <w:szCs w:val="24"/>
    </w:rPr>
  </w:style>
  <w:style w:type="paragraph" w:customStyle="1" w:styleId="101">
    <w:name w:val="xl79"/>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hAnsi="宋体"/>
      <w:kern w:val="0"/>
      <w:sz w:val="20"/>
      <w:szCs w:val="20"/>
    </w:rPr>
  </w:style>
  <w:style w:type="paragraph" w:customStyle="1" w:styleId="102">
    <w:name w:val="xl80"/>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cs="宋体" w:hAnsi="宋体"/>
      <w:kern w:val="0"/>
      <w:sz w:val="20"/>
      <w:szCs w:val="20"/>
    </w:rPr>
  </w:style>
  <w:style w:type="paragraph" w:customStyle="1" w:styleId="103">
    <w:name w:val="xl81"/>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cs="宋体" w:hAnsi="宋体"/>
      <w:kern w:val="0"/>
      <w:sz w:val="24"/>
      <w:szCs w:val="24"/>
    </w:rPr>
  </w:style>
  <w:style w:type="paragraph" w:customStyle="1" w:styleId="104">
    <w:name w:val="xl33"/>
    <w:basedOn w:val="0"/>
    <w:pPr>
      <w:widowControl/>
      <w:pBdr>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pPr>
    <w:rPr>
      <w:rFonts w:ascii="楷体_GB2312" w:eastAsia="楷体_GB2312" w:hAnsi="宋体"/>
      <w:kern w:val="0"/>
      <w:sz w:val="24"/>
      <w:szCs w:val="24"/>
    </w:rPr>
  </w:style>
  <w:style w:type="paragraph" w:customStyle="1" w:styleId="196">
    <w:name w:val="样式 小四"/>
    <w:basedOn w:val="0"/>
    <w:pPr>
      <w:keepNext/>
      <w:keepLines/>
      <w:widowControl/>
      <w:adjustRightInd w:val="0"/>
      <w:snapToGrid w:val="0"/>
      <w:spacing w:beforeLines="50" w:before="50" w:afterLines="30" w:after="30" w:line="360" w:lineRule="auto"/>
      <w:ind w:left="720" w:hanging="720"/>
      <w:jc w:val="left"/>
      <w:outlineLvl w:val="1"/>
    </w:pPr>
    <w:rPr>
      <w:rFonts w:ascii="宋体" w:eastAsia="宋体" w:cs="宋体" w:hAnsi="宋体"/>
      <w:b/>
      <w:kern w:val="2"/>
      <w:sz w:val="24"/>
      <w:szCs w:val="24"/>
      <w:lang w:val="en-US" w:eastAsia="zh-CN" w:bidi="ar-SA"/>
    </w:rPr>
  </w:style>
  <w:style w:type="paragraph" w:customStyle="1" w:styleId="197">
    <w:name w:val="样式 1 小四"/>
    <w:basedOn w:val="0"/>
    <w:pPr>
      <w:keepNext/>
      <w:keepLines/>
      <w:widowControl/>
      <w:adjustRightInd w:val="0"/>
      <w:snapToGrid w:val="0"/>
      <w:spacing w:beforeLines="50" w:before="50" w:afterLines="30" w:after="30" w:line="360" w:lineRule="auto"/>
      <w:ind w:left="720" w:hanging="720"/>
      <w:jc w:val="left"/>
      <w:outlineLvl w:val="1"/>
    </w:pPr>
    <w:rPr>
      <w:rFonts w:ascii="宋体" w:eastAsia="宋体" w:cs="宋体" w:hAnsi="宋体"/>
      <w:b/>
      <w:kern w:val="2"/>
      <w:sz w:val="24"/>
      <w:szCs w:val="24"/>
      <w:lang w:val="en-US" w:eastAsia="zh-CN" w:bidi="ar-SA"/>
    </w:rPr>
  </w:style>
  <w:style w:type="paragraph" w:customStyle="1" w:styleId="198">
    <w:name w:val="样式 2 小四"/>
    <w:rPr>
      <w:rFonts w:ascii="Times New Roman" w:eastAsia="SimSun" w:cs="Times New Roman" w:hAnsi="Times New Roman"/>
      <w:sz w:val="24"/>
      <w:szCs w:val="24"/>
      <w:lang w:val="en-US"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AE369FBA-CDFB-44B3-B1BB-6A09350015CE}">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109</TotalTime>
  <Application>Yozo_Office27021597764231179</Application>
  <Pages>5</Pages>
  <Words>0</Words>
  <Characters>2842</Characters>
  <Lines>0</Lines>
  <Paragraphs>68</Paragraphs>
  <CharactersWithSpaces>3790</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stone</dc:creator>
  <cp:lastModifiedBy>user</cp:lastModifiedBy>
  <cp:revision>18</cp:revision>
  <cp:lastPrinted>2025-12-02T05:27:59Z</cp:lastPrinted>
  <dcterms:created xsi:type="dcterms:W3CDTF">2023-01-08T06:09:00Z</dcterms:created>
  <dcterms:modified xsi:type="dcterms:W3CDTF">2025-12-02T06:53:21Z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C4946EBB6BB048C095180696CEACF548</vt:lpwstr>
  </property>
  <property fmtid="{D5CDD505-2E9C-101B-9397-08002B2CF9AE}" pid="4" name="KSOTemplateDocerSaveRecord">
    <vt:lpwstr>eyJoZGlkIjoiMmEyOTg2MDY2ODNkYTU0NDNiYjYzNzJhMTcyMWQzNDMiLCJ1c2VySWQiOiIzMjQ1ODkzMjUifQ==</vt:lpwstr>
  </property>
</Properties>
</file>