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widowControl/>
        <w:spacing w:beforeAutospacing="0" w:afterAutospacing="0" w:line="560" w:lineRule="exact"/>
        <w:jc w:val="center"/>
        <w:rPr>
          <w:rFonts w:ascii="方正小标宋_GBK" w:eastAsia="方正小标宋_GBK" w:cs="方正小标宋_GBK" w:hAnsi="方正小标宋_GBK" w:hint="eastAsia"/>
          <w:b/>
          <w:kern w:val="0"/>
          <w:sz w:val="44"/>
          <w:szCs w:val="44"/>
        </w:rPr>
      </w:pPr>
      <w:r>
        <w:rPr>
          <w:rFonts w:ascii="方正小标宋_GBK" w:eastAsia="方正小标宋_GBK" w:cs="方正小标宋_GBK" w:hAnsi="方正小标宋_GBK" w:hint="eastAsia"/>
          <w:b/>
          <w:kern w:val="0"/>
          <w:sz w:val="44"/>
          <w:szCs w:val="44"/>
        </w:rPr>
        <w:t>大连海关智能算力租赁服务项目采购要求</w:t>
      </w:r>
    </w:p>
    <w:p>
      <w:pPr>
        <w:widowControl/>
        <w:spacing w:beforeAutospacing="0" w:afterAutospacing="0" w:line="560" w:lineRule="exact"/>
        <w:ind w:firstLineChars="200" w:firstLine="560"/>
        <w:jc w:val="left"/>
        <w:rPr>
          <w:rFonts w:ascii="Times New Roman" w:eastAsia="方正仿宋_GBK" w:cs="方正仿宋_GBK" w:hAnsi="Times New Roman"/>
          <w:b/>
          <w:kern w:val="0"/>
          <w:sz w:val="28"/>
          <w:szCs w:val="28"/>
        </w:rPr>
      </w:pPr>
    </w:p>
    <w:p>
      <w:pPr>
        <w:widowControl/>
        <w:spacing w:beforeAutospacing="0" w:afterAutospacing="0" w:line="560" w:lineRule="exact"/>
        <w:ind w:left="0" w:firstLineChars="200" w:firstLine="640"/>
        <w:jc w:val="left"/>
        <w:rPr>
          <w:rFonts w:ascii="方正黑体_GBK" w:eastAsia="方正黑体_GBK" w:cs="方正黑体_GBK" w:hAnsi="方正黑体_GBK" w:hint="eastAsia"/>
          <w:kern w:val="0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kern w:val="0"/>
          <w:sz w:val="32"/>
          <w:szCs w:val="32"/>
        </w:rPr>
        <w:t>一、项目背景</w:t>
      </w:r>
    </w:p>
    <w:p>
      <w:pPr>
        <w:pStyle w:val="45"/>
        <w:spacing w:before="0" w:after="0" w:line="560" w:lineRule="exact"/>
        <w:ind w:left="0" w:firstLineChars="200" w:firstLine="640"/>
        <w:jc w:val="both"/>
        <w:rPr>
          <w:rFonts w:ascii="Times New Roman" w:eastAsia="方正仿宋_GBK" w:cs="方正仿宋_GBK" w:hAnsi="Times New Roman" w:hint="eastAsia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方正仿宋_GBK" w:hAnsi="Times New Roman" w:hint="eastAsia"/>
          <w:color w:val="auto"/>
          <w:sz w:val="32"/>
          <w:szCs w:val="32"/>
          <w:vertAlign w:val="baseline"/>
        </w:rPr>
        <w:t>为快人工智能等数智技术创新，强化算力、算法、数据等高效供给，推动人工智能与各行业深度融合以培育新质生产力。加快智慧海关“总装集成”与业务模式系统重构，全面推进海关工作现代化。</w:t>
      </w:r>
    </w:p>
    <w:p>
      <w:pPr>
        <w:pStyle w:val="45"/>
        <w:spacing w:before="0" w:after="0" w:line="560" w:lineRule="exact"/>
        <w:ind w:left="0" w:firstLineChars="200" w:firstLine="640"/>
        <w:jc w:val="both"/>
        <w:rPr>
          <w:rFonts w:ascii="方正黑体_GBK" w:eastAsia="方正黑体_GBK" w:cs="方正黑体_GBK" w:hAnsi="方正黑体_GBK" w:hint="eastAsia"/>
          <w:color w:val="auto"/>
          <w:sz w:val="32"/>
          <w:szCs w:val="32"/>
          <w:vertAlign w:val="baseline"/>
        </w:rPr>
      </w:pPr>
      <w:r>
        <w:rPr>
          <w:rFonts w:ascii="方正黑体_GBK" w:eastAsia="方正黑体_GBK" w:cs="方正黑体_GBK" w:hAnsi="方正黑体_GBK" w:hint="eastAsia"/>
          <w:color w:val="auto"/>
          <w:sz w:val="32"/>
          <w:szCs w:val="32"/>
          <w:vertAlign w:val="baseline"/>
        </w:rPr>
        <w:t>二、项目实现目标</w:t>
      </w:r>
    </w:p>
    <w:p>
      <w:pPr>
        <w:pStyle w:val="45"/>
        <w:spacing w:before="0" w:after="0" w:line="560" w:lineRule="exact"/>
        <w:ind w:left="0" w:firstLineChars="200" w:firstLine="640"/>
        <w:jc w:val="both"/>
        <w:rPr>
          <w:rFonts w:ascii="Times New Roman" w:eastAsia="方正仿宋_GBK" w:cs="方正仿宋_GBK" w:hAnsi="Times New Roman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方正仿宋_GBK" w:hAnsi="Times New Roman" w:hint="eastAsia"/>
          <w:color w:val="auto"/>
          <w:sz w:val="32"/>
          <w:szCs w:val="32"/>
          <w:vertAlign w:val="baseline"/>
        </w:rPr>
        <w:t>推进国产智能算力群集建设，进一步探索人工智能技术在大连海关业务场景的实战应用，提升相关工作质效，需要</w:t>
      </w:r>
      <w:r>
        <w:rPr>
          <w:rFonts w:ascii="Times New Roman" w:eastAsia="方正仿宋_GBK" w:cs="方正仿宋_GBK" w:hAnsi="Times New Roman"/>
          <w:color w:val="auto"/>
          <w:sz w:val="32"/>
          <w:szCs w:val="32"/>
          <w:vertAlign w:val="baseline"/>
        </w:rPr>
        <w:t>租赁</w:t>
      </w:r>
      <w:r>
        <w:rPr>
          <w:rFonts w:ascii="Times New Roman" w:eastAsia="方正仿宋_GBK" w:cs="方正仿宋_GBK" w:hAnsi="Times New Roman" w:hint="eastAsia"/>
          <w:color w:val="auto"/>
          <w:sz w:val="32"/>
          <w:szCs w:val="32"/>
          <w:vertAlign w:val="baseline"/>
        </w:rPr>
        <w:t>1台可以满足智能算力需求的8卡512G显存一体机</w:t>
      </w:r>
      <w:r>
        <w:rPr>
          <w:rFonts w:ascii="Times New Roman" w:eastAsia="方正仿宋_GBK" w:cs="方正仿宋_GBK" w:hAnsi="Times New Roman"/>
          <w:color w:val="auto"/>
          <w:sz w:val="32"/>
          <w:szCs w:val="32"/>
          <w:vertAlign w:val="baseline"/>
        </w:rPr>
        <w:t>并附带管理平台</w:t>
      </w:r>
      <w:r>
        <w:rPr>
          <w:rFonts w:ascii="Times New Roman" w:eastAsia="方正仿宋_GBK" w:cs="方正仿宋_GBK" w:hAnsi="Times New Roman" w:hint="eastAsia"/>
          <w:color w:val="auto"/>
          <w:sz w:val="32"/>
          <w:szCs w:val="32"/>
          <w:vertAlign w:val="baseline"/>
        </w:rPr>
        <w:t>。</w:t>
      </w:r>
      <w:bookmarkStart w:id="0" w:name="_Toc171503229"/>
      <w:bookmarkStart w:id="1" w:name="_Toc24886"/>
      <w:bookmarkStart w:id="2" w:name="_Toc25837"/>
      <w:bookmarkStart w:id="3" w:name="_Toc58177607"/>
      <w:bookmarkStart w:id="4" w:name="_Toc58177604"/>
      <w:r>
        <w:rPr>
          <w:rFonts w:ascii="Times New Roman" w:eastAsia="方正仿宋_GBK" w:cs="方正仿宋_GBK" w:hAnsi="Times New Roman"/>
          <w:color w:val="auto"/>
          <w:sz w:val="32"/>
          <w:szCs w:val="32"/>
          <w:vertAlign w:val="baseline"/>
        </w:rPr>
        <w:t>租赁期一年，并提供甲方指定场所本地化部署服务。</w:t>
      </w:r>
    </w:p>
    <w:p>
      <w:pPr>
        <w:pStyle w:val="45"/>
        <w:spacing w:before="0" w:after="0" w:line="560" w:lineRule="exact"/>
        <w:ind w:left="0" w:firstLineChars="200" w:firstLine="640"/>
        <w:jc w:val="both"/>
        <w:rPr>
          <w:rFonts w:ascii="方正黑体_GBK" w:eastAsia="方正黑体_GBK" w:cs="方正黑体_GBK" w:hAnsi="方正黑体_GBK" w:hint="eastAsia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三、报送内容（不限于以下内容）</w:t>
      </w:r>
    </w:p>
    <w:p>
      <w:pPr>
        <w:pStyle w:val="4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Autospacing="0" w:afterAutospacing="0" w:line="560" w:lineRule="exact"/>
        <w:ind w:left="0" w:firstLineChars="203" w:firstLine="650"/>
        <w:jc w:val="left"/>
        <w:rPr>
          <w:rFonts w:ascii="Times New Roman" w:eastAsia="方正仿宋_GBK" w:cs="方正仿宋_GBK" w:hAnsi="Times New Roman" w:hint="eastAsia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（一）供应商营业执照复印件一份、法人身份证明复印件一份；</w:t>
      </w:r>
    </w:p>
    <w:p>
      <w:pPr>
        <w:pStyle w:val="4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Autospacing="0" w:afterAutospacing="0" w:line="560" w:lineRule="exact"/>
        <w:ind w:left="0" w:firstLineChars="203" w:firstLine="650"/>
        <w:jc w:val="left"/>
        <w:rPr>
          <w:rFonts w:ascii="Times New Roman" w:eastAsia="方正仿宋_GBK" w:cs="方正仿宋_GBK" w:hAnsi="Times New Roman" w:hint="eastAsia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（二）为了本次项目安全顺利进行，“★”号项必须满足要求；</w:t>
      </w:r>
    </w:p>
    <w:p>
      <w:pPr>
        <w:pStyle w:val="4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Autospacing="0" w:afterAutospacing="0" w:line="560" w:lineRule="exact"/>
        <w:ind w:left="0" w:firstLineChars="203" w:firstLine="650"/>
        <w:jc w:val="left"/>
        <w:rPr>
          <w:rFonts w:ascii="Times New Roman" w:eastAsia="方正仿宋_GBK" w:cs="方正仿宋_GBK" w:hAnsi="Times New Roman" w:hint="eastAsia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（三）提供本项目的</w:t>
      </w:r>
      <w:r>
        <w:rPr>
          <w:rFonts w:ascii="Times New Roman" w:eastAsia="方正仿宋_GBK" w:cs="方正仿宋_GBK" w:hAnsi="Times New Roman"/>
          <w:sz w:val="32"/>
          <w:szCs w:val="32"/>
        </w:rPr>
        <w:t>本地化部署</w:t>
      </w:r>
      <w:r>
        <w:rPr>
          <w:rFonts w:ascii="Times New Roman" w:eastAsia="方正仿宋_GBK" w:cs="方正仿宋_GBK" w:hAnsi="Times New Roman" w:hint="eastAsia"/>
          <w:sz w:val="32"/>
          <w:szCs w:val="32"/>
        </w:rPr>
        <w:t>实施方案、技术需求的印证材料、培训和售后方案；</w:t>
      </w:r>
    </w:p>
    <w:p>
      <w:pPr>
        <w:pStyle w:val="4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Autospacing="0" w:afterAutospacing="0" w:line="560" w:lineRule="exact"/>
        <w:ind w:left="0" w:firstLineChars="203" w:firstLine="650"/>
        <w:jc w:val="left"/>
        <w:rPr>
          <w:rFonts w:ascii="Times New Roman" w:eastAsia="方正仿宋_GBK" w:cs="方正仿宋_GBK" w:hAnsi="Times New Roman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（四）三年内在经营活动中没有重大违法记录的书面证明（须有“信用中国”或“中国政府采购网”等机构查询记录）；</w:t>
      </w:r>
    </w:p>
    <w:p>
      <w:pPr>
        <w:pStyle w:val="4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Autospacing="0" w:afterAutospacing="0" w:line="560" w:lineRule="exact"/>
        <w:ind w:left="0" w:firstLineChars="203" w:firstLine="650"/>
        <w:jc w:val="left"/>
        <w:rPr>
          <w:rFonts w:ascii="Times New Roman" w:eastAsia="方正仿宋_GBK" w:cs="方正仿宋_GBK" w:hAnsi="Times New Roman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（</w:t>
      </w:r>
      <w:r>
        <w:rPr>
          <w:rFonts w:ascii="Times New Roman" w:eastAsia="方正仿宋_GBK" w:cs="方正仿宋_GBK" w:hAnsi="Times New Roman"/>
          <w:sz w:val="32"/>
          <w:szCs w:val="32"/>
        </w:rPr>
        <w:t>五</w:t>
      </w:r>
      <w:r>
        <w:rPr>
          <w:rFonts w:ascii="Times New Roman" w:eastAsia="方正仿宋_GBK" w:cs="方正仿宋_GBK" w:hAnsi="Times New Roman" w:hint="eastAsia"/>
          <w:sz w:val="32"/>
          <w:szCs w:val="32"/>
        </w:rPr>
        <w:t>）报价单。报价超过预算金额的，报价无效；</w:t>
      </w:r>
    </w:p>
    <w:p>
      <w:pPr>
        <w:pStyle w:val="4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Autospacing="0" w:afterAutospacing="0" w:line="560" w:lineRule="exact"/>
        <w:ind w:left="0" w:firstLineChars="203" w:firstLine="650"/>
        <w:jc w:val="left"/>
        <w:rPr>
          <w:rFonts w:ascii="Times New Roman" w:eastAsia="方正仿宋_GBK" w:cs="方正仿宋_GBK" w:hAnsi="Times New Roman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（</w:t>
      </w:r>
      <w:r>
        <w:rPr>
          <w:rFonts w:ascii="Times New Roman" w:eastAsia="方正仿宋_GBK" w:cs="方正仿宋_GBK" w:hAnsi="Times New Roman"/>
          <w:sz w:val="32"/>
          <w:szCs w:val="32"/>
        </w:rPr>
        <w:t>六</w:t>
      </w:r>
      <w:r>
        <w:rPr>
          <w:rFonts w:ascii="Times New Roman" w:eastAsia="方正仿宋_GBK" w:cs="方正仿宋_GBK" w:hAnsi="Times New Roman" w:hint="eastAsia"/>
          <w:sz w:val="32"/>
          <w:szCs w:val="32"/>
        </w:rPr>
        <w:t>）以上材料每页都要加盖公章并全部密封于档案袋内，且档案袋需要用封条密封、加盖公章并标注“项目名称”及“项目编号”。</w:t>
      </w:r>
    </w:p>
    <w:p>
      <w:pPr>
        <w:pStyle w:val="4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Autospacing="0" w:afterAutospacing="0" w:line="560" w:lineRule="exact"/>
        <w:ind w:left="0" w:firstLineChars="200" w:firstLine="640"/>
        <w:jc w:val="left"/>
        <w:rPr>
          <w:rFonts w:ascii="方正黑体_GBK" w:eastAsia="方正黑体_GBK" w:cs="方正黑体_GBK" w:hAnsi="方正黑体_GBK"/>
          <w:b/>
          <w:sz w:val="32"/>
          <w:szCs w:val="32"/>
          <w:lang w:eastAsia="zh-CN"/>
        </w:rPr>
      </w:pPr>
      <w:r>
        <w:rPr>
          <w:rFonts w:ascii="方正黑体_GBK" w:eastAsia="方正黑体_GBK" w:cs="方正黑体_GBK" w:hAnsi="方正黑体_GBK" w:hint="eastAsia"/>
          <w:b/>
          <w:sz w:val="32"/>
          <w:szCs w:val="32"/>
        </w:rPr>
        <w:t>四、技术</w:t>
      </w:r>
      <w:bookmarkEnd w:id="0"/>
      <w:bookmarkEnd w:id="1"/>
      <w:r>
        <w:rPr>
          <w:rFonts w:ascii="方正黑体_GBK" w:eastAsia="方正黑体_GBK" w:cs="方正黑体_GBK" w:hAnsi="方正黑体_GBK" w:hint="eastAsia"/>
          <w:b/>
          <w:sz w:val="32"/>
          <w:szCs w:val="32"/>
          <w:lang w:eastAsia="zh-CN"/>
        </w:rPr>
        <w:t>参数要求</w:t>
      </w:r>
      <w:bookmarkEnd w:id="2"/>
      <w:bookmarkEnd w:id="3"/>
      <w:bookmarkEnd w:id="4"/>
    </w:p>
    <w:p>
      <w:pPr>
        <w:pStyle w:val="4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Autospacing="0" w:afterAutospacing="0" w:line="560" w:lineRule="exact"/>
        <w:ind w:left="0" w:firstLineChars="200" w:firstLine="640"/>
        <w:jc w:val="left"/>
        <w:rPr>
          <w:rFonts w:ascii="方正黑体_GBK" w:eastAsia="方正黑体_GBK" w:cs="方正黑体_GBK" w:hAnsi="方正黑体_GBK" w:hint="eastAsia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b/>
          <w:sz w:val="32"/>
          <w:szCs w:val="32"/>
          <w:lang w:eastAsia="zh-CN"/>
        </w:rPr>
        <w:t>注：以下主要技术参数中，凡是需要提供证明材料（不包括承诺函）的，均须加盖投标人和对应品目产品制造商公章。证明材料要求是产品文档的，仅限于以下材料之一：1）产品</w:t>
      </w:r>
      <w:r>
        <w:rPr>
          <w:rFonts w:ascii="Times New Roman" w:eastAsia="方正仿宋_GBK" w:cs="方正仿宋_GBK" w:hAnsi="Times New Roman"/>
          <w:b/>
          <w:sz w:val="32"/>
          <w:szCs w:val="32"/>
          <w:lang w:eastAsia="zh-CN"/>
        </w:rPr>
        <w:t>文档</w:t>
      </w:r>
      <w:r>
        <w:rPr>
          <w:rFonts w:ascii="Times New Roman" w:eastAsia="方正仿宋_GBK" w:cs="方正仿宋_GBK" w:hAnsi="Times New Roman" w:hint="eastAsia"/>
          <w:b/>
          <w:sz w:val="32"/>
          <w:szCs w:val="32"/>
          <w:lang w:eastAsia="zh-CN"/>
        </w:rPr>
        <w:t>截图；2）官网截图及链接；3）产品界面截图；</w:t>
      </w:r>
      <w:r>
        <w:rPr>
          <w:rFonts w:ascii="Times New Roman" w:eastAsia="方正仿宋_GBK" w:cs="方正仿宋_GBK" w:hAnsi="Times New Roman"/>
          <w:b/>
          <w:sz w:val="32"/>
          <w:szCs w:val="32"/>
          <w:lang w:eastAsia="zh-CN"/>
        </w:rPr>
        <w:t>4</w:t>
      </w:r>
      <w:r>
        <w:rPr>
          <w:rFonts w:ascii="Times New Roman" w:eastAsia="方正仿宋_GBK" w:cs="方正仿宋_GBK" w:hAnsi="Times New Roman" w:hint="eastAsia"/>
          <w:b/>
          <w:sz w:val="32"/>
          <w:szCs w:val="32"/>
          <w:lang w:eastAsia="zh-CN"/>
        </w:rPr>
        <w:t>）权威第三方机构证书或报告。投标人按要求提供材料并盖章的，视为按要求提供，否则评审委员会将不予认可并不予相应分数</w:t>
      </w:r>
      <w:r>
        <w:rPr>
          <w:rFonts w:ascii="Times New Roman" w:eastAsia="方正仿宋_GBK" w:cs="方正仿宋_GBK" w:hAnsi="Times New Roman"/>
          <w:b/>
          <w:sz w:val="32"/>
          <w:szCs w:val="32"/>
          <w:lang w:eastAsia="zh-CN"/>
        </w:rPr>
        <w:t>；</w:t>
      </w:r>
      <w:bookmarkStart w:id="5" w:name="_GoBack"/>
      <w:bookmarkEnd w:id="5"/>
      <w:r>
        <w:rPr>
          <w:rFonts w:ascii="Times New Roman" w:eastAsia="方正仿宋_GBK" w:cs="方正仿宋_GBK" w:hAnsi="Times New Roman"/>
          <w:b/>
          <w:sz w:val="32"/>
          <w:szCs w:val="32"/>
          <w:lang w:eastAsia="zh-CN"/>
        </w:rPr>
        <w:t>5）本项目采用软硬件本地化部署，不适用公有云服务。</w:t>
      </w:r>
    </w:p>
    <w:p>
      <w:pPr>
        <w:spacing w:beforeAutospacing="0" w:afterAutospacing="0" w:line="560" w:lineRule="exact"/>
        <w:ind w:firstLineChars="200" w:firstLine="640"/>
        <w:jc w:val="both"/>
        <w:rPr>
          <w:rFonts w:ascii="Times New Roman" w:eastAsia="方正仿宋_GBK" w:cs="方正仿宋_GBK" w:hAnsi="Times New Roman" w:hint="eastAsia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★投标人所投的软硬件平台应为技术可控产品</w:t>
      </w:r>
      <w:r>
        <w:rPr>
          <w:rFonts w:ascii="Times New Roman" w:eastAsia="方正仿宋_GBK" w:cs="方正仿宋_GBK" w:hAnsi="Times New Roman"/>
          <w:sz w:val="32"/>
          <w:szCs w:val="32"/>
        </w:rPr>
        <w:t>。</w:t>
      </w:r>
    </w:p>
    <w:p>
      <w:pPr>
        <w:spacing w:beforeAutospacing="0" w:afterAutospacing="0" w:line="560" w:lineRule="exact"/>
        <w:ind w:left="0" w:firstLineChars="200" w:firstLine="640"/>
        <w:rPr>
          <w:rFonts w:ascii="Times New Roman" w:eastAsia="方正仿宋_GBK" w:cs="方正仿宋_GBK" w:hAnsi="Times New Roman" w:hint="eastAsia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★全栈国产化支持：国产芯片、国产操作系统、自主可控的中间件与容器运行时。</w:t>
      </w:r>
    </w:p>
    <w:p>
      <w:pPr>
        <w:spacing w:beforeAutospacing="0" w:afterAutospacing="0" w:line="560" w:lineRule="exact"/>
        <w:ind w:firstLineChars="200" w:firstLine="640"/>
        <w:jc w:val="both"/>
        <w:rPr>
          <w:rFonts w:ascii="方正楷体_GBK" w:eastAsia="方正楷体_GBK" w:cs="方正楷体_GBK" w:hAnsi="方正楷体_GBK" w:hint="eastAsia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★</w:t>
      </w:r>
      <w:r>
        <w:rPr>
          <w:rFonts w:ascii="方正楷体_GBK" w:eastAsia="方正楷体_GBK" w:cs="方正楷体_GBK" w:hAnsi="方正楷体_GBK" w:hint="eastAsia"/>
          <w:sz w:val="32"/>
          <w:szCs w:val="32"/>
        </w:rPr>
        <w:t>（一）服务器硬件配置要求</w:t>
      </w:r>
    </w:p>
    <w:p>
      <w:pPr>
        <w:spacing w:beforeAutospacing="0" w:afterAutospacing="0" w:line="560" w:lineRule="exact"/>
        <w:ind w:firstLineChars="200" w:firstLine="640"/>
        <w:jc w:val="both"/>
        <w:rPr>
          <w:rFonts w:ascii="Times New Roman" w:eastAsia="方正仿宋_GBK" w:cs="方正仿宋_GBK" w:hAnsi="Times New Roman" w:hint="eastAsia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CPU：国产化处理器，主频 ≥ 2.6GHz，核心数 ≥ 48 cores，处理器数量 ≥ 4 颗</w:t>
      </w:r>
    </w:p>
    <w:p>
      <w:pPr>
        <w:spacing w:beforeAutospacing="0" w:afterAutospacing="0" w:line="560" w:lineRule="exact"/>
        <w:ind w:firstLineChars="200" w:firstLine="640"/>
        <w:jc w:val="both"/>
        <w:rPr>
          <w:rFonts w:ascii="Times New Roman" w:eastAsia="方正仿宋_GBK" w:cs="方正仿宋_GBK" w:hAnsi="Times New Roman" w:hint="eastAsia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GPU：国产化显卡，数量 ≥ 8 卡，单卡显存 ≥ 64GB，单卡 FP16 算力 ≥ 280 TFLOPS</w:t>
      </w:r>
    </w:p>
    <w:p>
      <w:pPr>
        <w:spacing w:beforeAutospacing="0" w:afterAutospacing="0" w:line="560" w:lineRule="exact"/>
        <w:ind w:firstLineChars="200" w:firstLine="640"/>
        <w:jc w:val="both"/>
        <w:rPr>
          <w:rFonts w:ascii="Times New Roman" w:eastAsia="方正仿宋_GBK" w:cs="方正仿宋_GBK" w:hAnsi="Times New Roman" w:hint="eastAsia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内存：内存条数量 ≥ 32 条，单条容量 ≥ 32GB</w:t>
      </w:r>
    </w:p>
    <w:p>
      <w:pPr>
        <w:spacing w:beforeAutospacing="0" w:afterAutospacing="0" w:line="560" w:lineRule="exact"/>
        <w:ind w:firstLineChars="200" w:firstLine="640"/>
        <w:jc w:val="both"/>
        <w:rPr>
          <w:rFonts w:ascii="Times New Roman" w:eastAsia="方正仿宋_GBK" w:cs="方正仿宋_GBK" w:hAnsi="Times New Roman" w:hint="eastAsia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系统盘：SATA 接口，数量 ≥ 2 块，单块容量 ≥ 480GB</w:t>
      </w:r>
    </w:p>
    <w:p>
      <w:pPr>
        <w:spacing w:beforeAutospacing="0" w:afterAutospacing="0" w:line="560" w:lineRule="exact"/>
        <w:ind w:firstLineChars="200" w:firstLine="640"/>
        <w:jc w:val="both"/>
        <w:rPr>
          <w:rFonts w:ascii="Times New Roman" w:eastAsia="方正仿宋_GBK" w:cs="方正仿宋_GBK" w:hAnsi="Times New Roman" w:hint="eastAsia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数据盘：NVMe 接口，数量 ≥ 2 块，单块容量 ≥ 3.84TB</w:t>
      </w:r>
    </w:p>
    <w:p>
      <w:pPr>
        <w:spacing w:beforeAutospacing="0" w:afterAutospacing="0" w:line="560" w:lineRule="exact"/>
        <w:ind w:firstLineChars="200" w:firstLine="640"/>
        <w:jc w:val="both"/>
        <w:rPr>
          <w:rFonts w:ascii="Times New Roman" w:eastAsia="方正仿宋_GBK" w:cs="方正仿宋_GBK" w:hAnsi="Times New Roman" w:hint="eastAsia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网卡：10GE 网卡 ≥ 2 块，25GE 网卡 ≥ 4 块（需支持 RoCEv2），200GE 网卡 ≥ 8 块（需支持 RoCEv2）</w:t>
      </w:r>
    </w:p>
    <w:p>
      <w:pPr>
        <w:spacing w:beforeAutospacing="0" w:afterAutospacing="0" w:line="560" w:lineRule="exact"/>
        <w:ind w:firstLineChars="200" w:firstLine="640"/>
        <w:jc w:val="both"/>
        <w:rPr>
          <w:rFonts w:ascii="Times New Roman" w:eastAsia="方正仿宋_GBK" w:cs="方正仿宋_GBK" w:hAnsi="Times New Roman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★</w:t>
      </w:r>
      <w:r>
        <w:rPr>
          <w:rFonts w:ascii="方正楷体_GBK" w:eastAsia="方正楷体_GBK" w:cs="方正楷体_GBK" w:hAnsi="方正楷体_GBK" w:hint="eastAsia"/>
          <w:sz w:val="32"/>
          <w:szCs w:val="32"/>
        </w:rPr>
        <w:t>（二）模型推理服务和管理平台功能要求</w:t>
      </w:r>
    </w:p>
    <w:p>
      <w:pPr>
        <w:spacing w:beforeAutospacing="0" w:afterAutospacing="0" w:line="560" w:lineRule="exact"/>
        <w:ind w:firstLineChars="200" w:firstLine="640"/>
        <w:rPr>
          <w:rFonts w:ascii="Times New Roman" w:eastAsia="方正仿宋_GBK" w:cs="方正仿宋_GBK" w:hAnsi="Times New Roman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支持 Qwen、DeepSeek 系列大模型的一键推理部署，支持自研小模型部署运行</w:t>
      </w:r>
      <w:r>
        <w:rPr>
          <w:rFonts w:ascii="Times New Roman" w:eastAsia="方正仿宋_GBK" w:cs="方正仿宋_GBK" w:hAnsi="Times New Roman"/>
          <w:sz w:val="32"/>
          <w:szCs w:val="32"/>
        </w:rPr>
        <w:t>，</w:t>
      </w:r>
      <w:r>
        <w:rPr>
          <w:rFonts w:ascii="Times New Roman" w:eastAsia="方正仿宋_GBK" w:cs="方正仿宋_GBK" w:hAnsi="Times New Roman" w:hint="eastAsia"/>
          <w:sz w:val="32"/>
          <w:szCs w:val="32"/>
        </w:rPr>
        <w:t>提供推理服务实例的健康检查机制</w:t>
      </w:r>
      <w:r>
        <w:rPr>
          <w:rFonts w:ascii="Times New Roman" w:eastAsia="方正仿宋_GBK" w:cs="方正仿宋_GBK" w:hAnsi="Times New Roman"/>
          <w:sz w:val="32"/>
          <w:szCs w:val="32"/>
        </w:rPr>
        <w:t>，</w:t>
      </w:r>
      <w:r>
        <w:rPr>
          <w:rFonts w:ascii="Times New Roman" w:eastAsia="方正仿宋_GBK" w:cs="方正仿宋_GBK" w:hAnsi="Times New Roman" w:hint="eastAsia"/>
          <w:sz w:val="32"/>
          <w:szCs w:val="32"/>
        </w:rPr>
        <w:t>支持推理服务复制，可快速创建新的推理服务实例。</w:t>
      </w:r>
    </w:p>
    <w:p>
      <w:pPr>
        <w:spacing w:beforeAutospacing="0" w:afterAutospacing="0" w:line="560" w:lineRule="exact"/>
        <w:ind w:firstLineChars="200" w:firstLine="640"/>
        <w:rPr>
          <w:rFonts w:ascii="Times New Roman" w:eastAsia="方正仿宋_GBK" w:cs="方正仿宋_GBK" w:hAnsi="Times New Roman"/>
          <w:sz w:val="32"/>
          <w:szCs w:val="32"/>
        </w:rPr>
      </w:pPr>
      <w:r>
        <w:rPr>
          <w:rFonts w:ascii="Times New Roman" w:eastAsia="方正仿宋_GBK" w:cs="方正仿宋_GBK" w:hAnsi="Times New Roman"/>
          <w:sz w:val="32"/>
          <w:szCs w:val="32"/>
        </w:rPr>
        <w:t>1.</w:t>
      </w:r>
      <w:r>
        <w:rPr>
          <w:rFonts w:ascii="Times New Roman" w:eastAsia="方正仿宋_GBK" w:cs="方正仿宋_GBK" w:hAnsi="Times New Roman" w:hint="eastAsia"/>
          <w:sz w:val="32"/>
          <w:szCs w:val="32"/>
        </w:rPr>
        <w:t>智能体编排能力要求</w:t>
      </w:r>
    </w:p>
    <w:p>
      <w:pPr>
        <w:spacing w:beforeAutospacing="0" w:afterAutospacing="0" w:line="560" w:lineRule="exact"/>
        <w:ind w:firstLineChars="200" w:firstLine="640"/>
        <w:rPr>
          <w:rFonts w:ascii="Times New Roman" w:eastAsia="方正仿宋_GBK" w:cs="方正仿宋_GBK" w:hAnsi="Times New Roman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提供可视化编排界面，支持通过拖拽方式构建智能体，可配置内容包括：Prompt，插件，知识库，开场白与推荐问题，大模型及参数设置，智能体发布后可通过 API 调用，快速完成业务流程编排，支持对工作流进行调试、预览与发布，发布后可通过API调用。</w:t>
      </w:r>
    </w:p>
    <w:p>
      <w:pPr>
        <w:spacing w:beforeAutospacing="0" w:afterAutospacing="0" w:line="560" w:lineRule="exact"/>
        <w:ind w:firstLineChars="200" w:firstLine="640"/>
        <w:rPr>
          <w:rFonts w:ascii="Times New Roman" w:eastAsia="方正仿宋_GBK" w:cs="方正仿宋_GBK" w:hAnsi="Times New Roman" w:hint="eastAsia"/>
          <w:sz w:val="32"/>
          <w:szCs w:val="32"/>
        </w:rPr>
      </w:pPr>
      <w:r>
        <w:rPr>
          <w:rFonts w:ascii="Times New Roman" w:eastAsia="方正仿宋_GBK" w:cs="方正仿宋_GBK" w:hAnsi="Times New Roman"/>
          <w:sz w:val="32"/>
          <w:szCs w:val="32"/>
        </w:rPr>
        <w:t>2.</w:t>
      </w:r>
      <w:r>
        <w:rPr>
          <w:rFonts w:ascii="Times New Roman" w:eastAsia="方正仿宋_GBK" w:cs="方正仿宋_GBK" w:hAnsi="Times New Roman" w:hint="eastAsia"/>
          <w:sz w:val="32"/>
          <w:szCs w:val="32"/>
        </w:rPr>
        <w:t>知识库构建功能要求</w:t>
      </w:r>
    </w:p>
    <w:p>
      <w:pPr>
        <w:spacing w:beforeAutospacing="0" w:afterAutospacing="0" w:line="560" w:lineRule="exact"/>
        <w:ind w:firstLineChars="200" w:firstLine="640"/>
        <w:rPr>
          <w:rFonts w:ascii="Times New Roman" w:eastAsia="方正仿宋_GBK" w:cs="方正仿宋_GBK" w:hAnsi="Times New Roman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支持创建相互隔离、独立管理的知识库，并配置不同用户权限，支持以文件夹/目录形式批量上传文档，支持</w:t>
      </w:r>
      <w:r>
        <w:rPr>
          <w:rFonts w:ascii="Times New Roman" w:eastAsia="方正仿宋_GBK" w:cs="方正仿宋_GBK" w:hAnsi="Times New Roman"/>
          <w:sz w:val="32"/>
          <w:szCs w:val="32"/>
        </w:rPr>
        <w:t>不限于</w:t>
      </w:r>
      <w:r>
        <w:rPr>
          <w:rFonts w:ascii="Times New Roman" w:eastAsia="方正仿宋_GBK" w:cs="方正仿宋_GBK" w:hAnsi="Times New Roman" w:hint="eastAsia"/>
          <w:sz w:val="32"/>
          <w:szCs w:val="32"/>
        </w:rPr>
        <w:t>以下多种文件格式：文本类：.txt、.html、.htm、.json、.jsonl、.doc、.docx，表格类：.xls、.xlsx、.csv，演示文稿：.ppt、.pptx，图像类：.jpg、.jpeg、.png、.bmp、.gif、.pdf、.ofd，同时支持图片OCR文字识别</w:t>
      </w:r>
      <w:r>
        <w:rPr>
          <w:rFonts w:ascii="Times New Roman" w:eastAsia="方正仿宋_GBK" w:cs="方正仿宋_GBK" w:hAnsi="Times New Roman"/>
          <w:sz w:val="32"/>
          <w:szCs w:val="32"/>
        </w:rPr>
        <w:t>。</w:t>
      </w:r>
    </w:p>
    <w:p>
      <w:pPr>
        <w:spacing w:beforeAutospacing="0" w:afterAutospacing="0" w:line="560" w:lineRule="exact"/>
        <w:ind w:firstLineChars="200" w:firstLine="640"/>
        <w:rPr>
          <w:rFonts w:ascii="Times New Roman" w:eastAsia="方正仿宋_GBK" w:cs="方正仿宋_GBK" w:hAnsi="Times New Roman" w:hint="eastAsia"/>
          <w:sz w:val="32"/>
          <w:szCs w:val="32"/>
        </w:rPr>
      </w:pPr>
      <w:r>
        <w:rPr>
          <w:rFonts w:ascii="Times New Roman" w:eastAsia="方正仿宋_GBK" w:cs="方正仿宋_GBK" w:hAnsi="Times New Roman"/>
          <w:sz w:val="32"/>
          <w:szCs w:val="32"/>
        </w:rPr>
        <w:t>3.</w:t>
      </w:r>
      <w:r>
        <w:rPr>
          <w:rFonts w:ascii="Times New Roman" w:eastAsia="方正仿宋_GBK" w:cs="方正仿宋_GBK" w:hAnsi="Times New Roman" w:hint="eastAsia"/>
          <w:sz w:val="32"/>
          <w:szCs w:val="32"/>
        </w:rPr>
        <w:t>安全与日志审计要求</w:t>
      </w:r>
    </w:p>
    <w:p>
      <w:pPr>
        <w:spacing w:beforeAutospacing="0" w:afterAutospacing="0" w:line="560" w:lineRule="exact"/>
        <w:ind w:firstLineChars="200" w:firstLine="640"/>
        <w:rPr>
          <w:rFonts w:ascii="Times New Roman" w:eastAsia="方正仿宋_GBK" w:cs="方正仿宋_GBK" w:hAnsi="Times New Roman" w:hint="eastAsia"/>
          <w:sz w:val="32"/>
          <w:szCs w:val="32"/>
        </w:rPr>
      </w:pPr>
      <w:r>
        <w:rPr>
          <w:rFonts w:ascii="Times New Roman" w:eastAsia="方正仿宋_GBK" w:cs="方正仿宋_GBK" w:hAnsi="Times New Roman" w:hint="eastAsia"/>
          <w:sz w:val="32"/>
          <w:szCs w:val="32"/>
        </w:rPr>
        <w:t>控制台支持配置安全控制规则，平台需记录最少近</w:t>
      </w:r>
      <w:r>
        <w:rPr>
          <w:rFonts w:ascii="Times New Roman" w:eastAsia="方正仿宋_GBK" w:cs="方正仿宋_GBK" w:hAnsi="Times New Roman"/>
          <w:sz w:val="32"/>
          <w:szCs w:val="32"/>
        </w:rPr>
        <w:t>1</w:t>
      </w:r>
      <w:r>
        <w:rPr>
          <w:rFonts w:ascii="Times New Roman" w:eastAsia="方正仿宋_GBK" w:cs="方正仿宋_GBK" w:hAnsi="Times New Roman" w:hint="eastAsia"/>
          <w:sz w:val="32"/>
          <w:szCs w:val="32"/>
        </w:rPr>
        <w:t>个月内的模型调用安全日志，内容包括</w:t>
      </w:r>
      <w:r>
        <w:rPr>
          <w:rFonts w:ascii="Times New Roman" w:eastAsia="方正仿宋_GBK" w:cs="方正仿宋_GBK" w:hAnsi="Times New Roman"/>
          <w:sz w:val="32"/>
          <w:szCs w:val="32"/>
        </w:rPr>
        <w:t>但不限于</w:t>
      </w:r>
      <w:r>
        <w:rPr>
          <w:rFonts w:ascii="Times New Roman" w:eastAsia="方正仿宋_GBK" w:cs="方正仿宋_GBK" w:hAnsi="Times New Roman" w:hint="eastAsia"/>
          <w:sz w:val="32"/>
          <w:szCs w:val="32"/>
        </w:rPr>
        <w:t>：模型输出内容是否合规，是否触发安全防护机制，请求用户身份信息。</w:t>
      </w:r>
    </w:p>
    <w:p>
      <w:pPr>
        <w:pStyle w:val="48"/>
        <w:spacing w:beforeAutospacing="0" w:afterAutospacing="0" w:line="560" w:lineRule="exact"/>
        <w:ind w:firstLineChars="200" w:firstLine="640"/>
        <w:jc w:val="left"/>
        <w:rPr>
          <w:rFonts w:ascii="方正黑体_GBK" w:eastAsia="方正黑体_GBK" w:cs="方正黑体_GBK" w:hAnsi="方正黑体_GBK"/>
          <w:kern w:val="0"/>
          <w:sz w:val="32"/>
          <w:szCs w:val="32"/>
        </w:rPr>
      </w:pPr>
      <w:r>
        <w:rPr>
          <w:rFonts w:ascii="方正黑体_GBK" w:eastAsia="方正黑体_GBK" w:cs="方正黑体_GBK" w:hAnsi="方正黑体_GBK"/>
          <w:kern w:val="0"/>
          <w:sz w:val="32"/>
          <w:szCs w:val="32"/>
        </w:rPr>
        <w:t>五</w:t>
      </w:r>
      <w:r>
        <w:rPr>
          <w:rFonts w:ascii="方正黑体_GBK" w:eastAsia="方正黑体_GBK" w:cs="方正黑体_GBK" w:hAnsi="方正黑体_GBK" w:hint="eastAsia"/>
          <w:kern w:val="0"/>
          <w:sz w:val="32"/>
          <w:szCs w:val="32"/>
        </w:rPr>
        <w:t>、其他要求</w:t>
      </w:r>
    </w:p>
    <w:p>
      <w:pPr>
        <w:pStyle w:val="48"/>
        <w:spacing w:beforeAutospacing="0" w:afterAutospacing="0" w:line="560" w:lineRule="exact"/>
        <w:ind w:firstLineChars="200" w:firstLine="640"/>
        <w:jc w:val="left"/>
        <w:rPr>
          <w:rFonts w:ascii="Times New Roman" w:eastAsia="方正仿宋_GBK" w:cs="方正仿宋_GBK" w:hAnsi="Times New Roman"/>
          <w:kern w:val="0"/>
          <w:sz w:val="32"/>
          <w:szCs w:val="32"/>
        </w:rPr>
      </w:pPr>
      <w:r>
        <w:rPr>
          <w:rFonts w:ascii="Times New Roman" w:eastAsia="方正仿宋_GBK" w:cs="方正仿宋_GBK" w:hAnsi="Times New Roman"/>
          <w:kern w:val="0"/>
          <w:sz w:val="32"/>
          <w:szCs w:val="32"/>
        </w:rPr>
        <w:t>（一）提供产品技术运维文档。</w:t>
      </w:r>
    </w:p>
    <w:p>
      <w:pPr>
        <w:pStyle w:val="48"/>
        <w:spacing w:beforeAutospacing="0" w:afterAutospacing="0" w:line="560" w:lineRule="exact"/>
        <w:ind w:firstLineChars="200" w:firstLine="640"/>
        <w:jc w:val="left"/>
        <w:rPr>
          <w:rFonts w:ascii="Times New Roman" w:eastAsia="方正仿宋_GBK" w:cs="方正仿宋_GBK" w:hAnsi="Times New Roman" w:hint="eastAsia"/>
          <w:sz w:val="32"/>
          <w:szCs w:val="32"/>
        </w:rPr>
      </w:pPr>
      <w:r>
        <w:rPr>
          <w:rFonts w:ascii="Times New Roman" w:eastAsia="方正仿宋_GBK" w:cs="方正仿宋_GBK" w:hAnsi="Times New Roman"/>
          <w:kern w:val="0"/>
          <w:sz w:val="32"/>
          <w:szCs w:val="32"/>
        </w:rPr>
        <w:t>（二）质保期内提供二线技术支持。</w:t>
      </w:r>
    </w:p>
    <w:p>
      <w:pPr>
        <w:pStyle w:val="15"/>
        <w:tabs>
          <w:tab w:val="center" w:pos="4153"/>
          <w:tab w:val="right" w:pos="8306"/>
        </w:tabs>
        <w:spacing w:beforeAutospacing="0" w:afterAutospacing="0" w:line="560" w:lineRule="exact"/>
        <w:ind w:firstLineChars="200" w:firstLine="640"/>
        <w:rPr>
          <w:rFonts w:ascii="Times New Roman" w:eastAsia="方正仿宋_GBK" w:cs="方正仿宋_GBK" w:hAnsi="Times New Roman" w:hint="eastAsia"/>
          <w:kern w:val="0"/>
          <w:sz w:val="32"/>
          <w:szCs w:val="32"/>
        </w:rPr>
      </w:pPr>
      <w:r>
        <w:rPr>
          <w:rFonts w:ascii="Times New Roman" w:eastAsia="方正仿宋_GBK" w:cs="方正仿宋_GBK" w:hAnsi="Times New Roman"/>
          <w:kern w:val="0"/>
          <w:sz w:val="32"/>
          <w:szCs w:val="32"/>
        </w:rPr>
        <w:t>（三）</w:t>
      </w:r>
      <w:r>
        <w:rPr>
          <w:rFonts w:ascii="Times New Roman" w:eastAsia="方正仿宋_GBK" w:cs="方正仿宋_GBK" w:hAnsi="Times New Roman" w:hint="eastAsia"/>
          <w:kern w:val="0"/>
          <w:sz w:val="32"/>
          <w:szCs w:val="32"/>
        </w:rPr>
        <w:t>本项目（是/否）接受联合体投标：否</w:t>
      </w:r>
    </w:p>
    <w:sectPr>
      <w:headerReference w:type="default" r:id="rId2"/>
      <w:footerReference w:type="default" r:id="rId3"/>
      <w:footerReference w:type="first" r:id="rId4"/>
      <w:pgSz w:w="11906" w:h="16838"/>
      <w:pgMar w:top="1418" w:right="1418" w:bottom="1418" w:left="1418" w:header="851" w:footer="992" w:gutter="0"/>
      <w:pgNumType w:start="1"/>
      <w:cols w:num="1" w:space="720"/>
      <w:titlePg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400001FF" w:csb1="FFFF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panose1 w:val="02010600030101010101"/>
    <w:charset w:val="88"/>
    <w:family w:val="swiss"/>
    <w:pitch w:val="variable"/>
    <w:sig w:usb0="000000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1"/>
    <w:family w:val="modern"/>
    <w:pitch w:val="variable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variable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00" w:usb3="00000000" w:csb0="0004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tabs>
        <w:tab w:val="center" w:pos="4153"/>
        <w:tab w:val="right" w:pos="8306"/>
      </w:tabs>
      <w:ind w:firstLineChars="2400" w:firstLine="432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tabs>
        <w:tab w:val="center" w:pos="4153"/>
        <w:tab w:val="right" w:pos="8306"/>
      </w:tabs>
      <w:ind w:firstLineChars="2400" w:firstLine="4320"/>
    </w:pPr>
  </w:p>
  <w:p>
    <w:pPr>
      <w:pStyle w:val="15"/>
      <w:tabs>
        <w:tab w:val="center" w:pos="4153"/>
        <w:tab w:val="right" w:pos="8306"/>
      </w:tabs>
    </w:pP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24"/>
      <w:pBdr>
        <w:bottom w:val="none" w:sz="0" w:space="0" w:color="auto"/>
      </w:pBdr>
      <w:tabs>
        <w:tab w:val="center" w:pos="4153"/>
        <w:tab w:val="right" w:pos="8306"/>
      </w:tabs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oNotDisplayPageBoundaries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4"/>
  </w:compat>
  <w:docVars>
    <w:docVar w:name="commondata" w:val="eyJoZGlkIjoiNDQ5ZGJhNTg0MzMzMGMwNGQ4MTZjMWY3NGU5YmZiNmUifQ==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IncludeSubdocsInStat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latentStyles w:count="74">
    <w:lsdException w:name="table of authorities" w:locked="1"/>
    <w:lsdException w:name="annotation text" w:locked="1"/>
    <w:lsdException w:name="Plain Text" w:locked="1"/>
    <w:lsdException w:name="Date" w:locked="1"/>
    <w:lsdException w:name="Normal (Web)" w:locked="1"/>
    <w:lsdException w:name="Body Text First Indent 2" w:locked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index heading" w:locked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Closing" w:locked="1"/>
    <w:lsdException w:name="Signature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alutation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Document Map" w:locked="1"/>
    <w:lsdException w:name="E-mail Signature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annotation subject" w:locked="1"/>
  </w:latentStyles>
  <w:style w:type="paragraph" w:default="1" w:styleId="0">
    <w:name w:val="Normal"/>
    <w:qFormat/>
    <w:next w:val="15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6" w:lineRule="auto"/>
      <w:jc w:val="center"/>
      <w:outlineLvl w:val="0"/>
    </w:pPr>
    <w:rPr>
      <w:rFonts w:eastAsia="仿宋"/>
      <w:b/>
      <w:kern w:val="44"/>
      <w:sz w:val="28"/>
    </w:rPr>
  </w:style>
  <w:style w:type="character" w:customStyle="1" w:styleId="1Char">
    <w:name w:val="heading 1 Char"/>
    <w:basedOn w:val="10"/>
    <w:link w:val="1"/>
    <w:rPr>
      <w:rFonts w:ascii="Calibri" w:eastAsia="仿宋" w:cs="Times New Roman" w:hAnsi="Calibri"/>
      <w:b/>
      <w:kern w:val="44"/>
      <w:sz w:val="28"/>
      <w:szCs w:val="22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/>
      <w:ind w:firstLine="0"/>
      <w:outlineLvl w:val="1"/>
    </w:pPr>
    <w:rPr>
      <w:rFonts w:ascii="等线 Light" w:cs="Times New Roman" w:hAnsi="等线 Light"/>
      <w:b/>
      <w:bCs/>
      <w:szCs w:val="32"/>
    </w:rPr>
  </w:style>
  <w:style w:type="character" w:customStyle="1" w:styleId="2Char">
    <w:name w:val="heading 2 Char"/>
    <w:basedOn w:val="10"/>
    <w:link w:val="2"/>
    <w:rPr>
      <w:rFonts w:ascii="等线 Light" w:eastAsia="宋体" w:cs="Times New Roman" w:hAnsi="等线 Light"/>
      <w:b/>
      <w:bCs/>
      <w:kern w:val="2"/>
      <w:sz w:val="21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spacing w:before="120" w:after="120" w:line="17" w:lineRule="atLeast"/>
      <w:jc w:val="left"/>
      <w:outlineLvl w:val="2"/>
    </w:pPr>
    <w:rPr>
      <w:rFonts w:ascii="宋体" w:eastAsia="仿宋" w:hAnsi="宋体"/>
      <w:b/>
      <w:kern w:val="0"/>
      <w:sz w:val="24"/>
      <w:szCs w:val="36"/>
    </w:rPr>
  </w:style>
  <w:style w:type="character" w:customStyle="1" w:styleId="3Char">
    <w:name w:val="heading 3 Char"/>
    <w:basedOn w:val="10"/>
    <w:link w:val="3"/>
    <w:rPr>
      <w:rFonts w:ascii="宋体" w:eastAsia="仿宋" w:cs="Times New Roman" w:hAnsi="宋体"/>
      <w:b/>
      <w:kern w:val="0"/>
      <w:sz w:val="24"/>
      <w:szCs w:val="36"/>
      <w:lang w:val="en-US" w:eastAsia="zh-CN" w:bidi="ar-SA"/>
    </w:rPr>
  </w:style>
  <w:style w:type="character" w:default="1" w:styleId="10">
    <w:name w:val="Default Paragraph Font"/>
    <w:qFormat/>
  </w:style>
  <w:style w:type="paragraph" w:styleId="15">
    <w:name w:val="footer"/>
    <w:qFormat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16">
    <w:name w:val="table of authorities"/>
    <w:qFormat/>
    <w:basedOn w:val="0"/>
    <w:locked/>
    <w:next w:val="0"/>
    <w:pPr>
      <w:ind w:leftChars="200" w:left="200"/>
    </w:pPr>
  </w:style>
  <w:style w:type="paragraph" w:styleId="17">
    <w:name w:val="annotation text"/>
    <w:qFormat/>
    <w:basedOn w:val="0"/>
    <w:locked/>
    <w:pPr>
      <w:jc w:val="left"/>
    </w:pPr>
  </w:style>
  <w:style w:type="paragraph" w:styleId="18">
    <w:name w:val="Body Text"/>
    <w:qFormat/>
    <w:basedOn w:val="0"/>
    <w:next w:val="19"/>
    <w:pPr>
      <w:spacing w:after="120"/>
    </w:pPr>
  </w:style>
  <w:style w:type="paragraph" w:styleId="19">
    <w:name w:val="Subtitle"/>
    <w:qFormat/>
    <w:basedOn w:val="0"/>
    <w:next w:val="0"/>
    <w:pPr>
      <w:spacing w:before="240" w:after="60" w:line="312" w:lineRule="atLeast"/>
      <w:jc w:val="center"/>
      <w:textAlignment w:val="baseline"/>
      <w:outlineLvl w:val="1"/>
    </w:pPr>
    <w:rPr>
      <w:rFonts w:ascii="Arial" w:hAnsi="Arial"/>
      <w:b/>
      <w:bCs/>
      <w:kern w:val="28"/>
      <w:sz w:val="32"/>
      <w:szCs w:val="32"/>
    </w:rPr>
  </w:style>
  <w:style w:type="paragraph" w:styleId="20">
    <w:name w:val="Body Text Indent"/>
    <w:qFormat/>
    <w:basedOn w:val="0"/>
    <w:next w:val="21"/>
    <w:pPr>
      <w:spacing w:after="120"/>
      <w:ind w:leftChars="200" w:left="200"/>
    </w:pPr>
  </w:style>
  <w:style w:type="paragraph" w:styleId="21">
    <w:name w:val="Plain Text"/>
    <w:qFormat/>
    <w:basedOn w:val="0"/>
    <w:locked/>
    <w:next w:val="20"/>
    <w:rPr>
      <w:rFonts w:ascii="宋体" w:hAnsi="Courier New"/>
      <w:szCs w:val="20"/>
    </w:rPr>
  </w:style>
  <w:style w:type="paragraph" w:styleId="22">
    <w:name w:val="Date"/>
    <w:qFormat/>
    <w:basedOn w:val="0"/>
    <w:locked/>
    <w:next w:val="0"/>
    <w:pPr>
      <w:ind w:leftChars="2500" w:left="2500"/>
    </w:pPr>
  </w:style>
  <w:style w:type="paragraph" w:styleId="23">
    <w:name w:val="Balloon Text"/>
    <w:qFormat/>
    <w:basedOn w:val="0"/>
    <w:rPr>
      <w:sz w:val="18"/>
      <w:szCs w:val="20"/>
    </w:rPr>
  </w:style>
  <w:style w:type="paragraph" w:styleId="24">
    <w:name w:val="header"/>
    <w:qFormat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25">
    <w:name w:val="toc 2"/>
    <w:qFormat/>
    <w:basedOn w:val="0"/>
    <w:next w:val="0"/>
    <w:pPr>
      <w:ind w:leftChars="200" w:left="200"/>
    </w:pPr>
    <w:rPr>
      <w:rFonts w:ascii="Calibri" w:eastAsia="宋体" w:cs="Arial" w:hAnsi="Calibri"/>
      <w:kern w:val="2"/>
      <w:sz w:val="21"/>
      <w:szCs w:val="21"/>
    </w:rPr>
  </w:style>
  <w:style w:type="paragraph" w:styleId="26">
    <w:name w:val="Normal (Web)"/>
    <w:qFormat/>
    <w:basedOn w:val="0"/>
    <w:locked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27">
    <w:name w:val="Title"/>
    <w:qFormat/>
    <w:basedOn w:val="0"/>
    <w:next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8">
    <w:name w:val="Body Text First Indent"/>
    <w:qFormat/>
    <w:basedOn w:val="18"/>
    <w:pPr>
      <w:ind w:firstLineChars="100" w:firstLine="100"/>
    </w:pPr>
    <w:rPr>
      <w:rFonts w:ascii="Times New Roman" w:hAnsi="Times New Roman"/>
      <w:szCs w:val="20"/>
    </w:rPr>
  </w:style>
  <w:style w:type="paragraph" w:styleId="29">
    <w:name w:val="Body Text First Indent 2"/>
    <w:qFormat/>
    <w:basedOn w:val="20"/>
    <w:locked/>
    <w:pPr>
      <w:spacing w:after="120" w:line="240" w:lineRule="auto"/>
      <w:ind w:leftChars="200" w:left="200" w:firstLineChars="200" w:firstLine="200"/>
    </w:pPr>
    <w:rPr>
      <w:rFonts w:ascii="Times New Roman" w:hAnsi="Times New Roman"/>
      <w:kern w:val="2"/>
      <w:szCs w:val="22"/>
    </w:rPr>
  </w:style>
  <w:style w:type="character" w:styleId="30">
    <w:name w:val="Emphasis"/>
    <w:qFormat/>
    <w:basedOn w:val="10"/>
    <w:rPr>
      <w:i/>
    </w:rPr>
  </w:style>
  <w:style w:type="paragraph" w:customStyle="1" w:yozoId="4094" w:styleId="31">
    <w:name w:val="Default"/>
    <w:qFormat/>
    <w:pPr>
      <w:widowControl w:val="0"/>
      <w:autoSpaceDE w:val="0"/>
      <w:autoSpaceDN w:val="0"/>
      <w:adjustRightInd w:val="0"/>
    </w:pPr>
    <w:rPr>
      <w:rFonts w:ascii="仿宋_GB2312" w:eastAsia="宋体" w:cs="仿宋_GB2312" w:hAnsi="仿宋_GB2312"/>
      <w:color w:val="000000"/>
      <w:sz w:val="24"/>
      <w:szCs w:val="24"/>
      <w:lang w:val="en-US" w:eastAsia="zh-CN" w:bidi="ar-SA"/>
    </w:rPr>
  </w:style>
  <w:style w:type="paragraph" w:customStyle="1" w:yozoId="4094" w:styleId="32">
    <w:name w:val="样式 样式 行距: 1.5 倍行距 + 两端对齐 Char"/>
    <w:qFormat/>
    <w:basedOn w:val="0"/>
    <w:pPr>
      <w:keepNext/>
      <w:keepLines/>
      <w:widowControl/>
      <w:tabs>
        <w:tab w:val="left" w:pos="720"/>
      </w:tabs>
      <w:adjustRightInd w:val="0"/>
      <w:snapToGrid w:val="0"/>
      <w:spacing w:line="480" w:lineRule="exact"/>
      <w:ind w:firstLineChars="200" w:firstLine="200"/>
    </w:pPr>
    <w:rPr>
      <w:rFonts w:hAnsi="宋体"/>
      <w:sz w:val="24"/>
    </w:rPr>
  </w:style>
  <w:style w:type="character" w:customStyle="1" w:yozoId="4094" w:styleId="33">
    <w:name w:val="Footer Char"/>
    <w:qFormat/>
    <w:locked/>
    <w:rPr>
      <w:rFonts w:ascii="Calibri" w:eastAsia="宋体" w:hAnsi="Calibri"/>
      <w:kern w:val="2"/>
      <w:sz w:val="18"/>
    </w:rPr>
  </w:style>
  <w:style w:type="paragraph" w:styleId="34">
    <w:name w:val="No Spacing"/>
    <w:qFormat/>
    <w:rPr>
      <w:rFonts w:ascii="Calibri" w:eastAsia="宋体" w:cs="Times New Roman" w:hAnsi="Calibri"/>
      <w:sz w:val="22"/>
      <w:szCs w:val="22"/>
      <w:lang w:val="en-US" w:eastAsia="zh-CN" w:bidi="ar-SA"/>
    </w:rPr>
  </w:style>
  <w:style w:type="character" w:customStyle="1" w:yozoId="4094" w:styleId="35">
    <w:name w:val="Header Char"/>
    <w:qFormat/>
    <w:locked/>
    <w:rPr>
      <w:rFonts w:ascii="Calibri" w:eastAsia="宋体" w:hAnsi="Calibri"/>
      <w:kern w:val="2"/>
      <w:sz w:val="18"/>
    </w:rPr>
  </w:style>
  <w:style w:type="character" w:customStyle="1" w:yozoId="4094" w:styleId="36">
    <w:name w:val="Balloon Text Char"/>
    <w:qFormat/>
    <w:locked/>
    <w:rPr>
      <w:rFonts w:ascii="Calibri" w:eastAsia="宋体" w:hAnsi="Calibri"/>
      <w:kern w:val="2"/>
      <w:sz w:val="18"/>
    </w:rPr>
  </w:style>
  <w:style w:type="paragraph" w:customStyle="1" w:yozoId="4094" w:styleId="37">
    <w:name w:val="Char"/>
    <w:qFormat/>
    <w:basedOn w:val="0"/>
    <w:pPr>
      <w:adjustRightInd w:val="0"/>
      <w:spacing w:line="360" w:lineRule="auto"/>
    </w:pPr>
    <w:rPr>
      <w:rFonts w:ascii="Times New Roman" w:hAnsi="Times New Roman"/>
      <w:kern w:val="0"/>
      <w:sz w:val="24"/>
      <w:szCs w:val="20"/>
    </w:rPr>
  </w:style>
  <w:style w:type="paragraph" w:customStyle="1" w:yozoId="4094" w:styleId="38">
    <w:name w:val="p0"/>
    <w:qFormat/>
    <w:rPr>
      <w:rFonts w:ascii="Times New Roman" w:eastAsia="宋体" w:cs="Times New Roman" w:hAnsi="Times New Roman"/>
      <w:sz w:val="20"/>
      <w:szCs w:val="21"/>
      <w:lang w:val="en-US" w:eastAsia="zh-CN" w:bidi="ar-SA"/>
    </w:rPr>
  </w:style>
  <w:style w:type="character" w:customStyle="1" w:yozoId="4094" w:styleId="39">
    <w:name w:val="font31"/>
    <w:qFormat/>
    <w:rPr>
      <w:rFonts w:ascii="Calibri" w:cs="Calibri" w:hAnsi="Calibri"/>
      <w:color w:val="000000"/>
      <w:sz w:val="28"/>
      <w:szCs w:val="28"/>
      <w:u w:val="none"/>
    </w:rPr>
  </w:style>
  <w:style w:type="character" w:customStyle="1" w:yozoId="4094" w:styleId="40">
    <w:name w:val="Plain Text Char1"/>
    <w:qFormat/>
    <w:locked/>
    <w:rPr>
      <w:rFonts w:ascii="宋体" w:eastAsia="宋体" w:hAnsi="Courier New"/>
      <w:kern w:val="2"/>
      <w:sz w:val="21"/>
      <w:lang w:val="en-US" w:eastAsia="zh-CN"/>
    </w:rPr>
  </w:style>
  <w:style w:type="paragraph" w:customStyle="1" w:yozoId="4094" w:styleId="41">
    <w:name w:val="四级标题"/>
    <w:qFormat/>
    <w:basedOn w:val="22"/>
    <w:pPr>
      <w:spacing w:line="360" w:lineRule="auto"/>
    </w:pPr>
    <w:rPr>
      <w:rFonts w:ascii="Times New Roman" w:eastAsia="黑体" w:hAnsi="Times New Roman"/>
      <w:szCs w:val="21"/>
    </w:rPr>
  </w:style>
  <w:style w:type="paragraph" w:styleId="42">
    <w:name w:val="List Paragraph"/>
    <w:qFormat/>
    <w:basedOn w:val="0"/>
    <w:pPr>
      <w:ind w:firstLineChars="200" w:firstLine="200"/>
    </w:pPr>
  </w:style>
  <w:style w:type="character" w:customStyle="1" w:yozoId="4094" w:styleId="43">
    <w:name w:val="font21"/>
    <w:qFormat/>
    <w:rPr>
      <w:rFonts w:ascii="宋体" w:eastAsia="宋体" w:cs="宋体" w:hAnsi="宋体"/>
      <w:color w:val="000000"/>
      <w:sz w:val="22"/>
      <w:szCs w:val="22"/>
      <w:u w:val="none"/>
    </w:rPr>
  </w:style>
  <w:style w:type="paragraph" w:customStyle="1" w:yozoId="4094" w:styleId="44">
    <w:name w:val="样式 四号"/>
    <w:qFormat/>
    <w:basedOn w:val="0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 w:val="0"/>
      <w:spacing w:before="0" w:beforeAutospacing="0" w:after="0" w:afterAutospacing="0" w:line="240" w:lineRule="auto"/>
      <w:ind w:left="0" w:right="0" w:firstLine="0"/>
      <w:contextualSpacing w:val="0"/>
      <w:jc w:val="center"/>
      <w:textAlignment w:val="auto"/>
      <w:outlineLvl w:val="9"/>
    </w:pPr>
    <w:rPr>
      <w:rFonts w:ascii="Calibri" w:eastAsia="宋体" w:hAnsi="Calibri"/>
      <w:snapToGrid/>
      <w:color w:val="auto"/>
      <w:spacing w:val="0"/>
      <w:w w:val="100"/>
      <w:kern w:val="0"/>
      <w:position w:val="0"/>
      <w:sz w:val="28"/>
      <w:szCs w:val="22"/>
      <w:u w:val="none" w:color="auto"/>
      <w:bdr w:val="none" w:sz="0" w:space="0" w:color="auto"/>
      <w:vertAlign w:val="baseline"/>
      <w:em w:val="none"/>
      <w:lang w:val="en-US" w:eastAsia="zh-CN"/>
    </w:rPr>
  </w:style>
  <w:style w:type="paragraph" w:customStyle="1" w:yozoId="4094" w:styleId="45">
    <w:name w:val="样式 1 四号"/>
    <w:qFormat/>
    <w:basedOn w:val="0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 w:val="0"/>
      <w:spacing w:before="0" w:beforeAutospacing="0" w:after="0" w:afterAutospacing="0" w:line="240" w:lineRule="auto"/>
      <w:ind w:left="0" w:right="0" w:firstLine="0"/>
      <w:contextualSpacing w:val="0"/>
      <w:jc w:val="center"/>
      <w:textAlignment w:val="auto"/>
      <w:outlineLvl w:val="9"/>
    </w:pPr>
    <w:rPr>
      <w:rFonts w:ascii="Calibri" w:eastAsia="宋体" w:hAnsi="Calibri"/>
      <w:snapToGrid/>
      <w:color w:val="auto"/>
      <w:spacing w:val="0"/>
      <w:w w:val="100"/>
      <w:kern w:val="0"/>
      <w:position w:val="0"/>
      <w:sz w:val="28"/>
      <w:szCs w:val="22"/>
      <w:u w:val="none" w:color="auto"/>
      <w:bdr w:val="none" w:sz="0" w:space="0" w:color="auto"/>
      <w:vertAlign w:val="baseline"/>
      <w:em w:val="none"/>
      <w:lang w:val="en-US" w:eastAsia="zh-CN"/>
    </w:rPr>
  </w:style>
  <w:style w:type="paragraph" w:customStyle="1" w:yozoId="4094" w:styleId="46">
    <w:name w:val="样式 10 磅"/>
    <w:qFormat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yozoId="4094" w:styleId="47">
    <w:name w:val="样式 12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宋体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yozoId="4094" w:styleId="48">
    <w:name w:val="样式 1 10 磅"/>
    <w:qFormat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ascii="等线" w:eastAsia="宋体" w:cs="Times New Roman" w:hAnsi="等线"/>
      <w:kern w:val="2"/>
      <w:sz w:val="21"/>
      <w:szCs w:val="22"/>
      <w:lang w:val="en-US" w:eastAsia="zh-CN" w:bidi="ar-SA"/>
    </w:rPr>
  </w:style>
  <w:style w:type="paragraph" w:customStyle="1" w:yozoId="4094" w:styleId="49">
    <w:name w:val="样式 2 10 磅"/>
    <w:qFormat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yozoId="4094" w:styleId="50">
    <w:name w:val="样式 3 10 磅"/>
    <w:qFormat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yozoId="4094" w:styleId="51">
    <w:name w:val="样式 4 10 磅"/>
    <w:qFormat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yozoId="4094" w:styleId="52">
    <w:name w:val="样式 5 10 磅"/>
    <w:qFormat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yozoId="4094" w:styleId="53">
    <w:name w:val="样式 2 四号"/>
    <w:qFormat/>
    <w:basedOn w:val="0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 w:val="0"/>
      <w:spacing w:before="0" w:beforeAutospacing="0" w:after="0" w:afterAutospacing="0" w:line="240" w:lineRule="auto"/>
      <w:ind w:left="0" w:right="0" w:firstLine="0"/>
      <w:contextualSpacing w:val="0"/>
      <w:jc w:val="center"/>
      <w:textAlignment w:val="auto"/>
      <w:outlineLvl w:val="9"/>
    </w:pPr>
    <w:rPr>
      <w:rFonts w:ascii="Calibri" w:eastAsia="宋体" w:hAnsi="Calibri"/>
      <w:snapToGrid/>
      <w:color w:val="auto"/>
      <w:spacing w:val="0"/>
      <w:w w:val="100"/>
      <w:kern w:val="0"/>
      <w:position w:val="0"/>
      <w:sz w:val="28"/>
      <w:szCs w:val="22"/>
      <w:u w:val="none" w:color="auto"/>
      <w:bdr w:val="none" w:sz="0" w:space="0" w:color="auto"/>
      <w:vertAlign w:val="baseline"/>
      <w:em w:val="none"/>
      <w:lang w:val="en-US" w:eastAsia="zh-CN"/>
    </w:rPr>
  </w:style>
  <w:style w:type="paragraph" w:customStyle="1" w:yozoId="4094" w:styleId="54">
    <w:name w:val="样式 6 10 磅"/>
    <w:qFormat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yozoId="4094" w:styleId="55">
    <w:name w:val="样式 7 10 磅"/>
    <w:qFormat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customXml" Target="../customXml/item1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Them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mpd="sng" cap="flat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mpd="sng" cap="flat">
          <a:solidFill>
            <a:schemeClr val="phClr"/>
          </a:solidFill>
          <a:prstDash val="solid"/>
          <a:round/>
        </a:ln>
        <a:ln w="38100" cmpd="sng" cap="flat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sx="100000" sy="100000" algn="b" rotWithShape="0" blurRad="40000" dist="20000" dir="5400000">
              <a:srgbClr val="000000">
                <a:alpha val="37647"/>
              </a:srgbClr>
            </a:outerShdw>
          </a:effectLst>
        </a:effectStyle>
        <a:effectStyle>
          <a:effectLst>
            <a:outerShdw sx="100000" sy="100000" algn="b" rotWithShape="0" blurRad="40000" dist="23000" dir="5400000">
              <a:srgbClr val="000000">
                <a:alpha val="34509"/>
              </a:srgbClr>
            </a:outerShdw>
          </a:effectLst>
        </a:effectStyle>
        <a:effectStyle>
          <a:effectLst>
            <a:outerShdw sx="100000" sy="100000" algn="b" rotWithShape="0" blurRad="40000" dist="23000" dir="540000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50000" r="50000" b="5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26650 1 1 1 1 1"/>
    <sectPr/>
  </customProps>
</customData>
</file>

<file path=customXml/itemProps1.xml><?xml version="1.0" encoding="utf-8"?>
<ds:datastoreItem xmlns:ds="http://schemas.openxmlformats.org/officeDocument/2006/customXml" ds:itemID="{61F3FB81-5EC7-43A6-9543-D124F33F17D2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116</TotalTime>
  <Application>WPS_Yozo_Office9.0.6753.102ZH.S1</Application>
  <Pages>3</Pages>
  <Words>0</Words>
  <Characters>1210</Characters>
  <Lines>0</Lines>
  <Paragraphs>36</Paragraphs>
  <CharactersWithSpaces>1614</CharactersWithSpaces>
  <Company>Microsoft China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合资公司冷轧高强钢生产线MES项目</dc:title>
  <dc:creator>微软用户</dc:creator>
  <cp:lastModifiedBy>张伟</cp:lastModifiedBy>
  <cp:revision>8</cp:revision>
  <cp:lastPrinted>2018-03-19T21:10:00Z</cp:lastPrinted>
  <dcterms:created xsi:type="dcterms:W3CDTF">2019-06-21T21:27:00Z</dcterms:created>
  <dcterms:modified xsi:type="dcterms:W3CDTF">2025-12-15T08:23:18Z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2052-11.8.2.12309</vt:lpwstr>
  </property>
  <property fmtid="{D5CDD505-2E9C-101B-9397-08002B2CF9AE}" pid="3" name="ICV">
    <vt:lpwstr>DAD0E5A37315410383F64B7967262B5B</vt:lpwstr>
  </property>
  <property fmtid="{D5CDD505-2E9C-101B-9397-08002B2CF9AE}" pid="4" name="KSOTemplateDocerSaveRecord">
    <vt:lpwstr>eyJoZGlkIjoiYjUxZmE4MGUzYTdhZTdmMWNmMDRlZjM3NzQ2MWY1NmIiLCJ1c2VySWQiOiI3NTc2NjY3NTcifQ==</vt:lpwstr>
  </property>
</Properties>
</file>