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ascii="方正仿宋_GBK" w:hAnsi="方正仿宋_GBK"/>
          <w:spacing w:val="-4"/>
        </w:rPr>
      </w:pPr>
    </w:p>
    <w:p>
      <w:pPr>
        <w:adjustRightInd w:val="0"/>
        <w:snapToGrid w:val="0"/>
        <w:spacing w:line="560" w:lineRule="exact"/>
        <w:jc w:val="center"/>
        <w:rPr>
          <w:rFonts w:ascii="黑体" w:hAnsi="黑体" w:eastAsia="黑体" w:cs="黑体"/>
          <w:spacing w:val="-4"/>
          <w:sz w:val="44"/>
          <w:szCs w:val="44"/>
        </w:rPr>
      </w:pPr>
      <w:r>
        <w:rPr>
          <w:rFonts w:hint="eastAsia" w:ascii="黑体" w:hAnsi="黑体" w:eastAsia="黑体" w:cs="黑体"/>
          <w:spacing w:val="-4"/>
          <w:sz w:val="44"/>
          <w:szCs w:val="44"/>
        </w:rPr>
        <w:t>特殊区域途中时间展示功能</w:t>
      </w:r>
    </w:p>
    <w:p>
      <w:pPr>
        <w:adjustRightInd w:val="0"/>
        <w:snapToGrid w:val="0"/>
        <w:spacing w:line="560" w:lineRule="exact"/>
        <w:jc w:val="center"/>
        <w:rPr>
          <w:rFonts w:ascii="黑体" w:hAnsi="黑体" w:eastAsia="黑体" w:cs="黑体"/>
          <w:spacing w:val="-4"/>
          <w:sz w:val="44"/>
          <w:szCs w:val="44"/>
        </w:rPr>
      </w:pPr>
      <w:r>
        <w:rPr>
          <w:rFonts w:hint="eastAsia" w:ascii="黑体" w:hAnsi="黑体" w:eastAsia="黑体" w:cs="黑体"/>
          <w:spacing w:val="-4"/>
          <w:sz w:val="44"/>
          <w:szCs w:val="44"/>
        </w:rPr>
        <w:t>技术开发服务采购需求说明</w:t>
      </w:r>
    </w:p>
    <w:p>
      <w:pPr>
        <w:pStyle w:val="2"/>
        <w:numPr>
          <w:ilvl w:val="0"/>
          <w:numId w:val="1"/>
        </w:numPr>
        <w:spacing w:line="240" w:lineRule="auto"/>
      </w:pPr>
      <w:r>
        <w:rPr>
          <w:rFonts w:hint="eastAsia"/>
        </w:rPr>
        <w:t>服务要求</w:t>
      </w:r>
      <w:r>
        <w:rPr>
          <w:rFonts w:ascii="方正仿宋_GBK"/>
          <w:spacing w:val="-4"/>
        </w:rPr>
        <w:t xml:space="preserve"> </w:t>
      </w:r>
    </w:p>
    <w:p>
      <w:pPr>
        <w:pStyle w:val="3"/>
        <w:spacing w:line="240" w:lineRule="auto"/>
        <w:rPr>
          <w:rFonts w:hint="eastAsia"/>
        </w:rPr>
      </w:pPr>
      <w:r>
        <w:t>1.1</w:t>
      </w:r>
      <w:r>
        <w:rPr>
          <w:rFonts w:hint="eastAsia"/>
        </w:rPr>
        <w:t>服务时间要求★</w:t>
      </w:r>
      <w:bookmarkStart w:id="2" w:name="_GoBack"/>
      <w:bookmarkEnd w:id="2"/>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自合同签订之日起</w:t>
      </w:r>
      <w:r>
        <w:rPr>
          <w:rFonts w:ascii="方正仿宋_GBK" w:eastAsia="方正仿宋_GBK"/>
          <w:bCs/>
          <w:spacing w:val="-4"/>
        </w:rPr>
        <w:t>2</w:t>
      </w:r>
      <w:r>
        <w:rPr>
          <w:rFonts w:hint="eastAsia" w:ascii="方正仿宋_GBK" w:eastAsia="方正仿宋_GBK"/>
          <w:bCs/>
          <w:spacing w:val="-4"/>
        </w:rPr>
        <w:t>个月内系统上线，自采购人验收通过之日起提供12月系统运行维护服务。</w:t>
      </w:r>
    </w:p>
    <w:p>
      <w:pPr>
        <w:pStyle w:val="3"/>
        <w:spacing w:line="240" w:lineRule="auto"/>
        <w:rPr>
          <w:rFonts w:hint="eastAsia"/>
        </w:rPr>
      </w:pPr>
      <w:r>
        <w:t>1.2</w:t>
      </w:r>
      <w:r>
        <w:rPr>
          <w:rFonts w:hint="eastAsia"/>
        </w:rPr>
        <w:t>服务地点要求★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按采购人指定地点提供软件开发及运行维护服务。</w:t>
      </w:r>
    </w:p>
    <w:p>
      <w:pPr>
        <w:pStyle w:val="2"/>
        <w:numPr>
          <w:ilvl w:val="0"/>
          <w:numId w:val="1"/>
        </w:numPr>
        <w:spacing w:line="240" w:lineRule="auto"/>
      </w:pPr>
      <w:r>
        <w:rPr>
          <w:rFonts w:hint="eastAsia" w:eastAsia="方正仿宋_GBK"/>
        </w:rPr>
        <w:t>业务需求</w:t>
      </w:r>
    </w:p>
    <w:p>
      <w:pPr>
        <w:pStyle w:val="3"/>
        <w:spacing w:line="240" w:lineRule="auto"/>
        <w:rPr>
          <w:rFonts w:hint="eastAsia"/>
        </w:rPr>
      </w:pPr>
      <w:bookmarkStart w:id="0" w:name="_Toc91504415"/>
      <w:r>
        <w:t>2.1</w:t>
      </w:r>
      <w:bookmarkEnd w:id="0"/>
      <w:r>
        <w:rPr>
          <w:rFonts w:hint="eastAsia"/>
        </w:rPr>
        <w:t>服务内容要求</w:t>
      </w:r>
    </w:p>
    <w:p>
      <w:pPr>
        <w:adjustRightInd w:val="0"/>
        <w:snapToGrid w:val="0"/>
        <w:ind w:firstLine="624" w:firstLineChars="200"/>
        <w:rPr>
          <w:rFonts w:ascii="方正仿宋_GBK" w:eastAsia="方正仿宋_GBK"/>
          <w:bCs/>
          <w:spacing w:val="-4"/>
        </w:rPr>
      </w:pPr>
      <w:bookmarkStart w:id="1" w:name="_Toc91504416"/>
      <w:r>
        <w:rPr>
          <w:rFonts w:hint="eastAsia" w:ascii="方正仿宋_GBK" w:eastAsia="方正仿宋_GBK"/>
          <w:bCs/>
          <w:spacing w:val="-4"/>
        </w:rPr>
        <w:t>对“大连海关智慧海关系统&gt;自贸&gt;特殊区域管理”功能进行升级完善，实现对一线进口入大窑湾综合保税区</w:t>
      </w:r>
      <w:r>
        <w:rPr>
          <w:rFonts w:ascii="方正仿宋_GBK" w:eastAsia="方正仿宋_GBK"/>
          <w:bCs/>
          <w:spacing w:val="-4"/>
        </w:rPr>
        <w:t>、大连湾里综合</w:t>
      </w:r>
      <w:r>
        <w:rPr>
          <w:rFonts w:hint="eastAsia" w:ascii="方正仿宋_GBK" w:eastAsia="方正仿宋_GBK"/>
          <w:bCs/>
          <w:spacing w:val="-4"/>
        </w:rPr>
        <w:t>保税货物(含跨境电商)运输时间进行监控，对超过规定运输时间的货物进行风险预警。防范跨电保税货物的体外循环、更换货物等风险。</w:t>
      </w:r>
    </w:p>
    <w:bookmarkEnd w:id="1"/>
    <w:p>
      <w:pPr>
        <w:pStyle w:val="3"/>
        <w:spacing w:line="240" w:lineRule="auto"/>
        <w:rPr>
          <w:rFonts w:hint="eastAsia"/>
        </w:rPr>
      </w:pPr>
      <w:r>
        <w:t>2.2</w:t>
      </w:r>
      <w:r>
        <w:rPr>
          <w:rFonts w:hint="eastAsia"/>
        </w:rPr>
        <w:t>详细业务描述</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保税货物运输时间展示模块，是在现有的大连海关特殊区域管理系统(二期)项下增加的子模块。具体实现:整箱货物由大窑湾123期码头及北良港进境后，系统通过核注清单检测，大窑湾综保区、湾里综保区保税加工、保税物流、跨境电商及设备账册的保税货物关联报关单的集装箱整提数据。并将其中的“报关单号”及其“集装箱号”进行记录形成待比对清单。通过接收相应的港口卡口数据，动态核实相应“报关单”所涉及的集装箱出港情况。当发现有相关货物过港卡记录，及时将其采集的车牌号、箱号、过卡时间推送给辅助系统，与待比对清单进行关联。然后辅助系统通过采集进入大窑湾综保区、大连湾里综合保税区卡口的车牌号、箱号与前期采集数据进核碰，从而实现运输时间展示和监控。</w:t>
      </w:r>
    </w:p>
    <w:p>
      <w:pPr>
        <w:pStyle w:val="4"/>
        <w:spacing w:line="240" w:lineRule="auto"/>
      </w:pPr>
      <w:r>
        <w:t>2.2.1</w:t>
      </w:r>
      <w:r>
        <w:rPr>
          <w:rFonts w:hint="eastAsia" w:eastAsia="方正仿宋_GBK"/>
        </w:rPr>
        <w:t>业务查询</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对保税货物运输时间监控模块记录的数据进行建档管理，实现系统中报关单箱号长时间无核对提示。</w:t>
      </w:r>
    </w:p>
    <w:p>
      <w:pPr>
        <w:pStyle w:val="4"/>
        <w:spacing w:line="240" w:lineRule="auto"/>
      </w:pPr>
      <w:r>
        <w:t>2.2.2</w:t>
      </w:r>
      <w:r>
        <w:rPr>
          <w:rFonts w:hint="eastAsia" w:eastAsia="方正仿宋_GBK"/>
        </w:rPr>
        <w:t>运输时间信息管理</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实时动态展示过卡集装箱的出港务卡口的时间、入综保区的时间和在途运输时长，可对超过运输时长限制的车辆报警提示。</w:t>
      </w:r>
    </w:p>
    <w:p>
      <w:pPr>
        <w:pStyle w:val="4"/>
        <w:spacing w:line="240" w:lineRule="auto"/>
      </w:pPr>
      <w:r>
        <w:t>2.2.3</w:t>
      </w:r>
      <w:r>
        <w:rPr>
          <w:rFonts w:hint="eastAsia" w:eastAsia="方正仿宋_GBK"/>
        </w:rPr>
        <w:t>授权及设置管理</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设立管理人权限，负责保税货物运输时间监控模块的权限维护。同时负责系统相关参数的设置。</w:t>
      </w:r>
    </w:p>
    <w:p>
      <w:pPr>
        <w:pStyle w:val="4"/>
        <w:spacing w:line="240" w:lineRule="auto"/>
        <w:rPr>
          <w:rFonts w:eastAsia="方正仿宋_GBK"/>
        </w:rPr>
      </w:pPr>
      <w:r>
        <w:t>2.2.4</w:t>
      </w:r>
      <w:r>
        <w:rPr>
          <w:rFonts w:hint="eastAsia" w:eastAsia="方正仿宋_GBK"/>
        </w:rPr>
        <w:t>业务统计</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针对系统归档数据进行分组汇总设计并实现统计功能。</w:t>
      </w:r>
    </w:p>
    <w:p>
      <w:pPr>
        <w:pStyle w:val="4"/>
        <w:spacing w:line="240" w:lineRule="auto"/>
        <w:rPr>
          <w:rFonts w:eastAsia="方正仿宋_GBK"/>
        </w:rPr>
      </w:pPr>
      <w:r>
        <w:t>2.2.5</w:t>
      </w:r>
      <w:r>
        <w:rPr>
          <w:rFonts w:hint="eastAsia" w:eastAsia="方正仿宋_GBK"/>
        </w:rPr>
        <w:t>库存申报管理</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按时间定制金二系统保税物流、跨境电商及设备账册库存数据，根据海关需求定期在系统中与企业报送的实际库存按项号进行一一对比核实，对比对异常的数据进行报警提示。</w:t>
      </w:r>
    </w:p>
    <w:p>
      <w:pPr>
        <w:pStyle w:val="4"/>
        <w:spacing w:line="240" w:lineRule="auto"/>
        <w:rPr>
          <w:rFonts w:eastAsia="方正仿宋_GBK"/>
        </w:rPr>
      </w:pPr>
      <w:r>
        <w:t>2.2.6</w:t>
      </w:r>
      <w:r>
        <w:rPr>
          <w:rFonts w:hint="eastAsia" w:eastAsia="方正仿宋_GBK"/>
        </w:rPr>
        <w:t>安全模块</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内置安全模块，用于记录各操作的具体操作人，录入内容、查询、修改、审核流转等日志情况，其日志记录功能满足应用安全日志规范要求，对每个用户的敏感操作行为进行日志记录，任何角色均无权修改、删除。</w:t>
      </w:r>
    </w:p>
    <w:p>
      <w:pPr>
        <w:pStyle w:val="4"/>
        <w:spacing w:line="240" w:lineRule="auto"/>
        <w:rPr>
          <w:rFonts w:eastAsia="方正仿宋_GBK"/>
        </w:rPr>
      </w:pPr>
      <w:r>
        <w:t>2.2.7</w:t>
      </w:r>
      <w:r>
        <w:rPr>
          <w:rFonts w:hint="eastAsia" w:eastAsia="方正仿宋_GBK"/>
        </w:rPr>
        <w:t>内控措施</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本项目采用的内部控制方法主要有岗位控制、授权批准控制、程序控制、层级控制、监督控制。</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本项目是依托大连海关特殊区域管理系统(二期)实现功能的。目前大连海关自贸区和特殊区域发展处作为系统的业务职能部门，拥有最高的权限，可进行该模块管理人角色授权。管理人再对岗位人员进行设置。</w:t>
      </w:r>
    </w:p>
    <w:p>
      <w:pPr>
        <w:pStyle w:val="2"/>
        <w:spacing w:line="240" w:lineRule="auto"/>
      </w:pPr>
      <w:r>
        <w:t>3.</w:t>
      </w:r>
      <w:r>
        <w:rPr>
          <w:rFonts w:hint="eastAsia" w:eastAsia="方正仿宋_GBK"/>
        </w:rPr>
        <w:t>技术要求</w:t>
      </w:r>
    </w:p>
    <w:p>
      <w:pPr>
        <w:pStyle w:val="3"/>
        <w:spacing w:line="240" w:lineRule="auto"/>
        <w:rPr>
          <w:rFonts w:hint="eastAsia"/>
        </w:rPr>
      </w:pPr>
      <w:r>
        <w:t>3.1</w:t>
      </w:r>
      <w:r>
        <w:rPr>
          <w:rFonts w:hint="eastAsia"/>
        </w:rPr>
        <w:t>开发技术需求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开发技术路线遵循采购人安全开发要求和应用系统架构管控要求，包括远程开发方式、开发技术路线、物理部署说明、数据计算环境、应用计算环境、安全运维要求、开发测试平台、原版库管控等要求，适配总署国产化客户端运行。</w:t>
      </w:r>
    </w:p>
    <w:p>
      <w:pPr>
        <w:pStyle w:val="3"/>
        <w:spacing w:line="240" w:lineRule="auto"/>
        <w:rPr>
          <w:rFonts w:hint="eastAsia"/>
        </w:rPr>
      </w:pPr>
      <w:r>
        <w:t>3.2</w:t>
      </w:r>
      <w:r>
        <w:rPr>
          <w:rFonts w:hint="eastAsia"/>
        </w:rPr>
        <w:t>安全性需求★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1．在开发中应避免对账号口令、数据库连接串进行硬编码；</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2．避免使用简单的转码或者加密算法实现重要身份鉴别信息的保护，如Base64转码、RC4、DES、MD5等，系统应用应采用限制登录失败次数或验证码等技术手段缓解暴力破解的风险；</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3．禁止应用使用sa类的权限连接数据库；</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4．做到采购人应用权限隔离,被隔离的采购人账户只能读写公共可读写的文件和隔离账户的资料库；</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5．禁止其将系统架构、开发代码、内部数据上传至Github及类似代码托管平台或在互联网上私自存储或缓存数据。</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6．及时报告系统所使用的开源及第三方组件已披露的安全问题并定期更新。</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7</w:t>
      </w:r>
      <w:r>
        <w:rPr>
          <w:rFonts w:ascii="方正仿宋_GBK" w:eastAsia="方正仿宋_GBK"/>
          <w:bCs/>
          <w:spacing w:val="-4"/>
        </w:rPr>
        <w:t xml:space="preserve">. </w:t>
      </w:r>
      <w:r>
        <w:rPr>
          <w:rFonts w:hint="eastAsia" w:ascii="方正仿宋_GBK" w:eastAsia="方正仿宋_GBK"/>
          <w:bCs/>
          <w:spacing w:val="-4"/>
        </w:rPr>
        <w:t>源代码要符合采购人的安全扫描要求。</w:t>
      </w:r>
    </w:p>
    <w:p>
      <w:pPr>
        <w:pStyle w:val="3"/>
        <w:spacing w:line="240" w:lineRule="auto"/>
        <w:rPr>
          <w:rFonts w:hint="eastAsia"/>
        </w:rPr>
      </w:pPr>
      <w:r>
        <w:t>3.4</w:t>
      </w:r>
      <w:r>
        <w:rPr>
          <w:rFonts w:hint="eastAsia"/>
        </w:rPr>
        <w:t>系统运维需求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运行维护服务期内应向采购人提供以下服务：</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1．修复和优化系统在运行过程中出现的功能和性能问题，保证软件服务正常运行。</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2．根据安全部门发布的应用漏洞情况，及时修复应用存在的安全漏洞，并完成上线发布。</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3．协助完成系统扩容、升级或迁移时的资源评估、环境搭建、程序部署和功能验证等工作。</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4．根据海关要求，配合评估系统等保、密评级别要求达标情况，对存在的安全风险状况，提出整改建议方案并配合实施。</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5．对系统审计日志及其他日志文件进行安全性分析，根据海关要求对存在的安全风险进行持续优化。</w:t>
      </w:r>
    </w:p>
    <w:p>
      <w:pPr>
        <w:pStyle w:val="3"/>
        <w:spacing w:line="240" w:lineRule="auto"/>
        <w:rPr>
          <w:rFonts w:hint="eastAsia"/>
        </w:rPr>
      </w:pPr>
      <w:r>
        <w:t>3.5</w:t>
      </w:r>
      <w:r>
        <w:rPr>
          <w:rFonts w:hint="eastAsia"/>
        </w:rPr>
        <w:t>功能完善和集成需求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运行维护服务期内应向采购人提供以下服务：</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1．根据采购人使用或运维过程中发现的功能性问题或优化需求，仅限于对原系统进行完善和优化。</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2．为海关应用系统使用遇到的功能问题、技术问题，提供技术支持，并根据海关要求开展培训工作。</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3. 具备所需的系统集成能力（如海关H4A系统单点登录、授权管理接口等系统、海关移动端开发平台；如智慧海关系统作为本项目的系统框架）保证单点登录和授权管理业务正常开展。</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4.</w:t>
      </w:r>
      <w:r>
        <w:rPr>
          <w:rFonts w:ascii="方正仿宋_GBK" w:eastAsia="方正仿宋_GBK"/>
          <w:bCs/>
          <w:spacing w:val="-4"/>
        </w:rPr>
        <w:t xml:space="preserve"> </w:t>
      </w:r>
      <w:r>
        <w:rPr>
          <w:rFonts w:hint="eastAsia" w:ascii="方正仿宋_GBK" w:eastAsia="方正仿宋_GBK"/>
          <w:bCs/>
          <w:spacing w:val="-4"/>
        </w:rPr>
        <w:t>配合海关对国产化客户端使用的适配需求。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5．供应商应根据采购人要求，积极组织资源，配合制定进度，确保软件开发、测试、部署上线等工作在规定的时间内，准确、及时、安全、稳定地完成。</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6.</w:t>
      </w:r>
      <w:r>
        <w:rPr>
          <w:rFonts w:ascii="方正仿宋_GBK" w:eastAsia="方正仿宋_GBK"/>
          <w:bCs/>
          <w:spacing w:val="-4"/>
        </w:rPr>
        <w:t xml:space="preserve"> </w:t>
      </w:r>
      <w:r>
        <w:rPr>
          <w:rFonts w:hint="eastAsia" w:ascii="方正仿宋_GBK" w:eastAsia="方正仿宋_GBK"/>
          <w:bCs/>
          <w:spacing w:val="-4"/>
        </w:rPr>
        <w:t>服务期内运行保障服务包含本项目后续完善和功能升级所需对应的新的业务需求开发任务。</w:t>
      </w:r>
    </w:p>
    <w:p>
      <w:pPr>
        <w:pStyle w:val="3"/>
        <w:spacing w:line="240" w:lineRule="auto"/>
        <w:rPr>
          <w:rFonts w:hint="eastAsia"/>
        </w:rPr>
      </w:pPr>
      <w:r>
        <w:t>3.6</w:t>
      </w:r>
      <w:r>
        <w:rPr>
          <w:rFonts w:hint="eastAsia"/>
        </w:rPr>
        <w:t>性能调优需求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运行维护服务期内根据采购人安全管控、漏洞更新、架构升级、中间件变更、公共组件升级等安排对原系统进行升级；在保证业务系统平稳运行、保证业务系统数据的可用性、完整性和安全性的前提下，通过调整和优化提升系统整体运行性能，满足采购人对业务系统的性能要求；协助检查数据库运行情况，协助对数据库进行优化，提高数据库运行效率；配合硬件维护，及时完成涉及数据库和应用系统的相关工作等。配合海关安全运行要求，及时协助完成涉及护网及安全加固等工作。</w:t>
      </w:r>
    </w:p>
    <w:p>
      <w:pPr>
        <w:pStyle w:val="2"/>
        <w:spacing w:line="240" w:lineRule="auto"/>
      </w:pPr>
      <w:r>
        <w:t>4.</w:t>
      </w:r>
      <w:r>
        <w:rPr>
          <w:rFonts w:hint="eastAsia" w:eastAsia="方正仿宋_GBK"/>
        </w:rPr>
        <w:t>服务要求</w:t>
      </w:r>
    </w:p>
    <w:p>
      <w:pPr>
        <w:pStyle w:val="3"/>
        <w:spacing w:line="240" w:lineRule="auto"/>
        <w:rPr>
          <w:rFonts w:hint="eastAsia"/>
        </w:rPr>
      </w:pPr>
      <w:r>
        <w:t>4.1</w:t>
      </w:r>
      <w:r>
        <w:rPr>
          <w:rFonts w:hint="eastAsia"/>
        </w:rPr>
        <w:t>故障修复</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服务期内负责对系统运行过程中的异常现象（数据异常、程序异常等）进行排查及分析，找出故障原因并解决；处理系统运行过程中的应用故障，供应商应具备对信息系统突发事件分类分级的能力，熟悉采购人关于信息系统应急预案的处理流程、具备现场应急处理能力，对分类突发事件应急事件具备应急处理预案和处理能力。</w:t>
      </w:r>
    </w:p>
    <w:p>
      <w:pPr>
        <w:pStyle w:val="3"/>
        <w:spacing w:line="240" w:lineRule="auto"/>
        <w:rPr>
          <w:rFonts w:hint="eastAsia"/>
        </w:rPr>
      </w:pPr>
      <w:r>
        <w:t>4.2</w:t>
      </w:r>
      <w:r>
        <w:rPr>
          <w:rFonts w:hint="eastAsia"/>
        </w:rPr>
        <w:t>技术支持</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服务期内提供技术支持服务，为采购人在使用业务系统过程中遇到的疑问，协助进行解答或处理；承担采购人安排的与项目相关的技术支持服务相关工作。</w:t>
      </w:r>
    </w:p>
    <w:p>
      <w:pPr>
        <w:pStyle w:val="3"/>
        <w:spacing w:line="240" w:lineRule="auto"/>
        <w:rPr>
          <w:rFonts w:hint="eastAsia"/>
        </w:rPr>
      </w:pPr>
      <w:r>
        <w:t>4.3</w:t>
      </w:r>
      <w:r>
        <w:rPr>
          <w:rFonts w:hint="eastAsia"/>
        </w:rPr>
        <w:t>开发人员要求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1．供应商应提供专业技术人员实施开发和测试服务，须提供服务，服务地点为采购人指定地点。</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2.供应商应提供研发工程师不少于</w:t>
      </w:r>
      <w:r>
        <w:rPr>
          <w:rFonts w:ascii="方正仿宋_GBK" w:eastAsia="方正仿宋_GBK"/>
          <w:bCs/>
          <w:spacing w:val="-4"/>
        </w:rPr>
        <w:t>4</w:t>
      </w:r>
      <w:r>
        <w:rPr>
          <w:rFonts w:hint="eastAsia" w:ascii="方正仿宋_GBK" w:eastAsia="方正仿宋_GBK"/>
          <w:bCs/>
          <w:spacing w:val="-4"/>
        </w:rPr>
        <w:t>人，测试工程师不少于</w:t>
      </w:r>
      <w:r>
        <w:rPr>
          <w:rFonts w:ascii="方正仿宋_GBK" w:eastAsia="方正仿宋_GBK"/>
          <w:bCs/>
          <w:spacing w:val="-4"/>
        </w:rPr>
        <w:t>1</w:t>
      </w:r>
      <w:r>
        <w:rPr>
          <w:rFonts w:hint="eastAsia" w:ascii="方正仿宋_GBK" w:eastAsia="方正仿宋_GBK"/>
          <w:bCs/>
          <w:spacing w:val="-4"/>
        </w:rPr>
        <w:t>名，运维人员不少于</w:t>
      </w:r>
      <w:r>
        <w:rPr>
          <w:rFonts w:ascii="方正仿宋_GBK" w:eastAsia="方正仿宋_GBK"/>
          <w:bCs/>
          <w:spacing w:val="-4"/>
        </w:rPr>
        <w:t>1</w:t>
      </w:r>
      <w:r>
        <w:rPr>
          <w:rFonts w:hint="eastAsia" w:ascii="方正仿宋_GBK" w:eastAsia="方正仿宋_GBK"/>
          <w:bCs/>
          <w:spacing w:val="-4"/>
        </w:rPr>
        <w:t>人。</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3．供应商及其服务人员在项目执行过程中应严格遵守采购人相关管理制度、工作纪律，不得违反采购人安全生产、安全保密等要求。对于开发技术服务，采购人提供工作场所、工作环境，供应商服务期间的食宿及交通等费用自行承担。</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4．根据采购人需要，供应商人员须在实际开始提供技术服务前通过采购人的面试。</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5．后端开发工程师需熟练使用</w:t>
      </w:r>
      <w:r>
        <w:rPr>
          <w:rFonts w:ascii="方正仿宋_GBK" w:eastAsia="方正仿宋_GBK"/>
          <w:bCs/>
          <w:spacing w:val="-4"/>
        </w:rPr>
        <w:t>.</w:t>
      </w:r>
      <w:r>
        <w:rPr>
          <w:rFonts w:hint="eastAsia" w:ascii="方正仿宋_GBK" w:eastAsia="方正仿宋_GBK"/>
          <w:bCs/>
          <w:spacing w:val="-4"/>
        </w:rPr>
        <w:t>Net语言开发, Oracle和MySQL数据库开发，具备较强的SQL编写与调优能力。</w:t>
      </w:r>
    </w:p>
    <w:p>
      <w:pPr>
        <w:adjustRightInd w:val="0"/>
        <w:snapToGrid w:val="0"/>
        <w:ind w:firstLine="624" w:firstLineChars="200"/>
        <w:rPr>
          <w:rFonts w:ascii="方正仿宋_GBK" w:eastAsia="方正仿宋_GBK"/>
          <w:bCs/>
          <w:spacing w:val="-4"/>
        </w:rPr>
      </w:pPr>
      <w:r>
        <w:rPr>
          <w:rFonts w:ascii="方正仿宋_GBK" w:eastAsia="方正仿宋_GBK"/>
          <w:bCs/>
          <w:spacing w:val="-4"/>
        </w:rPr>
        <w:t xml:space="preserve">6. </w:t>
      </w:r>
      <w:r>
        <w:rPr>
          <w:rFonts w:hint="eastAsia" w:ascii="方正仿宋_GBK" w:eastAsia="方正仿宋_GBK"/>
          <w:bCs/>
          <w:spacing w:val="-4"/>
        </w:rPr>
        <w:t>前端工程师需熟练使用javascript、HTML、HTML5、CSS、 vue等主流前端类库、框架、工具等。</w:t>
      </w:r>
    </w:p>
    <w:p>
      <w:pPr>
        <w:pStyle w:val="3"/>
        <w:spacing w:line="240" w:lineRule="auto"/>
        <w:rPr>
          <w:rFonts w:hint="eastAsia"/>
        </w:rPr>
      </w:pPr>
      <w:r>
        <w:t>4.4</w:t>
      </w:r>
      <w:r>
        <w:rPr>
          <w:rFonts w:hint="eastAsia"/>
        </w:rPr>
        <w:t>服务标准</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服务期内应向采购人提供以下服务：</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1．工作时间供应商提供5</w:t>
      </w:r>
      <w:r>
        <w:rPr>
          <w:rFonts w:ascii="方正仿宋_GBK" w:eastAsia="方正仿宋_GBK"/>
          <w:bCs/>
          <w:spacing w:val="-4"/>
        </w:rPr>
        <w:t>×</w:t>
      </w:r>
      <w:r>
        <w:rPr>
          <w:rFonts w:hint="eastAsia" w:ascii="方正仿宋_GBK" w:eastAsia="方正仿宋_GBK"/>
          <w:bCs/>
          <w:spacing w:val="-4"/>
        </w:rPr>
        <w:t>8小时即时响应服务；服务类别包括软件开发、测试、运维、技术支持等。</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2．非工作时间供应商提供7</w:t>
      </w:r>
      <w:r>
        <w:rPr>
          <w:rFonts w:ascii="方正仿宋_GBK" w:eastAsia="方正仿宋_GBK"/>
          <w:bCs/>
          <w:spacing w:val="-4"/>
        </w:rPr>
        <w:t>×</w:t>
      </w:r>
      <w:r>
        <w:rPr>
          <w:rFonts w:hint="eastAsia" w:ascii="方正仿宋_GBK" w:eastAsia="方正仿宋_GBK"/>
          <w:bCs/>
          <w:spacing w:val="-4"/>
        </w:rPr>
        <w:t>24小时电话、邮件、远程支持服务。</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3.系统出现故障提供现场技术支持，响应时间为：10分钟内电话响应，2小时内提供现场服务和故障响应。</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4.提供紧急情况专人电话支持；提供现场技术支持服务。</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5.如采购人需要，中标人可安排专人节假日值班。</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6.根据系统运行情况，定期向采购人反馈发现的问题，并形成改进建议及时上报采购人。</w:t>
      </w:r>
    </w:p>
    <w:p>
      <w:pPr>
        <w:pStyle w:val="3"/>
        <w:spacing w:line="240" w:lineRule="auto"/>
        <w:rPr>
          <w:rFonts w:hint="eastAsia"/>
        </w:rPr>
      </w:pPr>
      <w:r>
        <w:t>4.5</w:t>
      </w:r>
      <w:r>
        <w:rPr>
          <w:rFonts w:hint="eastAsia"/>
        </w:rPr>
        <w:t>培训标准</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1．供应商需根据系统功能变更情况及时维护系统操作手册，及时向采购人提供。</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2．供应商需对采购人提供持续1周的跟踪培训服务，服务形式按采购人要求，包括现场、远程桌面、视频会议、即时通讯工具等。</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3．服务期内系统功能出现重大变更，在组织业务测试前应向采购人提供1周的集中培训服务。</w:t>
      </w:r>
    </w:p>
    <w:p>
      <w:pPr>
        <w:pStyle w:val="2"/>
        <w:spacing w:line="240" w:lineRule="auto"/>
      </w:pPr>
      <w:r>
        <w:t>5.</w:t>
      </w:r>
      <w:r>
        <w:rPr>
          <w:rFonts w:hint="eastAsia" w:eastAsia="方正仿宋_GBK"/>
        </w:rPr>
        <w:t>其他内容</w:t>
      </w:r>
    </w:p>
    <w:p>
      <w:pPr>
        <w:pStyle w:val="3"/>
        <w:spacing w:line="240" w:lineRule="auto"/>
        <w:rPr>
          <w:rFonts w:hint="eastAsia"/>
        </w:rPr>
      </w:pPr>
      <w:r>
        <w:t>5.1</w:t>
      </w:r>
      <w:r>
        <w:rPr>
          <w:rFonts w:hint="eastAsia"/>
        </w:rPr>
        <w:t>知识产权归属</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服务期内，供应商为采购人提供服务而产生的技术成果的专利申请权、计算机软件的著作权、技术秘密以及技术资料的所有权及其它任何成果的知识产权全部归采购人所有。采购人对供应商进行透漏并不意味着任何所有权、专利权的转让。</w:t>
      </w:r>
    </w:p>
    <w:p>
      <w:pPr>
        <w:pStyle w:val="3"/>
        <w:spacing w:line="240" w:lineRule="auto"/>
        <w:rPr>
          <w:rFonts w:hint="eastAsia"/>
        </w:rPr>
      </w:pPr>
      <w:r>
        <w:t>5.2</w:t>
      </w:r>
      <w:r>
        <w:rPr>
          <w:rFonts w:hint="eastAsia"/>
        </w:rPr>
        <w:t>安全保密要求</w:t>
      </w:r>
    </w:p>
    <w:p>
      <w:pPr>
        <w:adjustRightInd w:val="0"/>
        <w:snapToGrid w:val="0"/>
        <w:ind w:firstLine="624" w:firstLineChars="200"/>
        <w:rPr>
          <w:rFonts w:ascii="方正仿宋_GBK" w:eastAsia="方正仿宋_GBK"/>
          <w:bCs/>
          <w:spacing w:val="-4"/>
        </w:rPr>
      </w:pPr>
      <w:r>
        <w:rPr>
          <w:rFonts w:hint="eastAsia" w:ascii="方正仿宋_GBK" w:eastAsia="方正仿宋_GBK"/>
          <w:bCs/>
          <w:spacing w:val="-4"/>
        </w:rPr>
        <w:t>供应商应对在采购人工作过程中所获知的全部技术资料和技术秘密采取保密措施。除非法律法规要求或取得采购人事先书面同意，供应商不得对外透漏。在本项目服务期结束后，供应商保证归还采购人提供的所有技术资料和文件，并承诺不保留任何副本。供应商应保证供应商人员保守其获悉的采购人秘密，并采取必要措施确保供应商人员遵守上述有关知识产权、保密等方面的约定。为保护采购人的权益不受侵犯，供应商须按采购人要求签订保密协议。</w:t>
      </w:r>
    </w:p>
    <w:sectPr>
      <w:pgSz w:w="11906" w:h="16838"/>
      <w:pgMar w:top="1440" w:right="1800" w:bottom="1440" w:left="1800" w:header="851" w:footer="992" w:gutter="0"/>
      <w:pgNumType w:start="0"/>
      <w:cols w:space="720"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Lucida Sans">
    <w:altName w:val="Noto Sans"/>
    <w:panose1 w:val="020B0602030504020204"/>
    <w:charset w:val="00"/>
    <w:family w:val="swiss"/>
    <w:pitch w:val="default"/>
    <w:sig w:usb0="00000000" w:usb1="00000000" w:usb2="00000000" w:usb3="00000000" w:csb0="00000001" w:csb1="00000000"/>
  </w:font>
  <w:font w:name="Luxi Sans">
    <w:altName w:val="Times New Roman"/>
    <w:panose1 w:val="00000000000000000000"/>
    <w:charset w:val="00"/>
    <w:family w:val="auto"/>
    <w:pitch w:val="default"/>
    <w:sig w:usb0="00000000" w:usb1="00000000" w:usb2="00000000" w:usb3="00000000" w:csb0="00000000" w:csb1="00000000"/>
  </w:font>
  <w:font w:name="等线">
    <w:altName w:val="华文仿宋"/>
    <w:panose1 w:val="02010600030101010101"/>
    <w:charset w:val="86"/>
    <w:family w:val="auto"/>
    <w:pitch w:val="default"/>
    <w:sig w:usb0="00000000" w:usb1="00000000" w:usb2="00000016" w:usb3="00000000" w:csb0="0004000F" w:csb1="00000000"/>
  </w:font>
  <w:font w:name="Arial">
    <w:altName w:val="Times New Roman"/>
    <w:panose1 w:val="020B0604020202020204"/>
    <w:charset w:val="00"/>
    <w:family w:val="swiss"/>
    <w:pitch w:val="default"/>
    <w:sig w:usb0="00000000" w:usb1="00000000" w:usb2="00000009" w:usb3="00000000" w:csb0="000001FF" w:csb1="00000000"/>
  </w:font>
  <w:font w:name="方正仿宋_GBK">
    <w:panose1 w:val="02000000000000000000"/>
    <w:charset w:val="86"/>
    <w:family w:val="script"/>
    <w:pitch w:val="default"/>
    <w:sig w:usb0="A00002BF" w:usb1="38CF7CFA" w:usb2="00082016" w:usb3="00000000" w:csb0="00040001"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B46A3E"/>
    <w:multiLevelType w:val="multilevel"/>
    <w:tmpl w:val="1FB46A3E"/>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60"/>
  <w:drawingGridVerticalSpacing w:val="435"/>
  <w:displayHorizontalDrawingGridEvery w:val="0"/>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xY2U1YzJjNjg2ZjQyMmY2ZTIzNzFmNDE4ZjJkZWUifQ=="/>
  </w:docVars>
  <w:rsids>
    <w:rsidRoot w:val="001833FA"/>
    <w:rsid w:val="00033B6C"/>
    <w:rsid w:val="00086811"/>
    <w:rsid w:val="000D135B"/>
    <w:rsid w:val="001833FA"/>
    <w:rsid w:val="00281F43"/>
    <w:rsid w:val="002C2F02"/>
    <w:rsid w:val="00375EC1"/>
    <w:rsid w:val="00502E56"/>
    <w:rsid w:val="00584A58"/>
    <w:rsid w:val="00627127"/>
    <w:rsid w:val="00891780"/>
    <w:rsid w:val="008D0EC4"/>
    <w:rsid w:val="009615C1"/>
    <w:rsid w:val="00984633"/>
    <w:rsid w:val="00A63952"/>
    <w:rsid w:val="00C00A68"/>
    <w:rsid w:val="00CA2D04"/>
    <w:rsid w:val="00CC5689"/>
    <w:rsid w:val="FFB56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paragraph" w:styleId="2">
    <w:name w:val="heading 1"/>
    <w:basedOn w:val="1"/>
    <w:next w:val="1"/>
    <w:uiPriority w:val="0"/>
    <w:pPr>
      <w:keepNext/>
      <w:keepLines/>
      <w:spacing w:before="340" w:after="330" w:line="578" w:lineRule="auto"/>
      <w:outlineLvl w:val="0"/>
    </w:pPr>
    <w:rPr>
      <w:b/>
      <w:bCs/>
      <w:kern w:val="44"/>
      <w:sz w:val="44"/>
    </w:rPr>
  </w:style>
  <w:style w:type="paragraph" w:styleId="3">
    <w:name w:val="heading 2"/>
    <w:basedOn w:val="1"/>
    <w:next w:val="1"/>
    <w:uiPriority w:val="0"/>
    <w:pPr>
      <w:keepNext/>
      <w:keepLines/>
      <w:spacing w:before="260" w:after="260" w:line="415" w:lineRule="auto"/>
      <w:outlineLvl w:val="1"/>
    </w:pPr>
    <w:rPr>
      <w:rFonts w:ascii="Luxi Sans" w:hAnsi="Luxi Sans" w:eastAsia="黑体"/>
      <w:b/>
    </w:rPr>
  </w:style>
  <w:style w:type="paragraph" w:styleId="4">
    <w:name w:val="heading 3"/>
    <w:basedOn w:val="1"/>
    <w:next w:val="1"/>
    <w:uiPriority w:val="0"/>
    <w:pPr>
      <w:keepNext/>
      <w:keepLines/>
      <w:spacing w:before="260" w:after="260" w:line="415" w:lineRule="auto"/>
      <w:outlineLvl w:val="2"/>
    </w:pPr>
    <w:rPr>
      <w:b/>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5">
    <w:name w:val="Balloon Text"/>
    <w:basedOn w:val="1"/>
    <w:uiPriority w:val="0"/>
    <w:rPr>
      <w:sz w:val="18"/>
      <w:szCs w:val="18"/>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spacing w:before="100" w:beforeAutospacing="1" w:after="100" w:afterAutospacing="1"/>
      <w:jc w:val="left"/>
    </w:pPr>
    <w:rPr>
      <w:kern w:val="0"/>
      <w:sz w:val="24"/>
    </w:rPr>
  </w:style>
  <w:style w:type="paragraph" w:customStyle="1" w:styleId="11">
    <w:name w:val="样式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2">
    <w:name w:val="样式 1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3">
    <w:name w:val="样式 2 三号"/>
    <w:next w:val="14"/>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4">
    <w:name w:val="样式 5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5">
    <w:name w:val="样式 3 三号"/>
    <w:next w:val="16"/>
    <w:uiPriority w:val="0"/>
    <w:pPr>
      <w:widowControl w:val="0"/>
      <w:jc w:val="both"/>
    </w:pPr>
    <w:rPr>
      <w:rFonts w:ascii="Times New Roman" w:hAnsi="Times New Roman" w:eastAsia="宋体" w:cs="Times New Roman"/>
      <w:kern w:val="2"/>
      <w:sz w:val="32"/>
      <w:szCs w:val="28"/>
      <w:lang w:val="en-US" w:eastAsia="zh-CN" w:bidi="ar-SA"/>
    </w:rPr>
  </w:style>
  <w:style w:type="paragraph" w:customStyle="1" w:styleId="16">
    <w:name w:val="样式 9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7">
    <w:name w:val="样式 4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8">
    <w:name w:val="样式 小四"/>
    <w:uiPriority w:val="0"/>
    <w:pPr>
      <w:widowControl w:val="0"/>
    </w:pPr>
    <w:rPr>
      <w:rFonts w:ascii="宋体" w:hAnsi="Times New Roman" w:eastAsia="宋体" w:cs="Times New Roman"/>
      <w:kern w:val="2"/>
      <w:sz w:val="24"/>
      <w:szCs w:val="21"/>
      <w:lang w:val="en-US" w:eastAsia="zh-CN" w:bidi="ar-SA"/>
    </w:rPr>
  </w:style>
  <w:style w:type="paragraph" w:customStyle="1" w:styleId="19">
    <w:name w:val="样式 1 小四"/>
    <w:uiPriority w:val="0"/>
    <w:pPr>
      <w:widowControl w:val="0"/>
    </w:pPr>
    <w:rPr>
      <w:rFonts w:ascii="宋体" w:hAnsi="Times New Roman" w:eastAsia="宋体" w:cs="Times New Roman"/>
      <w:kern w:val="2"/>
      <w:sz w:val="24"/>
      <w:szCs w:val="21"/>
      <w:lang w:val="en-US" w:eastAsia="zh-CN" w:bidi="ar-SA"/>
    </w:rPr>
  </w:style>
  <w:style w:type="paragraph" w:customStyle="1" w:styleId="20">
    <w:name w:val="样式 2 小四"/>
    <w:uiPriority w:val="0"/>
    <w:pPr>
      <w:widowControl w:val="0"/>
    </w:pPr>
    <w:rPr>
      <w:rFonts w:ascii="宋体" w:hAnsi="Times New Roman" w:eastAsia="宋体" w:cs="Times New Roman"/>
      <w:kern w:val="2"/>
      <w:sz w:val="24"/>
      <w:szCs w:val="21"/>
      <w:lang w:val="en-US" w:eastAsia="zh-CN" w:bidi="ar-SA"/>
    </w:rPr>
  </w:style>
  <w:style w:type="paragraph" w:customStyle="1" w:styleId="21">
    <w:name w:val="样式 6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22">
    <w:name w:val="样式 7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23">
    <w:name w:val="样式 8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24">
    <w:name w:val="样式 10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25">
    <w:name w:val="样式 11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26">
    <w:name w:val="样式 12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27">
    <w:name w:val="样式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28">
    <w:name w:val="样式 1 10 磅"/>
    <w:uiPriority w:val="0"/>
    <w:pPr>
      <w:widowControl w:val="0"/>
      <w:jc w:val="both"/>
    </w:pPr>
    <w:rPr>
      <w:rFonts w:ascii="等线" w:hAnsi="Times New Roman" w:eastAsia="等线" w:cs="Arial"/>
      <w:kern w:val="2"/>
      <w:sz w:val="21"/>
      <w:szCs w:val="22"/>
      <w:lang w:val="en-US" w:eastAsia="zh-CN" w:bidi="ar-SA"/>
    </w:rPr>
  </w:style>
  <w:style w:type="paragraph" w:customStyle="1" w:styleId="29">
    <w:name w:val="样式 2 10 磅"/>
    <w:uiPriority w:val="0"/>
    <w:pPr>
      <w:widowControl w:val="0"/>
      <w:jc w:val="both"/>
    </w:pPr>
    <w:rPr>
      <w:rFonts w:ascii="等线" w:hAnsi="Times New Roman" w:eastAsia="等线" w:cs="Arial"/>
      <w:kern w:val="2"/>
      <w:sz w:val="21"/>
      <w:szCs w:val="22"/>
      <w:lang w:val="en-US" w:eastAsia="zh-CN" w:bidi="ar-SA"/>
    </w:rPr>
  </w:style>
  <w:style w:type="paragraph" w:customStyle="1" w:styleId="30">
    <w:name w:val="样式 3 10 磅"/>
    <w:uiPriority w:val="0"/>
    <w:pPr>
      <w:widowControl w:val="0"/>
      <w:jc w:val="both"/>
    </w:pPr>
    <w:rPr>
      <w:rFonts w:ascii="等线" w:hAnsi="Times New Roman" w:eastAsia="等线" w:cs="Arial"/>
      <w:kern w:val="2"/>
      <w:sz w:val="21"/>
      <w:szCs w:val="22"/>
      <w:lang w:val="en-US" w:eastAsia="zh-CN" w:bidi="ar-SA"/>
    </w:rPr>
  </w:style>
  <w:style w:type="paragraph" w:customStyle="1" w:styleId="31">
    <w:name w:val="样式 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
    <w:name w:val="样式 13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33">
    <w:name w:val="样式 5 10 磅"/>
    <w:uiPriority w:val="0"/>
    <w:pPr>
      <w:widowControl w:val="0"/>
      <w:jc w:val="both"/>
    </w:pPr>
    <w:rPr>
      <w:rFonts w:ascii="等线" w:hAnsi="Times New Roman" w:eastAsia="等线" w:cs="Arial"/>
      <w:kern w:val="2"/>
      <w:sz w:val="21"/>
      <w:szCs w:val="22"/>
      <w:lang w:val="en-US" w:eastAsia="zh-CN" w:bidi="ar-SA"/>
    </w:rPr>
  </w:style>
  <w:style w:type="paragraph" w:customStyle="1" w:styleId="34">
    <w:name w:val="样式 6 10 磅"/>
    <w:uiPriority w:val="0"/>
    <w:pPr>
      <w:widowControl w:val="0"/>
      <w:jc w:val="both"/>
    </w:pPr>
    <w:rPr>
      <w:rFonts w:ascii="等线" w:hAnsi="Times New Roman" w:eastAsia="等线" w:cs="Arial"/>
      <w:kern w:val="2"/>
      <w:sz w:val="21"/>
      <w:szCs w:val="22"/>
      <w:lang w:val="en-US" w:eastAsia="zh-CN" w:bidi="ar-SA"/>
    </w:rPr>
  </w:style>
  <w:style w:type="paragraph" w:customStyle="1" w:styleId="35">
    <w:name w:val="样式 14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36">
    <w:name w:val="样式 15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37">
    <w:name w:val="样式 16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38">
    <w:name w:val="样式 17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39">
    <w:name w:val="样式 7 10 磅"/>
    <w:uiPriority w:val="0"/>
    <w:pPr>
      <w:widowControl w:val="0"/>
      <w:jc w:val="both"/>
    </w:pPr>
    <w:rPr>
      <w:rFonts w:ascii="等线" w:hAnsi="Times New Roman" w:eastAsia="等线" w:cs="Arial"/>
      <w:kern w:val="2"/>
      <w:sz w:val="21"/>
      <w:szCs w:val="22"/>
      <w:lang w:val="en-US" w:eastAsia="zh-CN" w:bidi="ar-SA"/>
    </w:rPr>
  </w:style>
  <w:style w:type="paragraph" w:customStyle="1" w:styleId="40">
    <w:name w:val="样式 8 10 磅"/>
    <w:uiPriority w:val="0"/>
    <w:pPr>
      <w:widowControl w:val="0"/>
      <w:jc w:val="both"/>
    </w:pPr>
    <w:rPr>
      <w:rFonts w:ascii="等线" w:hAnsi="Times New Roman" w:eastAsia="等线" w:cs="Arial"/>
      <w:kern w:val="2"/>
      <w:sz w:val="21"/>
      <w:szCs w:val="22"/>
      <w:lang w:val="en-US" w:eastAsia="zh-CN" w:bidi="ar-SA"/>
    </w:rPr>
  </w:style>
  <w:style w:type="paragraph" w:customStyle="1" w:styleId="41">
    <w:name w:val="样式 18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42">
    <w:name w:val="样式 19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43">
    <w:name w:val="样式 9 10 磅"/>
    <w:uiPriority w:val="0"/>
    <w:pPr>
      <w:widowControl w:val="0"/>
      <w:jc w:val="both"/>
    </w:pPr>
    <w:rPr>
      <w:rFonts w:ascii="Calibri" w:hAnsi="Calibri" w:eastAsia="宋体" w:cs="Times New Roman"/>
      <w:kern w:val="2"/>
      <w:sz w:val="21"/>
      <w:szCs w:val="24"/>
      <w:lang w:val="en-US" w:eastAsia="zh-CN" w:bidi="ar-SA"/>
    </w:rPr>
  </w:style>
  <w:style w:type="paragraph" w:customStyle="1" w:styleId="44">
    <w:name w:val="样式 20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45">
    <w:name w:val="样式 10 10 磅"/>
    <w:uiPriority w:val="0"/>
    <w:pPr>
      <w:widowControl w:val="0"/>
      <w:jc w:val="both"/>
    </w:pPr>
    <w:rPr>
      <w:rFonts w:ascii="Calibri" w:hAnsi="Calibri" w:eastAsia="宋体" w:cs="Times New Roman"/>
      <w:kern w:val="2"/>
      <w:sz w:val="21"/>
      <w:szCs w:val="24"/>
      <w:lang w:val="en-US" w:eastAsia="zh-CN" w:bidi="ar-SA"/>
    </w:rPr>
  </w:style>
  <w:style w:type="paragraph" w:customStyle="1" w:styleId="46">
    <w:name w:val="样式 11 10 磅"/>
    <w:uiPriority w:val="0"/>
    <w:pPr>
      <w:widowControl w:val="0"/>
      <w:jc w:val="both"/>
    </w:pPr>
    <w:rPr>
      <w:rFonts w:ascii="Calibri" w:hAnsi="Calibri" w:eastAsia="宋体" w:cs="Times New Roman"/>
      <w:kern w:val="2"/>
      <w:sz w:val="21"/>
      <w:szCs w:val="24"/>
      <w:lang w:val="en-US" w:eastAsia="zh-CN" w:bidi="ar-SA"/>
    </w:rPr>
  </w:style>
  <w:style w:type="paragraph" w:customStyle="1" w:styleId="47">
    <w:name w:val="样式 21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48">
    <w:name w:val="样式 12 10 磅"/>
    <w:uiPriority w:val="0"/>
    <w:pPr>
      <w:widowControl w:val="0"/>
      <w:jc w:val="both"/>
    </w:pPr>
    <w:rPr>
      <w:rFonts w:ascii="Calibri" w:hAnsi="Calibri" w:eastAsia="宋体" w:cs="Times New Roman"/>
      <w:kern w:val="2"/>
      <w:sz w:val="21"/>
      <w:szCs w:val="24"/>
      <w:lang w:val="en-US" w:eastAsia="zh-CN" w:bidi="ar-SA"/>
    </w:rPr>
  </w:style>
  <w:style w:type="paragraph" w:customStyle="1" w:styleId="49">
    <w:name w:val="样式 22 三号"/>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50">
    <w:name w:val="样式 13 10 磅"/>
    <w:uiPriority w:val="0"/>
    <w:pPr>
      <w:widowControl w:val="0"/>
      <w:jc w:val="both"/>
    </w:pPr>
    <w:rPr>
      <w:rFonts w:ascii="Calibri" w:hAnsi="Calibri" w:eastAsia="宋体" w:cs="Times New Roman"/>
      <w:kern w:val="2"/>
      <w:sz w:val="21"/>
      <w:szCs w:val="24"/>
      <w:lang w:val="en-US" w:eastAsia="zh-CN" w:bidi="ar-SA"/>
    </w:rPr>
  </w:style>
  <w:style w:type="paragraph" w:customStyle="1" w:styleId="51">
    <w:name w:val="样式 14 10 磅"/>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样式 15 10 磅"/>
    <w:uiPriority w:val="0"/>
    <w:pPr>
      <w:widowControl w:val="0"/>
      <w:jc w:val="both"/>
    </w:pPr>
    <w:rPr>
      <w:rFonts w:ascii="Calibri" w:hAnsi="Calibri" w:eastAsia="宋体" w:cs="Times New Roman"/>
      <w:kern w:val="2"/>
      <w:sz w:val="21"/>
      <w:szCs w:val="24"/>
      <w:lang w:val="en-US" w:eastAsia="zh-CN" w:bidi="ar-SA"/>
    </w:rPr>
  </w:style>
  <w:style w:type="paragraph" w:customStyle="1" w:styleId="53">
    <w:name w:val="样式 16 10 磅"/>
    <w:uiPriority w:val="0"/>
    <w:pPr>
      <w:widowControl w:val="0"/>
      <w:jc w:val="both"/>
    </w:pPr>
    <w:rPr>
      <w:rFonts w:ascii="Calibri" w:hAnsi="Calibri" w:eastAsia="宋体" w:cs="Times New Roman"/>
      <w:kern w:val="2"/>
      <w:sz w:val="21"/>
      <w:szCs w:val="24"/>
      <w:lang w:val="en-US" w:eastAsia="zh-CN" w:bidi="ar-SA"/>
    </w:rPr>
  </w:style>
  <w:style w:type="paragraph" w:customStyle="1" w:styleId="54">
    <w:name w:val="样式 17 10 磅"/>
    <w:uiPriority w:val="0"/>
    <w:pPr>
      <w:widowControl w:val="0"/>
      <w:jc w:val="both"/>
    </w:pPr>
    <w:rPr>
      <w:rFonts w:ascii="Calibri" w:hAnsi="Calibri" w:eastAsia="宋体" w:cs="Times New Roman"/>
      <w:kern w:val="2"/>
      <w:sz w:val="21"/>
      <w:szCs w:val="24"/>
      <w:lang w:val="en-US" w:eastAsia="zh-CN" w:bidi="ar-SA"/>
    </w:rPr>
  </w:style>
  <w:style w:type="paragraph" w:customStyle="1" w:styleId="55">
    <w:name w:val="样式 18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56">
    <w:name w:val="样式 19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57">
    <w:name w:val="样式 20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58">
    <w:name w:val="样式 21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59">
    <w:name w:val="样式 23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60">
    <w:name w:val="样式 24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61">
    <w:name w:val="样式 25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62">
    <w:name w:val="样式 26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63">
    <w:name w:val="样式 27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64">
    <w:name w:val="样式 28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65">
    <w:name w:val="样式 29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66">
    <w:name w:val="样式 30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67">
    <w:name w:val="样式 22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68">
    <w:name w:val="样式 2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69">
    <w:name w:val="样式 小二"/>
    <w:qFormat/>
    <w:uiPriority w:val="0"/>
    <w:pPr>
      <w:textAlignment w:val="baseline"/>
      <w:outlineLvl w:val="0"/>
    </w:pPr>
    <w:rPr>
      <w:rFonts w:ascii="Arial" w:hAnsi="Arial" w:eastAsia="宋体" w:cs="Arial"/>
      <w:color w:val="000000"/>
      <w:sz w:val="36"/>
      <w:szCs w:val="36"/>
      <w:lang w:val="en-US" w:eastAsia="zh-CN" w:bidi="ar-SA"/>
    </w:rPr>
  </w:style>
  <w:style w:type="paragraph" w:customStyle="1" w:styleId="70">
    <w:name w:val="样式 1 小二"/>
    <w:qFormat/>
    <w:uiPriority w:val="0"/>
    <w:pPr>
      <w:textAlignment w:val="baseline"/>
      <w:outlineLvl w:val="0"/>
    </w:pPr>
    <w:rPr>
      <w:rFonts w:ascii="Arial" w:hAnsi="Arial" w:eastAsia="宋体" w:cs="Arial"/>
      <w:color w:val="000000"/>
      <w:sz w:val="36"/>
      <w:szCs w:val="36"/>
      <w:lang w:val="en-US" w:eastAsia="zh-CN" w:bidi="ar-SA"/>
    </w:rPr>
  </w:style>
  <w:style w:type="paragraph" w:customStyle="1" w:styleId="71">
    <w:name w:val="样式 2 小二"/>
    <w:qFormat/>
    <w:uiPriority w:val="0"/>
    <w:pPr>
      <w:textAlignment w:val="baseline"/>
      <w:outlineLvl w:val="0"/>
    </w:pPr>
    <w:rPr>
      <w:rFonts w:ascii="Arial" w:hAnsi="Arial" w:eastAsia="宋体" w:cs="Arial"/>
      <w:color w:val="000000"/>
      <w:sz w:val="36"/>
      <w:szCs w:val="36"/>
      <w:lang w:val="en-US" w:eastAsia="zh-CN" w:bidi="ar-SA"/>
    </w:rPr>
  </w:style>
  <w:style w:type="paragraph" w:customStyle="1" w:styleId="72">
    <w:name w:val="样式 3 小二"/>
    <w:qFormat/>
    <w:uiPriority w:val="0"/>
    <w:pPr>
      <w:textAlignment w:val="baseline"/>
      <w:outlineLvl w:val="0"/>
    </w:pPr>
    <w:rPr>
      <w:rFonts w:ascii="Arial" w:hAnsi="Arial" w:eastAsia="宋体" w:cs="Arial"/>
      <w:color w:val="000000"/>
      <w:sz w:val="36"/>
      <w:szCs w:val="36"/>
      <w:lang w:val="en-US" w:eastAsia="zh-CN" w:bidi="ar-SA"/>
    </w:rPr>
  </w:style>
  <w:style w:type="paragraph" w:customStyle="1" w:styleId="73">
    <w:name w:val="样式 4 小二"/>
    <w:qFormat/>
    <w:uiPriority w:val="0"/>
    <w:pPr>
      <w:textAlignment w:val="baseline"/>
      <w:outlineLvl w:val="0"/>
    </w:pPr>
    <w:rPr>
      <w:rFonts w:ascii="Arial" w:hAnsi="Arial" w:eastAsia="宋体" w:cs="Arial"/>
      <w:color w:val="000000"/>
      <w:sz w:val="36"/>
      <w:szCs w:val="36"/>
      <w:lang w:val="en-US" w:eastAsia="zh-CN" w:bidi="ar-SA"/>
    </w:rPr>
  </w:style>
  <w:style w:type="paragraph" w:customStyle="1" w:styleId="74">
    <w:name w:val="样式 5 小二"/>
    <w:qFormat/>
    <w:uiPriority w:val="0"/>
    <w:pPr>
      <w:textAlignment w:val="baseline"/>
      <w:outlineLvl w:val="0"/>
    </w:pPr>
    <w:rPr>
      <w:rFonts w:ascii="Arial" w:hAnsi="Arial" w:eastAsia="宋体" w:cs="Arial"/>
      <w:color w:val="000000"/>
      <w:sz w:val="36"/>
      <w:szCs w:val="36"/>
      <w:lang w:val="en-US" w:eastAsia="zh-CN" w:bidi="ar-SA"/>
    </w:rPr>
  </w:style>
  <w:style w:type="paragraph" w:customStyle="1" w:styleId="75">
    <w:name w:val="样式 31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76">
    <w:name w:val="样式 32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77">
    <w:name w:val="样式 33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78">
    <w:name w:val="样式 34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79">
    <w:name w:val="样式 35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80">
    <w:name w:val="样式 36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81">
    <w:name w:val="样式 24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2">
    <w:name w:val="修订1"/>
    <w:qFormat/>
    <w:uiPriority w:val="0"/>
    <w:rPr>
      <w:rFonts w:ascii="Times New Roman" w:hAnsi="Times New Roman" w:eastAsia="宋体" w:cs="Times New Roman"/>
      <w:kern w:val="2"/>
      <w:sz w:val="32"/>
      <w:szCs w:val="32"/>
      <w:lang w:val="en-US" w:eastAsia="zh-CN" w:bidi="ar-SA"/>
    </w:rPr>
  </w:style>
  <w:style w:type="paragraph" w:customStyle="1" w:styleId="83">
    <w:name w:val="样式 37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84">
    <w:name w:val="样式 38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85">
    <w:name w:val="样式 39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86">
    <w:name w:val="样式 40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87">
    <w:name w:val="样式 41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88">
    <w:name w:val="样式 42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89">
    <w:name w:val="样式 43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90">
    <w:name w:val="样式 44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91">
    <w:name w:val="样式 45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92">
    <w:name w:val="样式 46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93">
    <w:name w:val="样式 47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94">
    <w:name w:val="样式 48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95">
    <w:name w:val="样式 49 三号"/>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96">
    <w:name w:val="样式 50 三号"/>
    <w:qFormat/>
    <w:uiPriority w:val="0"/>
    <w:pPr>
      <w:widowControl w:val="0"/>
      <w:jc w:val="both"/>
    </w:pPr>
    <w:rPr>
      <w:rFonts w:ascii="Times New Roman" w:hAnsi="Times New Roman"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DLHG</Company>
  <Pages>8</Pages>
  <Words>552</Words>
  <Characters>3153</Characters>
  <Lines>26</Lines>
  <Paragraphs>7</Paragraphs>
  <TotalTime>74</TotalTime>
  <ScaleCrop>false</ScaleCrop>
  <LinksUpToDate>false</LinksUpToDate>
  <CharactersWithSpaces>3698</CharactersWithSpaces>
  <Application>WPS Office_11.1.0.10920_F1E327BC-269C-435d-A152-05C5408002CA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2025-07-04T09:58:00Z</dcterms:created>
  <dc:creator>伟彬 苗</dc:creator>
  <cp:lastModifiedBy>user</cp:lastModifiedBy>
  <cp:lastPrinted>2020-05-28T09:01:00Z</cp:lastPrinted>
  <dcterms:modified xsi:type="dcterms:W3CDTF">2025-12-19T13:25:53Z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2052-11.1.0.10920</vt:lpwstr>
  </property>
  <property fmtid="{D5CDD505-2E9C-101B-9397-08002B2CF9AE}" pid="3" name="ICV">
    <vt:lpwstr>058AA5394B744B9EA20777FBEB9AABC5_13</vt:lpwstr>
  </property>
</Properties>
</file>