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adjustRightInd w:val="0"/>
        <w:snapToGrid w:val="0"/>
        <w:spacing w:after="0" w:line="560" w:lineRule="exact"/>
        <w:ind w:left="0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大连海关荣誉退休纪念品采购项目需求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方正黑体_GBK" w:eastAsia="方正黑体_GBK" w:cs="方正黑体_GBK" w:hAnsi="方正黑体_GBK"/>
          <w:b/>
          <w:bCs/>
          <w:sz w:val="32"/>
          <w:szCs w:val="32"/>
        </w:rPr>
      </w:pP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方正黑体_GBK" w:eastAsia="方正黑体_GBK" w:cs="方正黑体_GBK" w:hAnsi="方正黑体_GBK" w:hint="eastAsia"/>
          <w:sz w:val="32"/>
          <w:szCs w:val="32"/>
        </w:rPr>
      </w:pPr>
      <w:r>
        <w:rPr>
          <w:rFonts w:ascii="方正黑体_GBK" w:eastAsia="方正黑体_GBK" w:cs="方正黑体_GBK" w:hAnsi="方正黑体_GBK" w:hint="eastAsia"/>
          <w:sz w:val="32"/>
          <w:szCs w:val="32"/>
        </w:rPr>
        <w:t>一、项目背景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hAnsi="Times New Roman"/>
          <w:spacing w:val="0"/>
          <w:sz w:val="32"/>
          <w:szCs w:val="32"/>
          <w:vertAlign w:val="baseline"/>
        </w:rPr>
        <w:t>为进一步体现大连海关党委对干部的关心关爱，增强干部荣誉感、自豪感、归属感，</w:t>
      </w:r>
      <w:r>
        <w:rPr>
          <w:rFonts w:ascii="Times New Roman" w:eastAsia="方正仿宋_GBK" w:cs="Times New Roman" w:hAnsi="Times New Roman"/>
          <w:sz w:val="32"/>
          <w:szCs w:val="32"/>
        </w:rPr>
        <w:t>致敬退休员工贡献，展现单位人文关怀，现需定制荣誉退休纪念铜看盘70套。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方正黑体_GBK" w:eastAsia="方正黑体_GBK" w:cs="方正黑体_GBK" w:hAnsi="方正黑体_GBK" w:hint="eastAsia"/>
          <w:sz w:val="32"/>
          <w:szCs w:val="32"/>
        </w:rPr>
      </w:pPr>
      <w:r>
        <w:rPr>
          <w:rFonts w:ascii="方正黑体_GBK" w:eastAsia="方正黑体_GBK" w:cs="方正黑体_GBK" w:hAnsi="方正黑体_GBK" w:hint="eastAsia"/>
          <w:sz w:val="32"/>
          <w:szCs w:val="32"/>
        </w:rPr>
        <w:t>二、产品核心要求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方正楷体_GBK" w:eastAsia="方正楷体_GBK" w:cs="方正楷体_GBK" w:hAnsi="方正楷体_GBK" w:hint="eastAsia"/>
          <w:b/>
          <w:bCs/>
          <w:sz w:val="32"/>
          <w:szCs w:val="32"/>
        </w:rPr>
      </w:pPr>
      <w:r>
        <w:rPr>
          <w:rFonts w:ascii="方正楷体_GBK" w:eastAsia="方正楷体_GBK" w:cs="方正楷体_GBK" w:hAnsi="方正楷体_GBK" w:hint="eastAsia"/>
          <w:b/>
          <w:bCs/>
          <w:sz w:val="32"/>
          <w:szCs w:val="32"/>
        </w:rPr>
        <w:t>（一）基础规格与材质</w:t>
      </w:r>
    </w:p>
    <w:p>
      <w:pPr>
        <w:adjustRightInd w:val="0"/>
        <w:snapToGrid w:val="0"/>
        <w:spacing w:after="0" w:line="560" w:lineRule="exact"/>
        <w:ind w:left="0"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1.以高品质纯铜为原料，保障材质延展性、稳定性，为复杂工艺实施与长期保存奠定基础。</w:t>
      </w:r>
    </w:p>
    <w:p>
      <w:pPr>
        <w:adjustRightInd w:val="0"/>
        <w:snapToGrid w:val="0"/>
        <w:spacing w:after="0" w:line="560" w:lineRule="exact"/>
        <w:ind w:left="0"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2.成品尺寸、外观需契合定制设计，尺寸公差严格控制在1 mm以内，保障规格精准性。</w:t>
      </w:r>
    </w:p>
    <w:p>
      <w:pPr>
        <w:adjustRightInd w:val="0"/>
        <w:snapToGrid w:val="0"/>
        <w:spacing w:after="0" w:line="560" w:lineRule="exact"/>
        <w:ind w:left="0"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3.型号：22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×</w:t>
      </w:r>
      <w:r>
        <w:rPr>
          <w:rFonts w:ascii="Times New Roman" w:eastAsia="方正仿宋_GBK" w:cs="Times New Roman" w:hAnsi="Times New Roman"/>
          <w:sz w:val="32"/>
          <w:szCs w:val="32"/>
        </w:rPr>
        <w:t>22cm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方正楷体_GBK" w:eastAsia="方正楷体_GBK" w:cs="方正楷体_GBK" w:hAnsi="方正楷体_GBK" w:hint="eastAsia"/>
          <w:b/>
          <w:bCs/>
          <w:sz w:val="32"/>
          <w:szCs w:val="32"/>
        </w:rPr>
      </w:pPr>
      <w:r>
        <w:rPr>
          <w:rFonts w:ascii="方正楷体_GBK" w:eastAsia="方正楷体_GBK" w:cs="方正楷体_GBK" w:hAnsi="方正楷体_GBK" w:hint="eastAsia"/>
          <w:b/>
          <w:bCs/>
          <w:sz w:val="32"/>
          <w:szCs w:val="32"/>
        </w:rPr>
        <w:t>（二）立体亚铸成型工艺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 xml:space="preserve">1.模具设计：先依据产品设计图，构建三维立体模型，精准还原建筑轮廓、图案线条等细节。模型确保与设计预期一致，制成硬度、精度达标的模具。 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2.铸造控制：采用纯铜原料呈现产品立体结构。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方正楷体_GBK" w:eastAsia="方正楷体_GBK" w:cs="方正楷体_GBK" w:hAnsi="方正楷体_GBK" w:hint="eastAsia"/>
          <w:b/>
          <w:bCs/>
          <w:sz w:val="32"/>
          <w:szCs w:val="32"/>
        </w:rPr>
      </w:pPr>
      <w:r>
        <w:rPr>
          <w:rFonts w:ascii="方正楷体_GBK" w:eastAsia="方正楷体_GBK" w:cs="方正楷体_GBK" w:hAnsi="方正楷体_GBK" w:hint="eastAsia"/>
          <w:b/>
          <w:bCs/>
          <w:sz w:val="32"/>
          <w:szCs w:val="32"/>
        </w:rPr>
        <w:t>（三）雕刻工艺要求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1.精细度：数控雕刻与手工精修结合，建筑门窗线条、装饰纹路等细节雕刻精度达3μm，手工精修需展现细腻刀工，深化艺术质感。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2.层次处理：依据设计，精准控制雕刻深度与层次，实现图案错落有致。对需突出立体感的部分加深雕刻，营造视觉层次；对辅助装饰元素适度浅雕，保证整体布局协调。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方正楷体_GBK" w:eastAsia="方正楷体_GBK" w:cs="方正楷体_GBK" w:hAnsi="方正楷体_GBK" w:hint="eastAsia"/>
          <w:b/>
          <w:bCs/>
          <w:sz w:val="32"/>
          <w:szCs w:val="32"/>
        </w:rPr>
      </w:pPr>
      <w:r>
        <w:rPr>
          <w:rFonts w:ascii="方正楷体_GBK" w:eastAsia="方正楷体_GBK" w:cs="方正楷体_GBK" w:hAnsi="方正楷体_GBK" w:hint="eastAsia"/>
          <w:b/>
          <w:bCs/>
          <w:sz w:val="32"/>
          <w:szCs w:val="32"/>
        </w:rPr>
        <w:t>（四）腐蚀工艺要求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1.预处理：严格执行清洁、除油流程，保障铜表面洁净度。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2.腐蚀操作：采用局部遮蔽、整体腐蚀结合方式，做到腐蚀出的纹理、效果与设计匹配，呈现独特金属质感与图案深化效果。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方正楷体_GBK" w:eastAsia="方正楷体_GBK" w:cs="方正楷体_GBK" w:hAnsi="方正楷体_GBK" w:hint="eastAsia"/>
          <w:b/>
          <w:bCs/>
          <w:sz w:val="32"/>
          <w:szCs w:val="32"/>
        </w:rPr>
      </w:pPr>
      <w:r>
        <w:rPr>
          <w:rFonts w:ascii="方正楷体_GBK" w:eastAsia="方正楷体_GBK" w:cs="方正楷体_GBK" w:hAnsi="方正楷体_GBK" w:hint="eastAsia"/>
          <w:b/>
          <w:bCs/>
          <w:sz w:val="32"/>
          <w:szCs w:val="32"/>
        </w:rPr>
        <w:t>（五）后处理与品质保障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1.表面处理：表面粗糙度控制在3μm以下。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b/>
          <w:bCs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2.防护处理：选用优质防护涂层，美观且有效防氧化。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方正黑体_GBK" w:eastAsia="方正黑体_GBK" w:cs="方正黑体_GBK" w:hAnsi="方正黑体_GBK" w:hint="eastAsia"/>
          <w:sz w:val="32"/>
          <w:szCs w:val="32"/>
        </w:rPr>
      </w:pPr>
      <w:r>
        <w:rPr>
          <w:rFonts w:ascii="方正黑体_GBK" w:eastAsia="方正黑体_GBK" w:cs="方正黑体_GBK" w:hAnsi="方正黑体_GBK" w:hint="eastAsia"/>
          <w:sz w:val="32"/>
          <w:szCs w:val="32"/>
        </w:rPr>
        <w:t>三、项目交付与验收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（一）交付物：铜看盘、立体支架、定制中式礼盒印制标志及精美礼品袋。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（二）除成品铜看盘外，需提交设计文件。</w:t>
      </w:r>
    </w:p>
    <w:p>
      <w:pPr>
        <w:adjustRightInd w:val="0"/>
        <w:snapToGrid w:val="0"/>
        <w:spacing w:after="0" w:line="560" w:lineRule="exact"/>
        <w:ind w:left="0"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（三）验收标准：依据本需求书，对尺寸精度、工艺细节、表面质量、防护效果等逐项检测，存在2项及以上关键指标不达标时，投标方需无条件整改或承担违约责任 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方正黑体_GBK" w:eastAsia="方正黑体_GBK" w:cs="方正黑体_GBK" w:hAnsi="方正黑体_GBK" w:hint="eastAsia"/>
          <w:sz w:val="32"/>
          <w:szCs w:val="32"/>
        </w:rPr>
      </w:pPr>
      <w:r>
        <w:rPr>
          <w:rFonts w:ascii="方正黑体_GBK" w:eastAsia="方正黑体_GBK" w:cs="方正黑体_GBK" w:hAnsi="方正黑体_GBK" w:hint="eastAsia"/>
          <w:sz w:val="32"/>
          <w:szCs w:val="32"/>
        </w:rPr>
        <w:t>四、其他要求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（一）投标方需具备5年以上金属工艺定制经验，提供近5年同类项目案例（至少10个，含工艺复杂度、细节要求匹配项目）及客户评价。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（二）项目周期：自合同签订起10个工作日内完成，含设计确认、工艺实施、质检交付，逾期按合同额10%支付违约金。</w:t>
      </w:r>
    </w:p>
    <w:p>
      <w:pPr>
        <w:adjustRightInd w:val="0"/>
        <w:snapToGrid w:val="0"/>
        <w:spacing w:after="0" w:line="560" w:lineRule="exact"/>
        <w:ind w:firstLineChars="200" w:firstLine="640"/>
        <w:jc w:val="both"/>
        <w:rPr>
          <w:rFonts w:ascii="Times New Roman" w:eastAsia="方正仿宋_GBK" w:cs="Times New Roman" w:hAnsi="Times New Roman"/>
          <w:b/>
          <w:bCs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（三）投标方需要提供铜金属加工人员资质证书。</w:t>
      </w:r>
    </w:p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简体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楷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等线">
    <w:altName w:val="方正小标宋简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altName w:val="DejaVu Sans"/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等线 Light">
    <w:altName w:val="方正黑体_GBK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00"/>
  <w:doNotDisplayPageBoundaries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2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spacing w:after="160" w:line="278" w:lineRule="auto"/>
    </w:pPr>
    <w:rPr>
      <w:rFonts w:ascii="等线" w:eastAsia="等线" w:cs="Arial" w:hAnsi="等线"/>
      <w:kern w:val="2"/>
      <w:sz w:val="22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480" w:after="80"/>
      <w:outlineLvl w:val="0"/>
    </w:pPr>
    <w:rPr>
      <w:rFonts w:ascii="等线 Light" w:eastAsia="等线 Light" w:cs="Times New Roman" w:hAnsi="等线 Light"/>
      <w:color w:val="2F5496"/>
      <w:sz w:val="48"/>
      <w:szCs w:val="48"/>
    </w:rPr>
  </w:style>
  <w:style w:type="paragraph" w:styleId="2">
    <w:name w:val="heading 2"/>
    <w:basedOn w:val="0"/>
    <w:next w:val="0"/>
    <w:pPr>
      <w:keepNext/>
      <w:keepLines/>
      <w:widowControl w:val="0"/>
      <w:spacing w:before="160" w:after="80"/>
      <w:outlineLvl w:val="1"/>
    </w:pPr>
    <w:rPr>
      <w:rFonts w:ascii="等线 Light" w:eastAsia="等线 Light" w:cs="Times New Roman" w:hAnsi="等线 Light"/>
      <w:color w:val="2F5496"/>
      <w:sz w:val="40"/>
      <w:szCs w:val="40"/>
    </w:rPr>
  </w:style>
  <w:style w:type="paragraph" w:styleId="3">
    <w:name w:val="heading 3"/>
    <w:basedOn w:val="0"/>
    <w:next w:val="0"/>
    <w:pPr>
      <w:keepNext/>
      <w:keepLines/>
      <w:widowControl w:val="0"/>
      <w:spacing w:before="160" w:after="80"/>
      <w:outlineLvl w:val="2"/>
    </w:pPr>
    <w:rPr>
      <w:rFonts w:ascii="等线 Light" w:eastAsia="等线 Light" w:cs="Times New Roman" w:hAnsi="等线 Light"/>
      <w:color w:val="2F5496"/>
      <w:sz w:val="32"/>
      <w:szCs w:val="32"/>
    </w:rPr>
  </w:style>
  <w:style w:type="paragraph" w:styleId="4">
    <w:name w:val="heading 4"/>
    <w:basedOn w:val="0"/>
    <w:next w:val="0"/>
    <w:pPr>
      <w:keepNext/>
      <w:keepLines/>
      <w:widowControl w:val="0"/>
      <w:spacing w:before="80" w:after="40"/>
      <w:outlineLvl w:val="3"/>
    </w:pPr>
    <w:rPr>
      <w:rFonts w:cs="Times New Roman"/>
      <w:color w:val="2F5496"/>
      <w:sz w:val="28"/>
      <w:szCs w:val="28"/>
    </w:rPr>
  </w:style>
  <w:style w:type="paragraph" w:styleId="5">
    <w:name w:val="heading 5"/>
    <w:basedOn w:val="0"/>
    <w:next w:val="0"/>
    <w:pPr>
      <w:keepNext/>
      <w:keepLines/>
      <w:widowControl w:val="0"/>
      <w:spacing w:before="80" w:after="40"/>
      <w:outlineLvl w:val="4"/>
    </w:pPr>
    <w:rPr>
      <w:rFonts w:cs="Times New Roman"/>
      <w:color w:val="2F5496"/>
      <w:sz w:val="24"/>
    </w:rPr>
  </w:style>
  <w:style w:type="paragraph" w:styleId="6">
    <w:name w:val="heading 6"/>
    <w:basedOn w:val="0"/>
    <w:next w:val="0"/>
    <w:pPr>
      <w:keepNext/>
      <w:keepLines/>
      <w:widowControl w:val="0"/>
      <w:spacing w:before="40" w:after="0"/>
      <w:outlineLvl w:val="5"/>
    </w:pPr>
    <w:rPr>
      <w:rFonts w:cs="Times New Roman"/>
      <w:b/>
      <w:bCs/>
      <w:color w:val="2F5496"/>
    </w:rPr>
  </w:style>
  <w:style w:type="paragraph" w:styleId="7">
    <w:name w:val="heading 7"/>
    <w:basedOn w:val="0"/>
    <w:next w:val="0"/>
    <w:pPr>
      <w:keepNext/>
      <w:keepLines/>
      <w:widowControl w:val="0"/>
      <w:spacing w:before="40" w:after="0"/>
      <w:outlineLvl w:val="6"/>
    </w:pPr>
    <w:rPr>
      <w:rFonts w:cs="Times New Roman"/>
      <w:b/>
      <w:bCs/>
      <w:color w:val="595959"/>
    </w:rPr>
  </w:style>
  <w:style w:type="paragraph" w:styleId="8">
    <w:name w:val="heading 8"/>
    <w:basedOn w:val="0"/>
    <w:next w:val="0"/>
    <w:pPr>
      <w:keepNext/>
      <w:keepLines/>
      <w:widowControl w:val="0"/>
      <w:spacing w:after="0"/>
      <w:outlineLvl w:val="7"/>
    </w:pPr>
    <w:rPr>
      <w:rFonts w:cs="Times New Roman"/>
      <w:color w:val="595959"/>
    </w:rPr>
  </w:style>
  <w:style w:type="paragraph" w:styleId="9">
    <w:name w:val="heading 9"/>
    <w:basedOn w:val="0"/>
    <w:next w:val="0"/>
    <w:pPr>
      <w:keepNext/>
      <w:keepLines/>
      <w:widowControl w:val="0"/>
      <w:spacing w:after="0"/>
      <w:outlineLvl w:val="8"/>
    </w:pPr>
    <w:rPr>
      <w:rFonts w:eastAsia="等线 Light" w:cs="Times New Roman"/>
      <w:color w:val="595959"/>
    </w:rPr>
  </w:style>
  <w:style w:type="character" w:default="1" w:styleId="10">
    <w:name w:val="Default Paragraph Font"/>
  </w:style>
  <w:style w:type="paragraph" w:styleId="15">
    <w:name w:val="Subtitle"/>
    <w:basedOn w:val="0"/>
    <w:next w:val="0"/>
    <w:pPr>
      <w:jc w:val="center"/>
    </w:pPr>
    <w:rPr>
      <w:rFonts w:ascii="等线 Light" w:eastAsia="等线 Light" w:cs="Times New Roman" w:hAnsi="等线 Light"/>
      <w:color w:val="595959"/>
      <w:spacing w:val="15"/>
      <w:sz w:val="28"/>
      <w:szCs w:val="28"/>
    </w:rPr>
  </w:style>
  <w:style w:type="paragraph" w:styleId="16">
    <w:name w:val="Title"/>
    <w:basedOn w:val="0"/>
    <w:next w:val="0"/>
    <w:pPr>
      <w:spacing w:after="80" w:line="240" w:lineRule="auto"/>
      <w:contextualSpacing/>
      <w:jc w:val="center"/>
    </w:pPr>
    <w:rPr>
      <w:rFonts w:ascii="等线 Light" w:eastAsia="等线 Light" w:cs="Times New Roman" w:hAnsi="等线 Light"/>
      <w:spacing w:val="-10"/>
      <w:kern w:val="28"/>
      <w:sz w:val="56"/>
      <w:szCs w:val="56"/>
    </w:rPr>
  </w:style>
  <w:style w:type="paragraph" w:styleId="17">
    <w:name w:val="Quote"/>
    <w:basedOn w:val="0"/>
    <w:next w:val="0"/>
    <w:pPr>
      <w:spacing w:before="160"/>
      <w:jc w:val="center"/>
    </w:pPr>
    <w:rPr>
      <w:i/>
      <w:iCs/>
      <w:color w:val="404040"/>
    </w:rPr>
  </w:style>
  <w:style w:type="paragraph" w:styleId="18">
    <w:name w:val="List Paragraph"/>
    <w:basedOn w:val="0"/>
    <w:pPr>
      <w:ind w:left="720"/>
      <w:contextualSpacing/>
    </w:pPr>
  </w:style>
  <w:style w:type="character" w:customStyle="1" w:styleId="19">
    <w:name w:val="明显强调1"/>
    <w:basedOn w:val="10"/>
    <w:rPr>
      <w:i/>
      <w:iCs/>
      <w:color w:val="2F5496"/>
    </w:rPr>
  </w:style>
  <w:style w:type="paragraph" w:styleId="20">
    <w:name w:val="Intense Quote"/>
    <w:basedOn w:val="0"/>
    <w:next w:val="0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21">
    <w:name w:val="明显参考1"/>
    <w:basedOn w:val="10"/>
    <w:rPr>
      <w:b/>
      <w:bCs/>
      <w:caps w:val="0"/>
      <w:smallCaps/>
      <w:color w:val="2F5496"/>
      <w:spacing w:val="5"/>
    </w:rPr>
  </w:style>
  <w:style w:type="paragraph" w:styleId="22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23">
    <w:name w:val="footer"/>
    <w:basedOn w:val="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customStyle="1" w:styleId="24">
    <w:name w:val="样式 11 磅"/>
    <w:pPr>
      <w:widowControl w:val="0"/>
      <w:spacing w:after="160" w:line="278" w:lineRule="auto"/>
    </w:pPr>
    <w:rPr>
      <w:rFonts w:ascii="等线" w:eastAsia="等线" w:cs="Arial" w:hAnsi="等线"/>
      <w:kern w:val="2"/>
      <w:sz w:val="22"/>
      <w:szCs w:val="24"/>
      <w:lang w:val="en-US" w:eastAsia="zh-CN" w:bidi="ar-SA"/>
    </w:rPr>
  </w:style>
  <w:style w:type="paragraph" w:customStyle="1" w:styleId="25">
    <w:name w:val="样式 1 11 磅"/>
    <w:pPr>
      <w:widowControl w:val="0"/>
      <w:spacing w:after="160" w:line="278" w:lineRule="auto"/>
    </w:pPr>
    <w:rPr>
      <w:rFonts w:ascii="等线" w:eastAsia="等线" w:cs="Arial" w:hAnsi="等线"/>
      <w:kern w:val="2"/>
      <w:sz w:val="22"/>
      <w:szCs w:val="24"/>
      <w:lang w:val="en-US" w:eastAsia="zh-CN" w:bidi="ar-SA"/>
    </w:rPr>
  </w:style>
  <w:style w:type="paragraph" w:customStyle="1" w:styleId="26">
    <w:name w:val="样式 10 磅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1 3000 0 1 1 1 1"/>
    <sectPr/>
  </customProps>
</customData>
</file>

<file path=customXml/itemProps1.xml><?xml version="1.0" encoding="utf-8"?>
<ds:datastoreItem xmlns:ds="http://schemas.openxmlformats.org/officeDocument/2006/customXml" ds:itemID="{B1D6E06B-D80B-459B-A840-D66C32A8FD8D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155</TotalTime>
  <Application>Yozo_Office27021597764231179</Application>
  <Pages>3</Pages>
  <Words>0</Words>
  <Characters>684</Characters>
  <Lines>0</Lines>
  <Paragraphs>29</Paragraphs>
  <CharactersWithSpaces>912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95162345@qq.com</dc:creator>
  <cp:lastModifiedBy>张宇</cp:lastModifiedBy>
  <cp:revision>2</cp:revision>
  <dcterms:created xsi:type="dcterms:W3CDTF">2025-07-18T14:15:00Z</dcterms:created>
  <dcterms:modified xsi:type="dcterms:W3CDTF">2026-01-26T07:46:37Z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TemplateDocerSaveRecord">
    <vt:lpwstr>eyJoZGlkIjoiMzEwNTM5NzYwMDRjMzkwZTVkZjY2ODkwMGIxNGU0OTUiLCJ1c2VySWQiOiI0MTgyMTQ1NTYifQ==</vt:lpwstr>
  </property>
  <property fmtid="{D5CDD505-2E9C-101B-9397-08002B2CF9AE}" pid="3" name="KSOProductBuildVer">
    <vt:lpwstr>2052-12.1.0.23542</vt:lpwstr>
  </property>
  <property fmtid="{D5CDD505-2E9C-101B-9397-08002B2CF9AE}" pid="4" name="ICV">
    <vt:lpwstr>57D37A74F380441D834DFD13B164DF4A_12</vt:lpwstr>
  </property>
</Properties>
</file>