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-856" w:type="dxa"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29"/>
        <w:gridCol w:w="491"/>
        <w:gridCol w:w="8047"/>
      </w:tblGrid>
      <w:tr>
        <w:tc>
          <w:tcPr>
            <w:tcW w:w="599" w:type="dxa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分项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评分因素</w:t>
            </w:r>
          </w:p>
        </w:tc>
        <w:tc>
          <w:tcPr>
            <w:tcW w:w="49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权重</w:t>
            </w:r>
          </w:p>
        </w:tc>
        <w:tc>
          <w:tcPr>
            <w:tcW w:w="804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说明</w:t>
            </w:r>
          </w:p>
        </w:tc>
      </w:tr>
      <w:tr>
        <w:tc>
          <w:tcPr>
            <w:tcW w:w="599" w:type="dxa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价格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投标报价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20</w:t>
            </w:r>
          </w:p>
        </w:tc>
        <w:tc>
          <w:tcPr>
            <w:tcW w:w="804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投标人报价得分＝（评标最低价格/投标价格）×</w:t>
            </w:r>
            <w:r>
              <w:rPr>
                <w:rFonts w:ascii="宋体"/>
                <w:kern w:val="0"/>
                <w:sz w:val="24"/>
              </w:rPr>
              <w:t>2</w:t>
            </w:r>
            <w:r>
              <w:rPr>
                <w:rFonts w:ascii="宋体" w:hint="eastAsia"/>
                <w:kern w:val="0"/>
                <w:sz w:val="24"/>
              </w:rPr>
              <w:t>0％×100</w:t>
            </w:r>
          </w:p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注解：</w:t>
            </w:r>
          </w:p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投标价格为投标人所提供投标函中的投标价格。</w:t>
            </w:r>
          </w:p>
        </w:tc>
      </w:tr>
      <w:tr>
        <w:trPr>
          <w:trHeight w:val="1677"/>
        </w:trPr>
        <w:tc>
          <w:tcPr>
            <w:tcW w:w="599" w:type="dxa"/>
            <w:vMerge w:val="restart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技术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供货服务方案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30</w:t>
            </w:r>
          </w:p>
        </w:tc>
        <w:tc>
          <w:tcPr>
            <w:tcW w:w="8047" w:type="dxa"/>
            <w:vAlign w:val="center"/>
          </w:tcPr>
          <w:p>
            <w:pPr>
              <w:tabs>
                <w:tab w:val="left" w:pos="168"/>
                <w:tab w:val="left" w:pos="1217"/>
              </w:tabs>
              <w:spacing w:line="360" w:lineRule="auto"/>
              <w:ind w:right="-2" w:firstLine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投标人供货</w:t>
            </w:r>
            <w:r>
              <w:rPr>
                <w:rFonts w:ascii="宋体"/>
                <w:sz w:val="24"/>
              </w:rPr>
              <w:t>，针对需求明细中所列各型号机器的技术、功能参数要求完善性达到100%（得30分）</w:t>
            </w:r>
          </w:p>
          <w:p>
            <w:pPr>
              <w:tabs>
                <w:tab w:val="left" w:pos="168"/>
                <w:tab w:val="left" w:pos="1217"/>
              </w:tabs>
              <w:spacing w:line="360" w:lineRule="auto"/>
              <w:ind w:right="-2" w:firstLine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投标人供货</w:t>
            </w:r>
            <w:r>
              <w:rPr>
                <w:rFonts w:ascii="宋体"/>
                <w:sz w:val="24"/>
              </w:rPr>
              <w:t>，针对需求明细中所列各型号机器的技术、功能参数要求完善性达到80%（得20分）</w:t>
            </w:r>
          </w:p>
          <w:p>
            <w:pPr>
              <w:tabs>
                <w:tab w:val="left" w:pos="168"/>
                <w:tab w:val="left" w:pos="1217"/>
              </w:tabs>
              <w:spacing w:line="360" w:lineRule="auto"/>
              <w:ind w:right="-2" w:firstLine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投标人供货</w:t>
            </w:r>
            <w:r>
              <w:rPr>
                <w:rFonts w:ascii="宋体"/>
                <w:sz w:val="24"/>
              </w:rPr>
              <w:t>，针对需求明细中所列各型号机器的技术、功能参数要求完善性达到60%（得10分）</w:t>
            </w:r>
            <w:bookmarkStart w:id="0" w:name="_GoBack"/>
            <w:bookmarkEnd w:id="0"/>
          </w:p>
          <w:p>
            <w:pPr>
              <w:spacing w:line="360" w:lineRule="auto"/>
              <w:ind w:right="-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注：未提供不得分。</w:t>
            </w:r>
          </w:p>
        </w:tc>
      </w:tr>
      <w:tr>
        <w:trPr>
          <w:trHeight w:val="3775"/>
        </w:trPr>
        <w:tc>
          <w:tcPr>
            <w:tcW w:w="599" w:type="dxa"/>
            <w:vMerge/>
          </w:tcPr>
          <w:p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售后服务及质保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20</w:t>
            </w:r>
          </w:p>
        </w:tc>
        <w:tc>
          <w:tcPr>
            <w:tcW w:w="8047" w:type="dxa"/>
            <w:vAlign w:val="center"/>
          </w:tcPr>
          <w:p>
            <w:pPr>
              <w:spacing w:line="360" w:lineRule="auto"/>
              <w:ind w:right="-2" w:firstLine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投标人售后服务方案内容科学、合理，具有完整的质量保证体系，</w:t>
            </w:r>
            <w:r>
              <w:rPr>
                <w:rFonts w:ascii="宋体"/>
                <w:sz w:val="24"/>
              </w:rPr>
              <w:t>所供</w:t>
            </w:r>
          </w:p>
          <w:p>
            <w:pPr>
              <w:spacing w:line="360" w:lineRule="auto"/>
              <w:ind w:firstLine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耗材及更换的配件必须保证为全新、正规厂商生产，并符合国家零售业商品</w:t>
            </w:r>
            <w:r>
              <w:rPr>
                <w:rFonts w:ascii="宋体" w:hint="eastAsia"/>
                <w:sz w:val="24"/>
              </w:rPr>
              <w:t>“</w:t>
            </w:r>
            <w:r>
              <w:rPr>
                <w:rFonts w:ascii="宋体"/>
                <w:sz w:val="24"/>
              </w:rPr>
              <w:t>三包规定</w:t>
            </w:r>
            <w:r>
              <w:rPr>
                <w:rFonts w:ascii="宋体" w:hint="eastAsia"/>
                <w:sz w:val="24"/>
              </w:rPr>
              <w:t>”</w:t>
            </w:r>
            <w:r>
              <w:rPr>
                <w:rFonts w:ascii="宋体"/>
                <w:sz w:val="24"/>
              </w:rPr>
              <w:t>，并</w:t>
            </w:r>
            <w:r>
              <w:rPr>
                <w:rFonts w:ascii="宋体" w:hint="eastAsia"/>
                <w:sz w:val="24"/>
              </w:rPr>
              <w:t>投标人</w:t>
            </w:r>
            <w:r>
              <w:rPr>
                <w:rFonts w:ascii="宋体"/>
                <w:sz w:val="24"/>
              </w:rPr>
              <w:t>承担保修责任,达到要求100%(得20分）</w:t>
            </w:r>
          </w:p>
          <w:p>
            <w:pPr>
              <w:spacing w:line="360" w:lineRule="auto"/>
              <w:ind w:right="-2" w:firstLine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2.</w:t>
            </w:r>
            <w:r>
              <w:rPr>
                <w:rFonts w:ascii="宋体" w:hint="eastAsia"/>
                <w:sz w:val="24"/>
              </w:rPr>
              <w:t>投标人售后服务方案内容科学、合理，具有完整的质量保证体系，</w:t>
            </w:r>
            <w:r>
              <w:rPr>
                <w:rFonts w:ascii="宋体"/>
                <w:sz w:val="24"/>
              </w:rPr>
              <w:t>所供</w:t>
            </w:r>
          </w:p>
          <w:p>
            <w:pPr>
              <w:spacing w:line="360" w:lineRule="auto"/>
              <w:ind w:firstLine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耗材及更换的配件必须保证为全新、正规厂商生产，并符合国家零售业商品</w:t>
            </w:r>
            <w:r>
              <w:rPr>
                <w:rFonts w:ascii="宋体" w:hint="eastAsia"/>
                <w:sz w:val="24"/>
              </w:rPr>
              <w:t>“</w:t>
            </w:r>
            <w:r>
              <w:rPr>
                <w:rFonts w:ascii="宋体"/>
                <w:sz w:val="24"/>
              </w:rPr>
              <w:t>三包规定</w:t>
            </w:r>
            <w:r>
              <w:rPr>
                <w:rFonts w:ascii="宋体" w:hint="eastAsia"/>
                <w:sz w:val="24"/>
              </w:rPr>
              <w:t>”</w:t>
            </w:r>
            <w:r>
              <w:rPr>
                <w:rFonts w:ascii="宋体"/>
                <w:sz w:val="24"/>
              </w:rPr>
              <w:t>，并</w:t>
            </w:r>
            <w:r>
              <w:rPr>
                <w:rFonts w:ascii="宋体" w:hint="eastAsia"/>
                <w:sz w:val="24"/>
              </w:rPr>
              <w:t>投标人</w:t>
            </w:r>
            <w:r>
              <w:rPr>
                <w:rFonts w:ascii="宋体"/>
                <w:sz w:val="24"/>
              </w:rPr>
              <w:t>承担保修责任,达到要求80%(得10分）</w:t>
            </w:r>
          </w:p>
          <w:p>
            <w:pPr>
              <w:spacing w:line="360" w:lineRule="auto"/>
              <w:ind w:right="-2" w:firstLine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3.</w:t>
            </w:r>
            <w:r>
              <w:rPr>
                <w:rFonts w:ascii="宋体" w:hint="eastAsia"/>
                <w:sz w:val="24"/>
              </w:rPr>
              <w:t>投标人售后服务方案内容科学、合理，具有完整的质量保证体系，</w:t>
            </w:r>
            <w:r>
              <w:rPr>
                <w:rFonts w:ascii="宋体"/>
                <w:sz w:val="24"/>
              </w:rPr>
              <w:t>所供</w:t>
            </w:r>
          </w:p>
          <w:p>
            <w:pPr>
              <w:spacing w:line="360" w:lineRule="auto"/>
              <w:ind w:firstLine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耗材及更换的配件必须保证为全新、正规厂商生产，并符合国家零售业商品</w:t>
            </w:r>
            <w:r>
              <w:rPr>
                <w:rFonts w:ascii="宋体" w:hint="eastAsia"/>
                <w:sz w:val="24"/>
              </w:rPr>
              <w:t>“</w:t>
            </w:r>
            <w:r>
              <w:rPr>
                <w:rFonts w:ascii="宋体"/>
                <w:sz w:val="24"/>
              </w:rPr>
              <w:t>三包规定</w:t>
            </w:r>
            <w:r>
              <w:rPr>
                <w:rFonts w:ascii="宋体" w:hint="eastAsia"/>
                <w:sz w:val="24"/>
              </w:rPr>
              <w:t>”</w:t>
            </w:r>
            <w:r>
              <w:rPr>
                <w:rFonts w:ascii="宋体"/>
                <w:sz w:val="24"/>
              </w:rPr>
              <w:t>，并</w:t>
            </w:r>
            <w:r>
              <w:rPr>
                <w:rFonts w:ascii="宋体" w:hint="eastAsia"/>
                <w:sz w:val="24"/>
              </w:rPr>
              <w:t>投标人</w:t>
            </w:r>
            <w:r>
              <w:rPr>
                <w:rFonts w:ascii="宋体"/>
                <w:sz w:val="24"/>
              </w:rPr>
              <w:t>承担保修责任,达到要求60%(得5分）</w:t>
            </w:r>
          </w:p>
          <w:p>
            <w:pPr>
              <w:spacing w:line="360" w:lineRule="auto"/>
              <w:ind w:right="-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注：未提供不得分。</w:t>
            </w:r>
          </w:p>
        </w:tc>
      </w:tr>
      <w:tr>
        <w:trPr>
          <w:trHeight w:val="1857"/>
        </w:trPr>
        <w:tc>
          <w:tcPr>
            <w:tcW w:w="599" w:type="dxa"/>
            <w:vMerge w:val="restart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商务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上门服务时间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10</w:t>
            </w:r>
          </w:p>
        </w:tc>
        <w:tc>
          <w:tcPr>
            <w:tcW w:w="8047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投标人在接到招标人通知后4小时之内提供送货、上门维修的。（得10分）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投标人在接到招标人通知后8小时之内提供送货、上门维修的。（得6分）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投标人在接到招标人通知后24小时之内提供送货、上门维修的。（得3分）</w:t>
            </w:r>
          </w:p>
          <w:p>
            <w:pPr>
              <w:widowControl/>
              <w:spacing w:line="360" w:lineRule="exact"/>
              <w:ind w:left="0" w:firstLine="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注：未提供不得分。</w:t>
            </w:r>
          </w:p>
        </w:tc>
      </w:tr>
      <w:tr>
        <w:trPr>
          <w:trHeight w:val="2489"/>
        </w:trPr>
        <w:tc>
          <w:tcPr>
            <w:tcW w:w="599" w:type="dxa"/>
            <w:vMerge/>
          </w:tcPr>
          <w:p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上门费用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10</w:t>
            </w:r>
          </w:p>
        </w:tc>
        <w:tc>
          <w:tcPr>
            <w:tcW w:w="8047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right="-2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投</w:t>
            </w:r>
            <w:r>
              <w:rPr>
                <w:rFonts w:ascii="宋体" w:cs="宋体"/>
                <w:sz w:val="24"/>
              </w:rPr>
              <w:t>标</w:t>
            </w:r>
            <w:r>
              <w:rPr>
                <w:rFonts w:ascii="宋体" w:cs="宋体" w:hint="eastAsia"/>
                <w:sz w:val="24"/>
              </w:rPr>
              <w:t>人</w:t>
            </w:r>
            <w:r>
              <w:rPr>
                <w:rFonts w:ascii="宋体" w:cs="宋体"/>
                <w:sz w:val="24"/>
              </w:rPr>
              <w:t>免上门费的。凡发生更换配件，不得收取上门费。（得10分）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right="-2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投</w:t>
            </w:r>
            <w:r>
              <w:rPr>
                <w:rFonts w:ascii="宋体" w:cs="宋体"/>
                <w:sz w:val="24"/>
              </w:rPr>
              <w:t>标</w:t>
            </w:r>
            <w:r>
              <w:rPr>
                <w:rFonts w:ascii="宋体" w:cs="宋体" w:hint="eastAsia"/>
                <w:sz w:val="24"/>
              </w:rPr>
              <w:t>人</w:t>
            </w:r>
            <w:r>
              <w:rPr>
                <w:rFonts w:ascii="宋体" w:cs="宋体"/>
                <w:sz w:val="24"/>
              </w:rPr>
              <w:t>每个月免3次上门费的。凡发生更换配件，不得收取上门费。（得8分）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right="-2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投</w:t>
            </w:r>
            <w:r>
              <w:rPr>
                <w:rFonts w:ascii="宋体" w:cs="宋体"/>
                <w:sz w:val="24"/>
              </w:rPr>
              <w:t>标</w:t>
            </w:r>
            <w:r>
              <w:rPr>
                <w:rFonts w:ascii="宋体" w:cs="宋体" w:hint="eastAsia"/>
                <w:sz w:val="24"/>
              </w:rPr>
              <w:t>人</w:t>
            </w:r>
            <w:r>
              <w:rPr>
                <w:rFonts w:ascii="宋体" w:cs="宋体"/>
                <w:sz w:val="24"/>
              </w:rPr>
              <w:t>每次都收取上门费的。凡发生更换配件，不得收取上门费。（得2分）</w:t>
            </w:r>
          </w:p>
          <w:p>
            <w:pPr>
              <w:spacing w:line="360" w:lineRule="auto"/>
              <w:ind w:right="-2" w:firstLine="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注：未提供不得分。</w:t>
            </w:r>
          </w:p>
        </w:tc>
      </w:tr>
      <w:tr>
        <w:trPr>
          <w:trHeight w:val="600"/>
        </w:trPr>
        <w:tc>
          <w:tcPr>
            <w:tcW w:w="599" w:type="dxa"/>
            <w:vMerge/>
          </w:tcPr>
          <w:p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业绩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1</w:t>
            </w:r>
            <w:r>
              <w:rPr>
                <w:rFonts w:ascii="宋体"/>
                <w:kern w:val="0"/>
                <w:sz w:val="24"/>
              </w:rPr>
              <w:t>0</w:t>
            </w:r>
          </w:p>
        </w:tc>
        <w:tc>
          <w:tcPr>
            <w:tcW w:w="8047" w:type="dxa"/>
            <w:vAlign w:val="center"/>
          </w:tcPr>
          <w:p>
            <w:pPr>
              <w:spacing w:line="360" w:lineRule="auto"/>
              <w:ind w:right="-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投标人提供202</w:t>
            </w: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年1月1日至今类似项目业绩，每提供1个业绩</w:t>
            </w:r>
            <w:r>
              <w:rPr>
                <w:rFonts w:ascii="宋体"/>
                <w:sz w:val="24"/>
              </w:rPr>
              <w:t>2</w:t>
            </w:r>
            <w:r>
              <w:rPr>
                <w:rFonts w:ascii="宋体" w:hint="eastAsia"/>
                <w:sz w:val="24"/>
              </w:rPr>
              <w:t>分，最多得</w:t>
            </w:r>
            <w:r>
              <w:rPr>
                <w:rFonts w:ascii="宋体"/>
                <w:sz w:val="24"/>
              </w:rPr>
              <w:t>10</w:t>
            </w:r>
            <w:r>
              <w:rPr>
                <w:rFonts w:ascii="宋体" w:hint="eastAsia"/>
                <w:sz w:val="24"/>
              </w:rPr>
              <w:t>分</w:t>
            </w:r>
            <w:r>
              <w:rPr>
                <w:rFonts w:ascii="宋体"/>
                <w:sz w:val="24"/>
              </w:rPr>
              <w:t>。</w:t>
            </w:r>
          </w:p>
          <w:p>
            <w:pPr>
              <w:spacing w:line="360" w:lineRule="auto"/>
              <w:ind w:right="-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注：需提供合同或中标通知书复印件，时间以合同签署时间或中标通知书发放时间为准。</w:t>
            </w:r>
          </w:p>
        </w:tc>
      </w:tr>
    </w:tbl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9D7AA6D"/>
    <w:multiLevelType w:val="hybridMultilevel"/>
    <w:tmpl w:val="00000000"/>
    <w:lvl w:ilvl="0">
      <w:start w:val="1"/>
      <w:numFmt w:val="decimal"/>
      <w:lvlRestart w:val="0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0E7675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1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23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24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458</TotalTime>
  <Application>Yozo_Office</Application>
  <Pages>2</Pages>
  <Words>819</Words>
  <Characters>868</Characters>
  <Lines>71</Lines>
  <Paragraphs>43</Paragraphs>
  <CharactersWithSpaces>874</CharactersWithSpaces>
  <Company>MCG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Qu, Dazhi</dc:creator>
  <cp:lastModifiedBy>张琳</cp:lastModifiedBy>
  <cp:revision>10</cp:revision>
  <cp:lastPrinted>2026-02-27T06:22:10Z</cp:lastPrinted>
  <dcterms:created xsi:type="dcterms:W3CDTF">2025-10-28T00:50:00Z</dcterms:created>
  <dcterms:modified xsi:type="dcterms:W3CDTF">2026-03-03T08:08:54Z</dcterms:modified>
</cp:coreProperties>
</file>