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0" w:after="0" w:line="480" w:lineRule="exact"/>
        <w:jc w:val="center"/>
        <w:rPr>
          <w:rStyle w:val="1Char"/>
          <w:rFonts w:ascii="宋体" w:cs="宋体"/>
          <w:sz w:val="32"/>
          <w:szCs w:val="32"/>
        </w:rPr>
      </w:pPr>
      <w:r>
        <w:rPr>
          <w:rStyle w:val="1Char"/>
          <w:rFonts w:ascii="宋体" w:cs="宋体" w:hint="eastAsia"/>
          <w:sz w:val="32"/>
          <w:szCs w:val="32"/>
        </w:rPr>
        <w:t>大连海关</w:t>
      </w:r>
      <w:r>
        <w:rPr>
          <w:rStyle w:val="1Char"/>
          <w:rFonts w:ascii="宋体" w:cs="宋体"/>
          <w:sz w:val="32"/>
          <w:szCs w:val="32"/>
        </w:rPr>
        <w:t>X光机维护服务采购</w:t>
      </w:r>
      <w:r>
        <w:rPr>
          <w:rStyle w:val="1Char"/>
          <w:rFonts w:ascii="宋体" w:cs="宋体" w:hint="eastAsia"/>
          <w:sz w:val="32"/>
          <w:szCs w:val="32"/>
        </w:rPr>
        <w:t>项目需求书</w:t>
      </w:r>
    </w:p>
    <w:p>
      <w:pPr>
        <w:spacing w:line="360" w:lineRule="auto"/>
      </w:pPr>
    </w:p>
    <w:p>
      <w:pPr>
        <w:pStyle w:val="16"/>
        <w:spacing w:line="520" w:lineRule="exact"/>
        <w:ind w:firstLineChars="200" w:firstLine="480"/>
        <w:textAlignment w:val="auto"/>
        <w:rPr>
          <w:rFonts w:ascii="宋体" w:cs="宋体"/>
          <w:sz w:val="24"/>
          <w:szCs w:val="24"/>
        </w:rPr>
      </w:pPr>
      <w:r>
        <w:rPr>
          <w:rFonts w:ascii="宋体" w:cs="宋体" w:hint="eastAsia"/>
          <w:sz w:val="24"/>
          <w:szCs w:val="24"/>
        </w:rPr>
        <w:t>一、项目名称</w:t>
      </w:r>
    </w:p>
    <w:p>
      <w:pPr>
        <w:pStyle w:val="16"/>
        <w:spacing w:line="520" w:lineRule="exact"/>
        <w:ind w:firstLineChars="200" w:firstLine="480"/>
        <w:textAlignment w:val="auto"/>
        <w:rPr>
          <w:rFonts w:ascii="宋体" w:cs="宋体"/>
          <w:sz w:val="24"/>
          <w:szCs w:val="24"/>
        </w:rPr>
      </w:pPr>
      <w:bookmarkStart w:id="0" w:name="_Toc9175"/>
      <w:r>
        <w:rPr>
          <w:rFonts w:ascii="宋体" w:cs="宋体" w:hint="eastAsia"/>
          <w:sz w:val="24"/>
          <w:szCs w:val="24"/>
        </w:rPr>
        <w:t>大连海关</w:t>
      </w:r>
      <w:r>
        <w:rPr>
          <w:rFonts w:ascii="宋体" w:cs="宋体"/>
          <w:sz w:val="24"/>
          <w:szCs w:val="24"/>
        </w:rPr>
        <w:t>X光机维护服务采购</w:t>
      </w:r>
      <w:r>
        <w:rPr>
          <w:rFonts w:ascii="宋体" w:cs="宋体" w:hint="eastAsia"/>
          <w:sz w:val="24"/>
          <w:szCs w:val="24"/>
        </w:rPr>
        <w:t>项目</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二、项目概况</w:t>
      </w:r>
      <w:bookmarkEnd w:id="0"/>
    </w:p>
    <w:p>
      <w:pPr>
        <w:pStyle w:val="16"/>
        <w:spacing w:line="520" w:lineRule="exact"/>
        <w:ind w:firstLineChars="200" w:firstLine="480"/>
        <w:textAlignment w:val="auto"/>
        <w:rPr>
          <w:rFonts w:ascii="宋体" w:cs="宋体"/>
          <w:sz w:val="24"/>
          <w:szCs w:val="24"/>
        </w:rPr>
      </w:pPr>
      <w:bookmarkStart w:id="1" w:name="_Toc25072"/>
      <w:r>
        <w:rPr>
          <w:rFonts w:ascii="宋体" w:cs="宋体" w:hint="eastAsia"/>
          <w:sz w:val="24"/>
          <w:szCs w:val="24"/>
        </w:rPr>
        <w:t>大连海关</w:t>
      </w:r>
      <w:r>
        <w:rPr>
          <w:rFonts w:ascii="宋体" w:cs="宋体"/>
          <w:sz w:val="24"/>
          <w:szCs w:val="24"/>
        </w:rPr>
        <w:t>X光机维护服务采购</w:t>
      </w:r>
      <w:bookmarkStart w:id="2" w:name="_GoBack"/>
      <w:bookmarkEnd w:id="2"/>
      <w:r>
        <w:rPr>
          <w:rFonts w:ascii="宋体" w:cs="宋体" w:hint="eastAsia"/>
          <w:sz w:val="24"/>
          <w:szCs w:val="24"/>
        </w:rPr>
        <w:t>项目（以下简称本项目）是</w:t>
      </w:r>
      <w:bookmarkEnd w:id="1"/>
      <w:r>
        <w:rPr>
          <w:rFonts w:ascii="宋体" w:cs="宋体" w:hint="eastAsia"/>
          <w:sz w:val="24"/>
          <w:szCs w:val="24"/>
        </w:rPr>
        <w:t>通过对X光机设备日常维护保养工作，降低设备故障率，保障现场使用。</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三、技术标准</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本项目执行中华人民共和国相关技术规范。原则上没有国家标准、规范的，适用行业标准、规范，没有国家和行业标准、规范的，适用项目所在地地方标准、规范；国内没有相应标准、规范的，由采购人向投标人提出技术要求，参选单位制定技术方案，经采购人批准后执行。包括但不限于以下内容：</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《低压配电设计规范》（GB50054-2011）</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《安全防范工程技术规范》（GB50348-2004）</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《安全防范工程程序与要求》（GA/T 75-1994）</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《微剂量X射线安全检查设备第1部分：通用技术要求》（GB15208.1-2018）</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国家及相关部门颁发的其他标准与规范</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其他相关标准、规范或文件</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四、项目内容</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（一）服务期限</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自合同生效期12个月。</w:t>
      </w:r>
    </w:p>
    <w:p>
      <w:pPr>
        <w:pStyle w:val="16"/>
        <w:spacing w:line="520" w:lineRule="exact"/>
        <w:ind w:firstLineChars="200" w:firstLine="480"/>
        <w:textAlignment w:val="auto"/>
        <w:rPr>
          <w:rFonts w:ascii="宋体" w:cs="宋体"/>
          <w:sz w:val="24"/>
          <w:szCs w:val="24"/>
        </w:rPr>
      </w:pPr>
      <w:r>
        <w:rPr>
          <w:rFonts w:ascii="宋体" w:cs="宋体" w:hint="eastAsia"/>
          <w:sz w:val="24"/>
          <w:szCs w:val="24"/>
        </w:rPr>
        <w:t>（二）维保费用组成及支付</w:t>
      </w:r>
    </w:p>
    <w:p>
      <w:pPr>
        <w:pStyle w:val="27"/>
        <w:spacing w:after="0" w:line="560" w:lineRule="exact"/>
        <w:ind w:leftChars="0" w:left="0"/>
      </w:pPr>
      <w:r>
        <w:rPr>
          <w:rFonts w:hint="eastAsia"/>
          <w:sz w:val="24"/>
          <w:szCs w:val="24"/>
        </w:rPr>
        <w:t>X光机设备维保费用包括基础保养费用及维修费用两部分，主要包含但不限于以下内容</w:t>
      </w:r>
      <w:r>
        <w:rPr>
          <w:sz w:val="24"/>
          <w:szCs w:val="24"/>
        </w:rPr>
        <w:t>：</w:t>
      </w:r>
    </w:p>
    <w:p>
      <w:pPr>
        <w:spacing w:line="560" w:lineRule="exact"/>
        <w:ind w:firstLineChars="200" w:firstLine="480"/>
        <w:outlineLvl w:val="0"/>
        <w:rPr>
          <w:rFonts w:ascii="宋体" w:cs="宋体"/>
          <w:sz w:val="24"/>
          <w:szCs w:val="24"/>
        </w:rPr>
      </w:pPr>
      <w:r>
        <w:rPr>
          <w:rFonts w:ascii="宋体" w:cs="宋体" w:hint="eastAsia"/>
          <w:sz w:val="24"/>
          <w:szCs w:val="24"/>
        </w:rPr>
        <w:t>1、基础保养费用包含了本项目附件中所包含的</w:t>
      </w:r>
      <w:r>
        <w:rPr>
          <w:rFonts w:ascii="宋体" w:cs="宋体"/>
          <w:sz w:val="24"/>
          <w:szCs w:val="24"/>
        </w:rPr>
        <w:t>31</w:t>
      </w:r>
      <w:r>
        <w:rPr>
          <w:rFonts w:ascii="宋体" w:cs="宋体" w:hint="eastAsia"/>
          <w:sz w:val="24"/>
          <w:szCs w:val="24"/>
        </w:rPr>
        <w:t>台X光机日常维护保养的费用，包含但不限于所有参加维护人员的工资、奖金、福利、保险、公积金、个人劳保、服装、加班费、工器具、耗材以及投标人的管理费、税金、利润、交通、通讯等一切费用，即采购人不在合同价外支付任何费用。</w:t>
      </w:r>
    </w:p>
    <w:p>
      <w:pPr>
        <w:spacing w:line="560" w:lineRule="exact"/>
        <w:ind w:firstLineChars="200" w:firstLine="480"/>
        <w:outlineLvl w:val="0"/>
        <w:rPr>
          <w:rFonts w:ascii="宋体" w:cs="宋体"/>
          <w:sz w:val="24"/>
          <w:szCs w:val="24"/>
        </w:rPr>
      </w:pPr>
      <w:r>
        <w:rPr>
          <w:rFonts w:ascii="宋体" w:cs="宋体" w:hint="eastAsia"/>
          <w:sz w:val="24"/>
          <w:szCs w:val="24"/>
        </w:rPr>
        <w:t>2、维修费用包含了本项目附件中所包含的</w:t>
      </w:r>
      <w:r>
        <w:rPr>
          <w:rFonts w:ascii="宋体" w:cs="宋体"/>
          <w:sz w:val="24"/>
          <w:szCs w:val="24"/>
        </w:rPr>
        <w:t>31</w:t>
      </w:r>
      <w:r>
        <w:rPr>
          <w:rFonts w:ascii="宋体" w:cs="宋体" w:hint="eastAsia"/>
          <w:sz w:val="24"/>
          <w:szCs w:val="24"/>
        </w:rPr>
        <w:t>台X光机维修所有费用（含备件及投标人为遵循采购人规章制度所需投入的各种资源费用）。</w:t>
      </w:r>
    </w:p>
    <w:p>
      <w:pPr>
        <w:spacing w:line="560" w:lineRule="exact"/>
        <w:ind w:firstLineChars="200" w:firstLine="480"/>
        <w:outlineLvl w:val="0"/>
        <w:rPr>
          <w:rFonts w:ascii="宋体" w:cs="宋体"/>
          <w:sz w:val="24"/>
          <w:szCs w:val="24"/>
        </w:rPr>
      </w:pPr>
      <w:r>
        <w:rPr>
          <w:rFonts w:ascii="宋体" w:cs="宋体" w:hint="eastAsia"/>
          <w:sz w:val="24"/>
          <w:szCs w:val="24"/>
        </w:rPr>
        <w:t>3、支付方式：</w:t>
      </w:r>
    </w:p>
    <w:p>
      <w:pPr>
        <w:spacing w:line="560" w:lineRule="exact"/>
        <w:ind w:firstLineChars="200" w:firstLine="480"/>
        <w:outlineLvl w:val="0"/>
        <w:rPr>
          <w:rFonts w:ascii="宋体" w:cs="宋体"/>
          <w:sz w:val="24"/>
          <w:szCs w:val="24"/>
        </w:rPr>
      </w:pPr>
      <w:r>
        <w:rPr>
          <w:rFonts w:ascii="宋体" w:cs="宋体"/>
          <w:sz w:val="24"/>
          <w:szCs w:val="24"/>
        </w:rPr>
        <w:t>基础保养费用为固定费用，金额为18.6万元，合同签订后15个工作日内支付50%，服务期结束后15个工作日内支付50%。</w:t>
      </w:r>
    </w:p>
    <w:p>
      <w:pPr>
        <w:spacing w:line="560" w:lineRule="exact"/>
        <w:ind w:firstLineChars="200" w:firstLine="480"/>
        <w:outlineLvl w:val="0"/>
        <w:rPr>
          <w:rFonts w:ascii="宋体" w:cs="宋体"/>
          <w:sz w:val="24"/>
          <w:szCs w:val="24"/>
        </w:rPr>
      </w:pPr>
      <w:r>
        <w:rPr>
          <w:rFonts w:ascii="宋体" w:cs="宋体"/>
          <w:sz w:val="24"/>
          <w:szCs w:val="24"/>
        </w:rPr>
        <w:t>维修费用结算方式为按照维修X光机设备实际产生的金额，凭《维修工单》、《现场维修确认单》及所有维修发票进行结算（服务期结束后15个工作日内支付），金额不超过X万（X=中标价-18.6万元；X≤22.8万元）</w:t>
      </w:r>
    </w:p>
    <w:p>
      <w:pPr>
        <w:spacing w:line="560" w:lineRule="exact"/>
        <w:ind w:firstLineChars="100" w:firstLine="240"/>
        <w:outlineLvl w:val="0"/>
        <w:rPr>
          <w:rFonts w:ascii="宋体" w:cs="宋体"/>
          <w:sz w:val="24"/>
          <w:szCs w:val="24"/>
        </w:rPr>
      </w:pPr>
      <w:r>
        <w:rPr>
          <w:rFonts w:ascii="宋体" w:cs="宋体" w:hint="eastAsia"/>
          <w:sz w:val="24"/>
          <w:szCs w:val="24"/>
        </w:rPr>
        <w:t>（三）项目实施内容</w:t>
      </w:r>
    </w:p>
    <w:p>
      <w:pPr>
        <w:spacing w:line="560" w:lineRule="exact"/>
        <w:ind w:firstLineChars="200" w:firstLine="480"/>
        <w:outlineLvl w:val="0"/>
        <w:rPr>
          <w:rFonts w:ascii="宋体" w:cs="宋体"/>
          <w:sz w:val="24"/>
          <w:szCs w:val="24"/>
        </w:rPr>
      </w:pPr>
      <w:bookmarkStart w:id="3" w:name="_Toc17996"/>
      <w:r>
        <w:rPr>
          <w:rFonts w:ascii="宋体" w:cs="宋体" w:hint="eastAsia"/>
          <w:sz w:val="24"/>
          <w:szCs w:val="24"/>
        </w:rPr>
        <w:t>项目实施内容包括但不限于以下内容：管理制度（包含人员、安全、材料管理）、故障处理、维护保养、专项排查、专项保障、移机服务以及对安检相关人员技术培训等服务。投标人应根据结合大连海关X光机设备投用情况，编制维保项目总体实施方案，内容包括不限于项目组织架构、人员管理、安全管理、维护保养、故障处理、专项排查、专项保障、移机服务以及对安检相关人员技术培训等服务工作。</w:t>
      </w:r>
      <w:bookmarkStart w:id="4" w:name="_Toc74661492"/>
      <w:bookmarkStart w:id="5" w:name="_Toc74642788"/>
      <w:bookmarkStart w:id="6" w:name="_Toc74642403"/>
      <w:bookmarkEnd w:id="3"/>
    </w:p>
    <w:p>
      <w:pPr>
        <w:spacing w:line="560" w:lineRule="exact"/>
        <w:ind w:firstLineChars="100" w:firstLine="240"/>
        <w:outlineLvl w:val="0"/>
        <w:rPr>
          <w:rFonts w:ascii="宋体" w:cs="宋体"/>
          <w:sz w:val="24"/>
          <w:szCs w:val="24"/>
        </w:rPr>
      </w:pPr>
      <w:r>
        <w:rPr>
          <w:rFonts w:ascii="宋体" w:cs="宋体" w:hint="eastAsia"/>
          <w:sz w:val="24"/>
          <w:szCs w:val="24"/>
        </w:rPr>
        <w:t>（四）维护范围</w:t>
      </w:r>
    </w:p>
    <w:p>
      <w:pPr>
        <w:spacing w:line="560" w:lineRule="exact"/>
        <w:ind w:firstLineChars="100" w:firstLine="240"/>
        <w:outlineLvl w:val="0"/>
        <w:rPr>
          <w:rFonts w:ascii="宋体" w:cs="宋体"/>
          <w:sz w:val="24"/>
          <w:szCs w:val="24"/>
        </w:rPr>
      </w:pPr>
    </w:p>
    <w:tbl>
      <w:tblPr>
        <w:jc w:val="left"/>
        <w:tblW w:w="865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17"/>
        <w:gridCol w:w="2638"/>
        <w:gridCol w:w="2110"/>
        <w:gridCol w:w="2229"/>
        <w:gridCol w:w="1065"/>
      </w:tblGrid>
      <w:tr>
        <w:trPr>
          <w:trHeight w:val="921"/>
        </w:trPr>
        <w:tc>
          <w:tcPr>
            <w:tcW w:w="8659" w:type="dxa"/>
            <w:gridSpan w:val="5"/>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sz w:val="28"/>
                <w:szCs w:val="28"/>
              </w:rPr>
            </w:pPr>
            <w:bookmarkStart w:id="7" w:name="_Toc26209"/>
            <w:bookmarkEnd w:id="4"/>
            <w:bookmarkEnd w:id="5"/>
            <w:bookmarkEnd w:id="6"/>
            <w:r>
              <w:rPr>
                <w:rFonts w:ascii="方正小标宋_GBK" w:eastAsia="方正小标宋_GBK" w:cs="Lucida Sans"/>
                <w:color w:val="000000"/>
                <w:sz w:val="28"/>
                <w:szCs w:val="28"/>
              </w:rPr>
              <w:t>2026年X光机维护服务需求统计表</w:t>
            </w:r>
          </w:p>
        </w:tc>
      </w:tr>
      <w:tr>
        <w:trPr>
          <w:trHeight w:val="797"/>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黑体_GBK" w:eastAsia="方正黑体_GBK" w:cs="Lucida Sans"/>
                <w:color w:val="000000"/>
              </w:rPr>
              <w:t>序号</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黑体_GBK" w:eastAsia="方正黑体_GBK" w:cs="Lucida Sans"/>
                <w:color w:val="000000"/>
              </w:rPr>
              <w:t>设备地点</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黑体_GBK" w:eastAsia="方正黑体_GBK" w:cs="Lucida Sans"/>
                <w:color w:val="000000"/>
              </w:rPr>
              <w:t>设备型号</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黑体_GBK" w:eastAsia="方正黑体_GBK" w:cs="Lucida Sans"/>
                <w:color w:val="000000"/>
              </w:rPr>
              <w:t>设备编号</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黑体_GBK" w:eastAsia="方正黑体_GBK" w:cs="Lucida Sans"/>
                <w:color w:val="000000"/>
              </w:rPr>
              <w:t>设备数量</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机场进境旅检通道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112001036</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嘉里大通监管库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CMEX-T160190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114004037</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3</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港湾海关</w:t>
            </w:r>
          </w:p>
          <w:p>
            <w:pPr>
              <w:jc w:val="center"/>
              <w:rPr>
                <w:rFonts w:ascii="方正仿宋_GBK" w:eastAsia="方正仿宋_GBK" w:cs="Lucida Sans"/>
                <w:color w:val="000000"/>
              </w:rPr>
            </w:pPr>
            <w:r>
              <w:rPr>
                <w:rFonts w:ascii="方正仿宋_GBK" w:eastAsia="方正仿宋_GBK" w:cs="Lucida Sans"/>
                <w:color w:val="000000"/>
              </w:rPr>
              <w:t>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CX100100T</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TFNAP-I-070136</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4</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新区邮局</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112001040</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5</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公路旅检通道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CX100100TI</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TFNAP-I-140310</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6</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公路旅检通道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CX100100TI</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TFNAP-I-140572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7</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大东港海关</w:t>
            </w:r>
          </w:p>
          <w:p>
            <w:pPr>
              <w:jc w:val="center"/>
            </w:pPr>
            <w:r>
              <w:rPr>
                <w:rFonts w:ascii="方正仿宋_GBK" w:eastAsia="方正仿宋_GBK" w:cs="Lucida Sans"/>
                <w:color w:val="000000"/>
              </w:rPr>
              <w:t>客运站旅检通道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112001037</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8</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邮局海关</w:t>
            </w:r>
          </w:p>
          <w:p>
            <w:pPr>
              <w:jc w:val="center"/>
              <w:rPr>
                <w:rFonts w:ascii="方正仿宋_GBK" w:eastAsia="方正仿宋_GBK" w:cs="Lucida Sans"/>
                <w:color w:val="000000"/>
              </w:rPr>
            </w:pPr>
            <w:r>
              <w:rPr>
                <w:rFonts w:ascii="方正仿宋_GBK" w:eastAsia="方正仿宋_GBK" w:cs="Lucida Sans"/>
                <w:color w:val="000000"/>
              </w:rPr>
              <w:t>邮件监管场地</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CX100100TI</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TFNAP-I-140312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9</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邮局海关</w:t>
            </w:r>
          </w:p>
          <w:p>
            <w:pPr>
              <w:jc w:val="center"/>
            </w:pPr>
            <w:r>
              <w:rPr>
                <w:rFonts w:ascii="方正仿宋_GBK" w:eastAsia="方正仿宋_GBK" w:cs="Lucida Sans"/>
                <w:color w:val="000000"/>
              </w:rPr>
              <w:t>邮件监管场地</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CX100100TI</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TFNAP-I-160500</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10</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丹东铁路货场</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CX150180SI</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TFNAP-III-150065</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11</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先期机检通道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TFNAP-XIII-170435</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12</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先期机检通道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TFNAP-XIII-170436</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13</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先期机检通道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TFNAP-XIII-170437</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14</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出境通道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TFNAP-XIII-170445</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15</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周水子机场海关</w:t>
            </w:r>
          </w:p>
          <w:p>
            <w:pPr>
              <w:jc w:val="center"/>
              <w:rPr>
                <w:rFonts w:ascii="方正仿宋_GBK" w:eastAsia="方正仿宋_GBK" w:cs="Lucida Sans"/>
                <w:color w:val="000000"/>
              </w:rPr>
            </w:pPr>
            <w:r>
              <w:rPr>
                <w:rFonts w:ascii="方正仿宋_GBK" w:eastAsia="方正仿宋_GBK" w:cs="Lucida Sans"/>
                <w:color w:val="000000"/>
              </w:rPr>
              <w:t>过站通道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SMEX-V6550B</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2000.015</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16</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边民互市监管区</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20190002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17</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铁路旅检通道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TE-XS100100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TE-XS1114001</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18</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新大桥口岸查验平台</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20190003</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19</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新大桥口岸旅检通道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111180152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20</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交通物流</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17190002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21</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交通物流</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17190002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22</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铁路旅检行李房</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CMEX-T100100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111160242</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23</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铁路旅检通道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TFNAP-XIII-170138</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24</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丹东海关</w:t>
            </w:r>
          </w:p>
          <w:p>
            <w:pPr>
              <w:jc w:val="center"/>
              <w:rPr>
                <w:rFonts w:ascii="方正仿宋_GBK" w:eastAsia="方正仿宋_GBK" w:cs="Lucida Sans"/>
                <w:color w:val="000000"/>
              </w:rPr>
            </w:pPr>
            <w:r>
              <w:rPr>
                <w:rFonts w:ascii="方正仿宋_GBK" w:eastAsia="方正仿宋_GBK" w:cs="Lucida Sans"/>
                <w:color w:val="000000"/>
              </w:rPr>
              <w:t>铁路旅检通道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TFNAP-XIII-170337</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25</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大窑湾海关</w:t>
              <w:br/>
              <w:t>38万平查验场地</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17190004</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26</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鞍山海关</w:t>
              <w:br/>
              <w:t>西柳监管场所查验场地</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20190003</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27</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rPr>
                <w:rFonts w:ascii="方正仿宋_GBK" w:eastAsia="方正仿宋_GBK" w:cs="Lucida Sans"/>
                <w:color w:val="000000"/>
              </w:rPr>
            </w:pPr>
            <w:r>
              <w:rPr>
                <w:rFonts w:ascii="方正仿宋_GBK" w:eastAsia="方正仿宋_GBK" w:cs="Lucida Sans"/>
                <w:color w:val="000000"/>
              </w:rPr>
              <w:t>大东港海关</w:t>
            </w:r>
          </w:p>
          <w:p>
            <w:pPr>
              <w:jc w:val="center"/>
            </w:pPr>
            <w:r>
              <w:rPr>
                <w:rFonts w:ascii="方正仿宋_GBK" w:eastAsia="方正仿宋_GBK" w:cs="Lucida Sans"/>
                <w:color w:val="000000"/>
              </w:rPr>
              <w:t>客运站旅检通道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琼玖探测</w:t>
            </w:r>
            <w:r>
              <w:rPr>
                <w:rFonts w:ascii="Times New Roman" w:hAnsi="Times New Roman"/>
                <w:strike w:val="0"/>
                <w:dstrike w:val="0"/>
                <w:color w:val="000000"/>
              </w:rPr>
              <w:t xml:space="preserve"> FDT-100100D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0960120252000003</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28</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大东港海关</w:t>
              <w:br/>
              <w:t>集装箱堆场</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17190008</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29</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周水子机场海关</w:t>
              <w:br/>
              <w:t>南航监管库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CMEX-160190</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114004038</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30</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周水子机场海关</w:t>
              <w:br/>
              <w:t>国航出口库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RSCAN150180D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r>
        <w:trPr>
          <w:trHeight w:val="680"/>
        </w:trPr>
        <w:tc>
          <w:tcPr>
            <w:tcW w:w="617"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cs="Lucida Sans"/>
                <w:color w:val="000000"/>
              </w:rPr>
              <w:t>31</w:t>
            </w:r>
          </w:p>
        </w:tc>
        <w:tc>
          <w:tcPr>
            <w:tcW w:w="2638"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方正仿宋_GBK" w:eastAsia="方正仿宋_GBK"/>
                <w:strike w:val="0"/>
                <w:dstrike w:val="0"/>
                <w:color w:val="000000"/>
              </w:rPr>
              <w:t>周水子机场海关</w:t>
              <w:br/>
              <w:t>国航进口库</w:t>
            </w:r>
          </w:p>
        </w:tc>
        <w:tc>
          <w:tcPr>
            <w:tcW w:w="2110"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CX150180D</w:t>
            </w:r>
          </w:p>
        </w:tc>
        <w:tc>
          <w:tcPr>
            <w:tcW w:w="2229"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TFNPA02190007</w:t>
            </w:r>
          </w:p>
        </w:tc>
        <w:tc>
          <w:tcPr>
            <w:tcW w:w="1065" w:type="dxa"/>
            <w:tcBorders>
              <w:top w:val="single" w:sz="6" w:space="0" w:color="auto"/>
              <w:left w:val="single" w:sz="6" w:space="0" w:color="auto"/>
              <w:bottom w:val="single" w:sz="6" w:space="0" w:color="auto"/>
              <w:right w:val="single" w:sz="6" w:space="0" w:color="auto"/>
              <w:tl2br w:val="nil"/>
              <w:tr2bl w:val="nil"/>
            </w:tcBorders>
            <w:shd w:val="clear" w:color="auto" w:fill="FFFFFF"/>
            <w:noWrap/>
            <w:vAlign w:val="center"/>
          </w:tcPr>
          <w:p>
            <w:pPr>
              <w:jc w:val="center"/>
            </w:pPr>
            <w:r>
              <w:rPr>
                <w:rFonts w:ascii="Times New Roman" w:eastAsia="Times New Roman" w:cs="Lucida Sans" w:hAnsi="Times New Roman"/>
                <w:color w:val="000000"/>
              </w:rPr>
              <w:t>1</w:t>
            </w:r>
          </w:p>
        </w:tc>
      </w:tr>
    </w:tbl>
    <w:p>
      <w:pPr>
        <w:spacing w:line="560" w:lineRule="exact"/>
        <w:ind w:firstLineChars="200" w:firstLine="480"/>
        <w:outlineLvl w:val="0"/>
        <w:rPr>
          <w:rFonts w:ascii="宋体" w:cs="宋体"/>
          <w:sz w:val="24"/>
          <w:szCs w:val="24"/>
        </w:rPr>
      </w:pPr>
      <w:r>
        <w:rPr>
          <w:rFonts w:ascii="宋体" w:cs="宋体" w:hint="eastAsia"/>
          <w:sz w:val="24"/>
          <w:szCs w:val="24"/>
        </w:rPr>
        <w:t>（五）维保工作内容与标准</w:t>
      </w:r>
      <w:bookmarkEnd w:id="7"/>
    </w:p>
    <w:p>
      <w:pPr>
        <w:spacing w:line="560" w:lineRule="exact"/>
        <w:ind w:firstLineChars="200" w:firstLine="480"/>
        <w:outlineLvl w:val="0"/>
        <w:rPr>
          <w:rFonts w:ascii="宋体" w:cs="宋体"/>
          <w:color w:val="000000"/>
          <w:sz w:val="24"/>
          <w:szCs w:val="24"/>
        </w:rPr>
      </w:pPr>
      <w:r>
        <w:rPr>
          <w:rFonts w:ascii="宋体" w:cs="宋体"/>
          <w:color w:val="000000"/>
          <w:sz w:val="24"/>
          <w:szCs w:val="24"/>
        </w:rPr>
        <w:t>1.</w:t>
      </w:r>
      <w:r>
        <w:rPr>
          <w:rFonts w:ascii="宋体" w:cs="宋体" w:hint="eastAsia"/>
          <w:color w:val="000000"/>
          <w:sz w:val="24"/>
          <w:szCs w:val="24"/>
        </w:rPr>
        <w:t xml:space="preserve"> 维保内容</w:t>
      </w:r>
    </w:p>
    <w:p>
      <w:pPr>
        <w:spacing w:line="560" w:lineRule="exact"/>
        <w:ind w:firstLineChars="200" w:firstLine="480"/>
        <w:outlineLvl w:val="0"/>
        <w:rPr>
          <w:rFonts w:ascii="宋体" w:cs="宋体"/>
          <w:color w:val="000000"/>
          <w:sz w:val="24"/>
          <w:szCs w:val="24"/>
        </w:rPr>
      </w:pPr>
      <w:r>
        <w:rPr>
          <w:rFonts w:ascii="宋体" w:cs="宋体" w:hint="eastAsia"/>
          <w:color w:val="000000"/>
          <w:sz w:val="24"/>
          <w:szCs w:val="24"/>
        </w:rPr>
        <w:t>维保内容包括但不限于以下内容：设备检修维护、故障处理、应急处置、特定日保障、各类施工作业以及对相关人员进行技术培训等内容。当设备出现需更换备件且备件价值超过500元时，乙方根据要求提供备件正式报价，甲方确认后，乙方进行更换维修，通过甲方现场验收后，设备恢复使用。在维修过程中低于5</w:t>
      </w:r>
      <w:r>
        <w:rPr>
          <w:rFonts w:ascii="宋体" w:cs="宋体"/>
          <w:color w:val="000000"/>
          <w:sz w:val="24"/>
          <w:szCs w:val="24"/>
        </w:rPr>
        <w:t>00</w:t>
      </w:r>
      <w:r>
        <w:rPr>
          <w:rFonts w:ascii="宋体" w:cs="宋体" w:hint="eastAsia"/>
          <w:color w:val="000000"/>
          <w:sz w:val="24"/>
          <w:szCs w:val="24"/>
        </w:rPr>
        <w:t>元的备件需中标人提供，甲方不另外支付5</w:t>
      </w:r>
      <w:r>
        <w:rPr>
          <w:rFonts w:ascii="宋体" w:cs="宋体"/>
          <w:color w:val="000000"/>
          <w:sz w:val="24"/>
          <w:szCs w:val="24"/>
        </w:rPr>
        <w:t>00</w:t>
      </w:r>
      <w:r>
        <w:rPr>
          <w:rFonts w:ascii="宋体" w:cs="宋体" w:hint="eastAsia"/>
          <w:color w:val="000000"/>
          <w:sz w:val="24"/>
          <w:szCs w:val="24"/>
        </w:rPr>
        <w:t>元以下备件费用。</w:t>
      </w:r>
    </w:p>
    <w:p>
      <w:pPr>
        <w:spacing w:line="560" w:lineRule="exact"/>
        <w:ind w:firstLineChars="200" w:firstLine="480"/>
        <w:outlineLvl w:val="0"/>
        <w:rPr>
          <w:rFonts w:ascii="宋体" w:cs="宋体"/>
          <w:sz w:val="24"/>
          <w:szCs w:val="24"/>
        </w:rPr>
      </w:pPr>
      <w:r>
        <w:rPr>
          <w:rFonts w:ascii="宋体" w:cs="宋体" w:hint="eastAsia"/>
          <w:sz w:val="24"/>
          <w:szCs w:val="24"/>
        </w:rPr>
        <w:t>（</w:t>
      </w:r>
      <w:r>
        <w:rPr>
          <w:rFonts w:ascii="宋体" w:cs="宋体"/>
          <w:sz w:val="24"/>
          <w:szCs w:val="24"/>
        </w:rPr>
        <w:t>1</w:t>
      </w:r>
      <w:r>
        <w:rPr>
          <w:rFonts w:ascii="宋体" w:cs="宋体" w:hint="eastAsia"/>
          <w:sz w:val="24"/>
          <w:szCs w:val="24"/>
        </w:rPr>
        <w:t>）季度维护：每季度对维保范围内的X光机设备维护一次，维护内容除周巡检内容以外，增加以下内容：</w:t>
      </w:r>
    </w:p>
    <w:p>
      <w:pPr>
        <w:spacing w:line="560" w:lineRule="exact"/>
        <w:ind w:firstLineChars="200" w:firstLine="480"/>
        <w:outlineLvl w:val="0"/>
        <w:rPr>
          <w:rFonts w:ascii="宋体" w:cs="宋体"/>
          <w:sz w:val="24"/>
          <w:szCs w:val="24"/>
        </w:rPr>
      </w:pPr>
      <w:r>
        <w:rPr>
          <w:rFonts w:ascii="宋体" w:cs="宋体" w:hint="eastAsia"/>
          <w:sz w:val="24"/>
          <w:szCs w:val="24"/>
        </w:rPr>
        <w:t>a.整定设备软件参数设置；</w:t>
      </w:r>
    </w:p>
    <w:p>
      <w:pPr>
        <w:spacing w:line="560" w:lineRule="exact"/>
        <w:ind w:firstLineChars="200" w:firstLine="480"/>
        <w:outlineLvl w:val="0"/>
        <w:rPr>
          <w:rFonts w:ascii="宋体" w:cs="宋体"/>
          <w:sz w:val="24"/>
          <w:szCs w:val="24"/>
        </w:rPr>
      </w:pPr>
      <w:r>
        <w:rPr>
          <w:rFonts w:ascii="宋体" w:cs="宋体" w:hint="eastAsia"/>
          <w:sz w:val="24"/>
          <w:szCs w:val="24"/>
        </w:rPr>
        <w:t>b.检查设备数据记录的完整性；</w:t>
      </w:r>
    </w:p>
    <w:p>
      <w:pPr>
        <w:spacing w:line="560" w:lineRule="exact"/>
        <w:ind w:firstLineChars="200" w:firstLine="480"/>
        <w:outlineLvl w:val="0"/>
        <w:rPr>
          <w:rFonts w:ascii="宋体" w:cs="宋体"/>
          <w:sz w:val="24"/>
          <w:szCs w:val="24"/>
        </w:rPr>
      </w:pPr>
      <w:r>
        <w:rPr>
          <w:rFonts w:ascii="宋体" w:cs="宋体" w:hint="eastAsia"/>
          <w:sz w:val="24"/>
          <w:szCs w:val="24"/>
        </w:rPr>
        <w:t>d.检查设备易损/易耗件，更换隐患部件；</w:t>
      </w:r>
    </w:p>
    <w:p>
      <w:pPr>
        <w:spacing w:line="560" w:lineRule="exact"/>
        <w:ind w:firstLineChars="200" w:firstLine="480"/>
        <w:outlineLvl w:val="0"/>
        <w:rPr>
          <w:rFonts w:ascii="宋体" w:cs="宋体"/>
          <w:sz w:val="24"/>
          <w:szCs w:val="24"/>
        </w:rPr>
      </w:pPr>
      <w:r>
        <w:rPr>
          <w:rFonts w:ascii="宋体" w:cs="宋体" w:hint="eastAsia"/>
          <w:sz w:val="24"/>
          <w:szCs w:val="24"/>
        </w:rPr>
        <w:t>e.对设备进行保养，包括必要的清洁、调整等。</w:t>
      </w:r>
    </w:p>
    <w:p>
      <w:pPr>
        <w:spacing w:line="560" w:lineRule="exact"/>
        <w:ind w:firstLineChars="200" w:firstLine="480"/>
        <w:outlineLvl w:val="0"/>
        <w:rPr>
          <w:rFonts w:ascii="宋体" w:cs="宋体"/>
          <w:sz w:val="24"/>
          <w:szCs w:val="24"/>
        </w:rPr>
      </w:pPr>
      <w:r>
        <w:rPr>
          <w:rFonts w:ascii="宋体" w:cs="宋体" w:hint="eastAsia"/>
          <w:sz w:val="24"/>
          <w:szCs w:val="24"/>
        </w:rPr>
        <w:t>（2）特定日保障</w:t>
      </w:r>
    </w:p>
    <w:p>
      <w:pPr>
        <w:spacing w:line="560" w:lineRule="exact"/>
        <w:ind w:firstLineChars="200" w:firstLine="480"/>
        <w:outlineLvl w:val="0"/>
        <w:rPr>
          <w:rFonts w:ascii="宋体" w:cs="宋体"/>
          <w:sz w:val="24"/>
          <w:szCs w:val="24"/>
        </w:rPr>
      </w:pPr>
      <w:r>
        <w:rPr>
          <w:rFonts w:ascii="宋体" w:cs="宋体" w:hint="eastAsia"/>
          <w:sz w:val="24"/>
          <w:szCs w:val="24"/>
        </w:rPr>
        <w:t>特定日是指国家法定节假日、重大社会活动、会议及各类集会举办期间等。特定日保障是为了确保在特定日期间X光机设备能够充分发挥安全检查作用。</w:t>
      </w:r>
    </w:p>
    <w:p>
      <w:pPr>
        <w:spacing w:line="560" w:lineRule="exact"/>
        <w:ind w:firstLineChars="200" w:firstLine="480"/>
        <w:outlineLvl w:val="0"/>
        <w:rPr>
          <w:rFonts w:ascii="宋体" w:cs="宋体"/>
          <w:sz w:val="24"/>
          <w:szCs w:val="24"/>
        </w:rPr>
      </w:pPr>
      <w:r>
        <w:rPr>
          <w:rFonts w:ascii="宋体" w:cs="宋体" w:hint="eastAsia"/>
          <w:sz w:val="24"/>
          <w:szCs w:val="24"/>
        </w:rPr>
        <w:t>人员保障：在特定日期间，为保障所有X光机设备正常运行，采购人视具体情况，可要求投标人在指定现场排至少</w:t>
      </w:r>
      <w:r>
        <w:rPr>
          <w:rFonts w:ascii="宋体" w:cs="宋体"/>
          <w:sz w:val="24"/>
          <w:szCs w:val="24"/>
        </w:rPr>
        <w:t>1</w:t>
      </w:r>
      <w:r>
        <w:rPr>
          <w:rFonts w:ascii="宋体" w:cs="宋体" w:hint="eastAsia"/>
          <w:sz w:val="24"/>
          <w:szCs w:val="24"/>
        </w:rPr>
        <w:t>名维保人员现场值班或巡检值班等，其余维保人员随时待命提供支援。指定地点以采购人安排为准。</w:t>
      </w:r>
    </w:p>
    <w:p>
      <w:pPr>
        <w:spacing w:line="560" w:lineRule="exact"/>
        <w:ind w:firstLineChars="200" w:firstLine="480"/>
        <w:outlineLvl w:val="0"/>
        <w:rPr>
          <w:rFonts w:ascii="宋体" w:cs="宋体"/>
          <w:sz w:val="24"/>
          <w:szCs w:val="24"/>
        </w:rPr>
      </w:pPr>
      <w:r>
        <w:rPr>
          <w:rFonts w:ascii="宋体" w:cs="宋体" w:hint="eastAsia"/>
          <w:sz w:val="24"/>
          <w:szCs w:val="24"/>
        </w:rPr>
        <w:t>（</w:t>
      </w:r>
      <w:r>
        <w:rPr>
          <w:rFonts w:ascii="宋体" w:cs="宋体"/>
          <w:sz w:val="24"/>
          <w:szCs w:val="24"/>
        </w:rPr>
        <w:t>3</w:t>
      </w:r>
      <w:r>
        <w:rPr>
          <w:rFonts w:ascii="宋体" w:cs="宋体" w:hint="eastAsia"/>
          <w:sz w:val="24"/>
          <w:szCs w:val="24"/>
        </w:rPr>
        <w:t>）保障措施：特定日前投标人要向采购人提供详细的保障措施计划，并经采购人审批同意。</w:t>
      </w:r>
    </w:p>
    <w:p>
      <w:pPr>
        <w:spacing w:line="560" w:lineRule="exact"/>
        <w:ind w:firstLineChars="200" w:firstLine="480"/>
        <w:outlineLvl w:val="0"/>
        <w:rPr>
          <w:rFonts w:ascii="宋体" w:cs="宋体"/>
          <w:sz w:val="24"/>
          <w:szCs w:val="24"/>
        </w:rPr>
      </w:pPr>
      <w:r>
        <w:rPr>
          <w:rFonts w:ascii="宋体" w:cs="宋体" w:hint="eastAsia"/>
          <w:sz w:val="24"/>
          <w:szCs w:val="24"/>
        </w:rPr>
        <w:t>（4）设备故障维修</w:t>
      </w:r>
    </w:p>
    <w:p>
      <w:pPr>
        <w:spacing w:line="560" w:lineRule="exact"/>
        <w:ind w:firstLineChars="200" w:firstLine="480"/>
        <w:outlineLvl w:val="0"/>
        <w:rPr>
          <w:rFonts w:ascii="宋体" w:cs="宋体"/>
          <w:sz w:val="24"/>
          <w:szCs w:val="24"/>
        </w:rPr>
      </w:pPr>
      <w:r>
        <w:rPr>
          <w:rFonts w:ascii="宋体" w:cs="宋体" w:hint="eastAsia"/>
          <w:sz w:val="24"/>
          <w:szCs w:val="24"/>
        </w:rPr>
        <w:t>故障维修是投标人对采购人已通知的设备突发故障进行处理、修复，处理后应及时通知采购人相关监管部门。</w:t>
      </w:r>
    </w:p>
    <w:p>
      <w:pPr>
        <w:spacing w:line="560" w:lineRule="exact"/>
        <w:ind w:firstLineChars="200" w:firstLine="480"/>
        <w:outlineLvl w:val="0"/>
        <w:rPr>
          <w:rFonts w:ascii="宋体" w:cs="宋体"/>
          <w:sz w:val="24"/>
          <w:szCs w:val="24"/>
        </w:rPr>
      </w:pPr>
      <w:r>
        <w:rPr>
          <w:rFonts w:ascii="宋体" w:cs="宋体" w:hint="eastAsia"/>
          <w:sz w:val="24"/>
          <w:szCs w:val="24"/>
        </w:rPr>
        <w:t>（5）临时保障、各类配合等零星工作</w:t>
      </w:r>
    </w:p>
    <w:p>
      <w:pPr>
        <w:spacing w:line="560" w:lineRule="exact"/>
        <w:ind w:firstLineChars="200" w:firstLine="480"/>
        <w:outlineLvl w:val="0"/>
        <w:rPr>
          <w:rFonts w:ascii="宋体" w:cs="宋体"/>
          <w:sz w:val="24"/>
          <w:szCs w:val="24"/>
        </w:rPr>
      </w:pPr>
      <w:r>
        <w:rPr>
          <w:rFonts w:ascii="宋体" w:cs="宋体" w:hint="eastAsia"/>
          <w:sz w:val="24"/>
          <w:szCs w:val="24"/>
        </w:rPr>
        <w:t>在一段特殊时期内为保障本系统正常运行而增加的维保工作，包括应对临时事件而开展的保障工作、对某个部件进行的专项维护保养、维保过程中存在的问题进行整改、采购人对系统进行改造等的零星工程的配合、节假日前检查、政府安排的大型活动的系统安全检查及演练配合、突发事件处理等。</w:t>
      </w:r>
    </w:p>
    <w:p>
      <w:pPr>
        <w:spacing w:line="560" w:lineRule="exact"/>
        <w:ind w:firstLineChars="200" w:firstLine="480"/>
        <w:outlineLvl w:val="0"/>
        <w:rPr>
          <w:rFonts w:ascii="宋体" w:cs="宋体"/>
          <w:sz w:val="24"/>
          <w:szCs w:val="24"/>
        </w:rPr>
      </w:pPr>
      <w:r>
        <w:rPr>
          <w:rFonts w:ascii="宋体" w:cs="宋体" w:hint="eastAsia"/>
          <w:sz w:val="24"/>
          <w:szCs w:val="24"/>
        </w:rPr>
        <w:t>（6）技术培训</w:t>
      </w:r>
    </w:p>
    <w:p>
      <w:pPr>
        <w:spacing w:line="560" w:lineRule="exact"/>
        <w:ind w:firstLineChars="200" w:firstLine="480"/>
        <w:outlineLvl w:val="0"/>
        <w:rPr>
          <w:rFonts w:ascii="宋体" w:cs="宋体"/>
          <w:sz w:val="24"/>
          <w:szCs w:val="24"/>
        </w:rPr>
      </w:pPr>
      <w:r>
        <w:rPr>
          <w:rFonts w:ascii="宋体" w:cs="宋体" w:hint="eastAsia"/>
          <w:sz w:val="24"/>
          <w:szCs w:val="24"/>
        </w:rPr>
        <w:t>投标人制定详细的培训计划及方案，组织操作相关人员开展技术培训，分别为针对X光机设备操作人员、车站站务人员和X光机设备管理人员的培训。培训费用包含在总合同价内。</w:t>
      </w:r>
    </w:p>
    <w:p>
      <w:pPr>
        <w:spacing w:line="560" w:lineRule="exact"/>
        <w:ind w:firstLineChars="200" w:firstLine="480"/>
        <w:outlineLvl w:val="0"/>
        <w:rPr>
          <w:rFonts w:ascii="宋体" w:cs="宋体"/>
          <w:sz w:val="24"/>
          <w:szCs w:val="24"/>
        </w:rPr>
      </w:pPr>
      <w:r>
        <w:rPr>
          <w:rFonts w:ascii="宋体" w:cs="宋体" w:hint="eastAsia"/>
          <w:sz w:val="24"/>
          <w:szCs w:val="24"/>
        </w:rPr>
        <w:t>X光机设备操作人员的培训</w:t>
      </w:r>
    </w:p>
    <w:p>
      <w:pPr>
        <w:spacing w:line="560" w:lineRule="exact"/>
        <w:ind w:firstLineChars="200" w:firstLine="480"/>
        <w:outlineLvl w:val="0"/>
        <w:rPr>
          <w:rFonts w:ascii="宋体" w:cs="宋体"/>
          <w:sz w:val="24"/>
          <w:szCs w:val="24"/>
        </w:rPr>
      </w:pPr>
      <w:r>
        <w:rPr>
          <w:rFonts w:ascii="宋体" w:cs="宋体" w:hint="eastAsia"/>
          <w:sz w:val="24"/>
          <w:szCs w:val="24"/>
        </w:rPr>
        <w:t>对X光机操作人员根据采购人要求组织不少于1次培训，每次培训时长不少于4小时。主要培训内容为：设备操作及注意事项、简单故障判断、故障隐患发现和故障应急处置等，并提供培训教材。</w:t>
      </w:r>
    </w:p>
    <w:p>
      <w:pPr>
        <w:spacing w:line="560" w:lineRule="exact"/>
        <w:ind w:firstLineChars="200" w:firstLine="480"/>
        <w:outlineLvl w:val="0"/>
        <w:rPr>
          <w:rFonts w:ascii="宋体" w:cs="宋体"/>
          <w:sz w:val="24"/>
          <w:szCs w:val="24"/>
        </w:rPr>
      </w:pPr>
      <w:r>
        <w:rPr>
          <w:rFonts w:ascii="宋体" w:cs="宋体" w:hint="eastAsia"/>
          <w:sz w:val="24"/>
          <w:szCs w:val="24"/>
        </w:rPr>
        <w:t>X光机设备管理人员的培训</w:t>
      </w:r>
    </w:p>
    <w:p>
      <w:pPr>
        <w:spacing w:line="560" w:lineRule="exact"/>
        <w:ind w:firstLineChars="200" w:firstLine="480"/>
        <w:outlineLvl w:val="0"/>
        <w:rPr>
          <w:rFonts w:ascii="宋体" w:cs="宋体"/>
          <w:sz w:val="24"/>
          <w:szCs w:val="24"/>
        </w:rPr>
      </w:pPr>
      <w:r>
        <w:rPr>
          <w:rFonts w:ascii="宋体" w:cs="宋体" w:hint="eastAsia"/>
          <w:sz w:val="24"/>
          <w:szCs w:val="24"/>
        </w:rPr>
        <w:t>对安检管理人员每年组织不少于</w:t>
      </w:r>
      <w:r>
        <w:rPr>
          <w:rFonts w:ascii="宋体" w:cs="宋体"/>
          <w:sz w:val="24"/>
          <w:szCs w:val="24"/>
        </w:rPr>
        <w:t>1</w:t>
      </w:r>
      <w:r>
        <w:rPr>
          <w:rFonts w:ascii="宋体" w:cs="宋体" w:hint="eastAsia"/>
          <w:sz w:val="24"/>
          <w:szCs w:val="24"/>
        </w:rPr>
        <w:t>次培训（如遇“四新“技术应用，随时组织培训）。</w:t>
      </w:r>
    </w:p>
    <w:p>
      <w:pPr>
        <w:spacing w:line="560" w:lineRule="exact"/>
        <w:ind w:firstLineChars="200" w:firstLine="480"/>
        <w:outlineLvl w:val="0"/>
        <w:rPr>
          <w:rFonts w:ascii="宋体" w:cs="宋体"/>
          <w:sz w:val="24"/>
          <w:szCs w:val="24"/>
        </w:rPr>
      </w:pPr>
      <w:r>
        <w:rPr>
          <w:rFonts w:ascii="宋体" w:cs="宋体" w:hint="eastAsia"/>
          <w:sz w:val="24"/>
          <w:szCs w:val="24"/>
        </w:rPr>
        <w:t>主要内容为：设备主要功能作用及工作原理、设备故障应急处置、设备安全性能检测及隐患故障辨识、四新（新工艺、新技术、新设备、新操作规程）技术应用与推广、典型案例分析、安检行业发展动态等，并提供培训教材。</w:t>
      </w:r>
    </w:p>
    <w:p>
      <w:pPr>
        <w:spacing w:line="560" w:lineRule="exact"/>
        <w:ind w:firstLineChars="200" w:firstLine="480"/>
        <w:outlineLvl w:val="0"/>
        <w:rPr>
          <w:rFonts w:ascii="宋体" w:cs="宋体"/>
          <w:sz w:val="24"/>
          <w:szCs w:val="24"/>
        </w:rPr>
      </w:pPr>
      <w:r>
        <w:rPr>
          <w:rFonts w:ascii="宋体" w:cs="宋体" w:hint="eastAsia"/>
          <w:sz w:val="24"/>
          <w:szCs w:val="24"/>
        </w:rPr>
        <w:t>（7）维保标准</w:t>
      </w:r>
    </w:p>
    <w:p>
      <w:pPr>
        <w:spacing w:line="560" w:lineRule="exact"/>
        <w:ind w:firstLineChars="200" w:firstLine="480"/>
        <w:outlineLvl w:val="0"/>
        <w:rPr>
          <w:rFonts w:ascii="宋体" w:cs="宋体"/>
          <w:sz w:val="24"/>
          <w:szCs w:val="24"/>
        </w:rPr>
      </w:pPr>
      <w:r>
        <w:rPr>
          <w:rFonts w:ascii="宋体" w:cs="宋体" w:hint="eastAsia"/>
          <w:sz w:val="24"/>
          <w:szCs w:val="24"/>
        </w:rPr>
        <w:t>投标人必须保证采购人所委托的X光机安全运行且达到大连海关的使用要求。</w:t>
      </w:r>
    </w:p>
    <w:p>
      <w:pPr>
        <w:spacing w:line="560" w:lineRule="exact"/>
        <w:ind w:firstLineChars="200" w:firstLine="480"/>
        <w:outlineLvl w:val="0"/>
        <w:rPr>
          <w:rFonts w:ascii="宋体" w:cs="宋体"/>
          <w:sz w:val="24"/>
          <w:szCs w:val="24"/>
        </w:rPr>
      </w:pPr>
      <w:r>
        <w:rPr>
          <w:rFonts w:ascii="宋体" w:cs="宋体" w:hint="eastAsia"/>
          <w:sz w:val="24"/>
          <w:szCs w:val="24"/>
        </w:rPr>
        <w:t>投标人编制</w:t>
      </w:r>
      <w:r>
        <w:rPr>
          <w:rFonts w:ascii="宋体" w:cs="宋体" w:hint="eastAsia"/>
          <w:color w:val="000000"/>
          <w:sz w:val="24"/>
          <w:szCs w:val="24"/>
        </w:rPr>
        <w:t>X光机维保项目现场实施方案</w:t>
      </w:r>
      <w:r>
        <w:rPr>
          <w:rFonts w:ascii="宋体" w:cs="宋体" w:hint="eastAsia"/>
          <w:sz w:val="24"/>
          <w:szCs w:val="24"/>
        </w:rPr>
        <w:t>及投标人对X光机的维保标准与内容应不低于《X光机设备检修标准》所规定的内容。具体标准如下：</w:t>
      </w:r>
    </w:p>
    <w:p>
      <w:pPr>
        <w:pStyle w:val="27"/>
        <w:widowControl/>
        <w:jc w:val="center"/>
        <w:rPr>
          <w:rFonts w:ascii="宋体" w:cs="宋体"/>
        </w:rPr>
      </w:pPr>
      <w:r>
        <w:rPr>
          <w:rFonts w:ascii="宋体" w:cs="宋体" w:hint="eastAsia"/>
        </w:rPr>
        <w:t>表：</w:t>
      </w:r>
      <w:r>
        <w:rPr>
          <w:rFonts w:ascii="宋体" w:cs="宋体"/>
        </w:rPr>
        <w:t>X</w:t>
      </w:r>
      <w:r>
        <w:rPr>
          <w:rFonts w:ascii="宋体" w:cs="宋体" w:hint="eastAsia"/>
        </w:rPr>
        <w:t>光机设备检修标准</w:t>
      </w:r>
    </w:p>
    <w:tbl>
      <w:tblPr>
        <w:jc w:val="center"/>
        <w:tblW w:w="8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3"/>
        <w:gridCol w:w="709"/>
        <w:gridCol w:w="992"/>
        <w:gridCol w:w="1418"/>
        <w:gridCol w:w="3827"/>
        <w:gridCol w:w="905"/>
      </w:tblGrid>
      <w:tr>
        <w:trPr>
          <w:trHeight w:val="617"/>
        </w:trPr>
        <w:tc>
          <w:tcPr>
            <w:tcW w:w="673"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设备</w:t>
            </w:r>
          </w:p>
        </w:tc>
        <w:tc>
          <w:tcPr>
            <w:tcW w:w="709"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修程</w:t>
            </w:r>
          </w:p>
        </w:tc>
        <w:tc>
          <w:tcPr>
            <w:tcW w:w="992"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周期</w:t>
            </w: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作业内容</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作业标准</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b/>
                <w:bCs/>
              </w:rPr>
            </w:pPr>
            <w:r>
              <w:rPr>
                <w:rFonts w:ascii="宋体" w:cs="宋体" w:hint="eastAsia"/>
                <w:b/>
                <w:bCs/>
              </w:rPr>
              <w:t>备注</w:t>
            </w:r>
          </w:p>
        </w:tc>
      </w:tr>
      <w:tr>
        <w:trPr>
          <w:trHeight w:val="617"/>
        </w:trPr>
        <w:tc>
          <w:tcPr>
            <w:tcW w:w="673" w:type="dxa"/>
            <w:vMerge w:val="restart"/>
            <w:tcBorders>
              <w:left w:val="single" w:sz="4" w:space="0" w:color="auto"/>
              <w:right w:val="single" w:sz="4" w:space="0" w:color="auto"/>
            </w:tcBorders>
            <w:vAlign w:val="center"/>
          </w:tcPr>
          <w:p>
            <w:pPr>
              <w:widowControl/>
              <w:spacing w:line="240" w:lineRule="auto"/>
              <w:jc w:val="center"/>
              <w:rPr>
                <w:rFonts w:ascii="宋体" w:cs="宋体"/>
              </w:rPr>
            </w:pPr>
          </w:p>
        </w:tc>
        <w:tc>
          <w:tcPr>
            <w:tcW w:w="709" w:type="dxa"/>
            <w:vMerge w:val="restart"/>
            <w:tcBorders>
              <w:top w:val="single" w:sz="4" w:space="0" w:color="auto"/>
              <w:left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季度维护</w:t>
            </w:r>
          </w:p>
        </w:tc>
        <w:tc>
          <w:tcPr>
            <w:tcW w:w="992" w:type="dxa"/>
            <w:vMerge w:val="restart"/>
            <w:tcBorders>
              <w:top w:val="single" w:sz="4" w:space="0" w:color="auto"/>
              <w:left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3个月</w:t>
            </w: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整机外观</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设备整机外观无破损及变形等状况；</w:t>
            </w:r>
          </w:p>
          <w:p>
            <w:pPr>
              <w:widowControl/>
              <w:spacing w:line="240" w:lineRule="auto"/>
              <w:jc w:val="center"/>
              <w:rPr>
                <w:rFonts w:ascii="宋体" w:cs="宋体"/>
              </w:rPr>
            </w:pPr>
            <w:r>
              <w:rPr>
                <w:rFonts w:ascii="宋体" w:cs="宋体" w:hint="eastAsia"/>
              </w:rPr>
              <w:t>设备整机是否清洁；设备表面无灰尘其他杂物</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通道出入口的铅门帘</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检查设备铅门帘完好、无破损，无卷起露出通道内部</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设备供电</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检查设备外接电源正常（198-235.4V之间，50Hz）</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设备接地</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接线紧固无松脱、无虚接；接地电阻值不大于4Ω</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设备开机</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设备正常开机上电</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X射线指示灯和电源指示灯</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设备启动后，检查设备X射线指示灯和电源状态指示灯状态是否正常；指示灯接线紧固无松脱、无虚接</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急停开关</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检查急停开关是否正常工作，故障时进行更换。</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安全联锁开关</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检查安全联锁开关是否正常工作，故障时进行更换。</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扫描包裹检查图像及颜色</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采用测试样本测试设备工作性能，显示器图像及颜色正常；物体成像形状及颜色正常；扫描图像背景干净，无横竖条纹或色块等现象；扫描图像完整、不缺失</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显示器</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显示器表面无灰尘；根据需要调整显示器颜色及亮度；必要时维修、更换</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传动系统</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设备待机状态及运转过程中均无异常声音；驱动电机正常无噪音、温度正常</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电动滚筒和传送带</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传送带运行过程中无异响、运转正常；传送带无走偏、破损；检查传送带张进度，调节张紧装置，消除打滑现象；传送带底部无异物，传送带与调偏托辊之间无异物；进传送带如果有比较严重的损坏和损耗时，应及时更换</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散热风扇及防尘网</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各部位散热风扇均正常工作，无异响；风扇接线紧固；散热风扇和防尘网无积灰</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X光机（含控制器）顶/底视角</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X光机无漏油现象；X光机高压和束流值正常，调整X光机工作电压及电流，使其工作在标准值</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探测器</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检查探测器型号及数量，和该设备标准配置一致；探测器曲线曲线最低值高于空气校准值，低于时调整三点一线；探测器板无故障、位置最佳、无积灰</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操作键盘</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操作键盘功能正常，按键灵敏，无卡涩；擦拭键盘使表面无污物、灰尘</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坡台、非机动辊道</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坡台、非机动辊道无损坏或变形；物品通过时辊道正常运转</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工控机软件</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测试工控机软件是否正常工作；参数是否正确；设备数据记录是否完整</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工控机硬件</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测试工控机硬件是否正常工作；工控机内部无积灰，内部散热风扇运行正常、固定牢靠、无积灰</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光电传感器</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遮挡测试光电传感器工作状态正常；调整光电传感器灵敏度或位置，使其位置及灵敏度达到最佳</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设备内部</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设备端子排、X光机散热风扇、探测器盒内部无灰尘</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right w:val="single" w:sz="4" w:space="0" w:color="auto"/>
            </w:tcBorders>
            <w:vAlign w:val="center"/>
          </w:tcPr>
          <w:p/>
        </w:tc>
        <w:tc>
          <w:tcPr>
            <w:tcW w:w="992" w:type="dxa"/>
            <w:vMerge/>
            <w:tcBorders>
              <w:left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检查摄像头显示</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摄像头是否对端进出口；摄像功能是否正常</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r>
        <w:trPr>
          <w:trHeight w:val="617"/>
        </w:trPr>
        <w:tc>
          <w:tcPr>
            <w:tcW w:w="673" w:type="dxa"/>
            <w:vMerge/>
            <w:tcBorders>
              <w:left w:val="single" w:sz="4" w:space="0" w:color="auto"/>
              <w:right w:val="single" w:sz="4" w:space="0" w:color="auto"/>
            </w:tcBorders>
            <w:vAlign w:val="center"/>
          </w:tcPr>
          <w:p/>
        </w:tc>
        <w:tc>
          <w:tcPr>
            <w:tcW w:w="709" w:type="dxa"/>
            <w:vMerge/>
            <w:tcBorders>
              <w:left w:val="single" w:sz="4" w:space="0" w:color="auto"/>
              <w:bottom w:val="single" w:sz="4" w:space="0" w:color="auto"/>
              <w:right w:val="single" w:sz="4" w:space="0" w:color="auto"/>
            </w:tcBorders>
            <w:vAlign w:val="center"/>
          </w:tcPr>
          <w:p/>
        </w:tc>
        <w:tc>
          <w:tcPr>
            <w:tcW w:w="992" w:type="dxa"/>
            <w:vMerge/>
            <w:tcBorders>
              <w:left w:val="single" w:sz="4" w:space="0" w:color="auto"/>
              <w:bottom w:val="single" w:sz="4" w:space="0" w:color="auto"/>
              <w:right w:val="single" w:sz="4" w:space="0" w:color="auto"/>
            </w:tcBorders>
            <w:vAlign w:val="center"/>
          </w:tcPr>
          <w:p/>
        </w:tc>
        <w:tc>
          <w:tcPr>
            <w:tcW w:w="1418"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设备关机重启</w:t>
            </w:r>
          </w:p>
        </w:tc>
        <w:tc>
          <w:tcPr>
            <w:tcW w:w="3827"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r>
              <w:rPr>
                <w:rFonts w:ascii="宋体" w:cs="宋体" w:hint="eastAsia"/>
              </w:rPr>
              <w:t>测试设备功能是否正常</w:t>
            </w:r>
          </w:p>
        </w:tc>
        <w:tc>
          <w:tcPr>
            <w:tcW w:w="905" w:type="dxa"/>
            <w:tcBorders>
              <w:top w:val="single" w:sz="4" w:space="0" w:color="auto"/>
              <w:left w:val="single" w:sz="4" w:space="0" w:color="auto"/>
              <w:bottom w:val="single" w:sz="4" w:space="0" w:color="auto"/>
              <w:right w:val="single" w:sz="4" w:space="0" w:color="auto"/>
            </w:tcBorders>
            <w:vAlign w:val="center"/>
          </w:tcPr>
          <w:p>
            <w:pPr>
              <w:widowControl/>
              <w:spacing w:line="240" w:lineRule="auto"/>
              <w:jc w:val="center"/>
              <w:rPr>
                <w:rFonts w:ascii="宋体" w:cs="宋体"/>
              </w:rPr>
            </w:pPr>
          </w:p>
        </w:tc>
      </w:tr>
    </w:tbl>
    <w:p>
      <w:pPr>
        <w:widowControl/>
        <w:jc w:val="center"/>
        <w:rPr>
          <w:rFonts w:ascii="宋体" w:cs="宋体"/>
          <w:b/>
          <w:bCs/>
        </w:rPr>
      </w:pPr>
    </w:p>
    <w:p>
      <w:pPr>
        <w:widowControl/>
        <w:jc w:val="center"/>
        <w:rPr>
          <w:rFonts w:ascii="宋体" w:cs="宋体"/>
        </w:rPr>
      </w:pPr>
      <w:r>
        <w:rPr>
          <w:rFonts w:ascii="宋体" w:cs="宋体" w:hint="eastAsia"/>
        </w:rPr>
        <w:t>表：经过投标人维保的X光机设备应满足以下指标要求</w:t>
      </w:r>
    </w:p>
    <w:tbl>
      <w:tblPr>
        <w:jc w:val="center"/>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69"/>
        <w:gridCol w:w="3103"/>
        <w:gridCol w:w="2364"/>
        <w:gridCol w:w="1219"/>
      </w:tblGrid>
      <w:tr>
        <w:trPr>
          <w:trHeight w:val="387"/>
        </w:trPr>
        <w:tc>
          <w:tcPr>
            <w:tcW w:w="1869" w:type="dxa"/>
            <w:vAlign w:val="center"/>
          </w:tcPr>
          <w:p>
            <w:pPr>
              <w:spacing w:line="240" w:lineRule="auto"/>
              <w:jc w:val="center"/>
              <w:rPr>
                <w:rFonts w:ascii="宋体" w:cs="宋体"/>
                <w:b/>
                <w:bCs/>
              </w:rPr>
            </w:pPr>
            <w:r>
              <w:rPr>
                <w:rFonts w:ascii="宋体" w:cs="宋体" w:hint="eastAsia"/>
                <w:b/>
                <w:bCs/>
              </w:rPr>
              <w:t>指标名称</w:t>
            </w:r>
          </w:p>
        </w:tc>
        <w:tc>
          <w:tcPr>
            <w:tcW w:w="5467" w:type="dxa"/>
            <w:gridSpan w:val="2"/>
            <w:vAlign w:val="center"/>
          </w:tcPr>
          <w:p>
            <w:pPr>
              <w:spacing w:line="240" w:lineRule="auto"/>
              <w:jc w:val="center"/>
              <w:rPr>
                <w:rFonts w:ascii="宋体" w:cs="宋体"/>
                <w:b/>
                <w:bCs/>
              </w:rPr>
            </w:pPr>
            <w:r>
              <w:rPr>
                <w:rFonts w:ascii="宋体" w:cs="宋体" w:hint="eastAsia"/>
                <w:b/>
                <w:bCs/>
              </w:rPr>
              <w:t>指标要求</w:t>
            </w:r>
          </w:p>
        </w:tc>
        <w:tc>
          <w:tcPr>
            <w:tcW w:w="1219" w:type="dxa"/>
            <w:vAlign w:val="center"/>
          </w:tcPr>
          <w:p>
            <w:pPr>
              <w:spacing w:line="240" w:lineRule="auto"/>
              <w:jc w:val="center"/>
              <w:rPr>
                <w:rFonts w:ascii="宋体" w:cs="宋体"/>
                <w:b/>
                <w:bCs/>
              </w:rPr>
            </w:pPr>
            <w:r>
              <w:rPr>
                <w:rFonts w:ascii="宋体" w:cs="宋体" w:hint="eastAsia"/>
                <w:b/>
                <w:bCs/>
              </w:rPr>
              <w:t>统计周期</w:t>
            </w:r>
          </w:p>
        </w:tc>
      </w:tr>
      <w:tr>
        <w:trPr>
          <w:trHeight w:val="465"/>
        </w:trPr>
        <w:tc>
          <w:tcPr>
            <w:tcW w:w="1869" w:type="dxa"/>
            <w:vMerge w:val="restart"/>
            <w:vAlign w:val="center"/>
          </w:tcPr>
          <w:p>
            <w:pPr>
              <w:spacing w:line="240" w:lineRule="auto"/>
              <w:jc w:val="center"/>
              <w:rPr>
                <w:rFonts w:ascii="宋体" w:cs="宋体"/>
              </w:rPr>
            </w:pPr>
            <w:r>
              <w:rPr>
                <w:rFonts w:ascii="宋体" w:cs="宋体" w:hint="eastAsia"/>
              </w:rPr>
              <w:t>停机故障</w:t>
            </w:r>
          </w:p>
        </w:tc>
        <w:tc>
          <w:tcPr>
            <w:tcW w:w="3103"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大于10分钟小于等于90分钟</w:t>
            </w:r>
          </w:p>
        </w:tc>
        <w:tc>
          <w:tcPr>
            <w:tcW w:w="2364"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不大于3件</w:t>
            </w:r>
          </w:p>
        </w:tc>
        <w:tc>
          <w:tcPr>
            <w:tcW w:w="1219" w:type="dxa"/>
            <w:vAlign w:val="center"/>
          </w:tcPr>
          <w:p>
            <w:pPr>
              <w:spacing w:line="240" w:lineRule="auto"/>
              <w:jc w:val="center"/>
              <w:rPr>
                <w:rFonts w:ascii="宋体" w:cs="宋体"/>
              </w:rPr>
            </w:pPr>
            <w:r>
              <w:rPr>
                <w:rFonts w:ascii="宋体" w:cs="宋体" w:hint="eastAsia"/>
              </w:rPr>
              <w:t>每季度</w:t>
            </w:r>
          </w:p>
        </w:tc>
      </w:tr>
      <w:tr>
        <w:trPr>
          <w:trHeight w:val="498"/>
        </w:trPr>
        <w:tc>
          <w:tcPr>
            <w:tcW w:w="1869" w:type="dxa"/>
            <w:vMerge/>
            <w:vAlign w:val="center"/>
          </w:tcPr>
          <w:p/>
        </w:tc>
        <w:tc>
          <w:tcPr>
            <w:tcW w:w="3103"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大于90分钟小于等于120分钟</w:t>
            </w:r>
          </w:p>
        </w:tc>
        <w:tc>
          <w:tcPr>
            <w:tcW w:w="2364"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不大于2件</w:t>
            </w:r>
          </w:p>
        </w:tc>
        <w:tc>
          <w:tcPr>
            <w:tcW w:w="1219" w:type="dxa"/>
            <w:vAlign w:val="center"/>
          </w:tcPr>
          <w:p>
            <w:pPr>
              <w:spacing w:line="240" w:lineRule="auto"/>
              <w:jc w:val="center"/>
              <w:rPr>
                <w:rFonts w:ascii="宋体" w:cs="宋体"/>
              </w:rPr>
            </w:pPr>
            <w:r>
              <w:rPr>
                <w:rFonts w:ascii="宋体" w:cs="宋体" w:hint="eastAsia"/>
              </w:rPr>
              <w:t>每季度</w:t>
            </w:r>
          </w:p>
        </w:tc>
      </w:tr>
      <w:tr>
        <w:trPr>
          <w:trHeight w:val="405"/>
        </w:trPr>
        <w:tc>
          <w:tcPr>
            <w:tcW w:w="1869" w:type="dxa"/>
            <w:vMerge/>
            <w:vAlign w:val="center"/>
          </w:tcPr>
          <w:p/>
        </w:tc>
        <w:tc>
          <w:tcPr>
            <w:tcW w:w="3103"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大于120分钟</w:t>
            </w:r>
          </w:p>
        </w:tc>
        <w:tc>
          <w:tcPr>
            <w:tcW w:w="2364" w:type="dxa"/>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不大于1件</w:t>
            </w:r>
          </w:p>
        </w:tc>
        <w:tc>
          <w:tcPr>
            <w:tcW w:w="1219" w:type="dxa"/>
            <w:vAlign w:val="center"/>
          </w:tcPr>
          <w:p>
            <w:pPr>
              <w:spacing w:line="240" w:lineRule="auto"/>
              <w:jc w:val="center"/>
              <w:rPr>
                <w:rFonts w:ascii="宋体" w:cs="宋体"/>
              </w:rPr>
            </w:pPr>
            <w:r>
              <w:rPr>
                <w:rFonts w:ascii="宋体" w:cs="宋体" w:hint="eastAsia"/>
              </w:rPr>
              <w:t>每季度</w:t>
            </w:r>
          </w:p>
        </w:tc>
      </w:tr>
      <w:tr>
        <w:trPr>
          <w:trHeight w:val="90"/>
        </w:trPr>
        <w:tc>
          <w:tcPr>
            <w:tcW w:w="1869" w:type="dxa"/>
            <w:vAlign w:val="center"/>
          </w:tcPr>
          <w:p>
            <w:pPr>
              <w:spacing w:line="240" w:lineRule="auto"/>
              <w:jc w:val="center"/>
              <w:rPr>
                <w:rFonts w:ascii="宋体" w:cs="宋体"/>
              </w:rPr>
            </w:pPr>
            <w:r>
              <w:rPr>
                <w:rFonts w:ascii="宋体" w:cs="宋体" w:hint="eastAsia"/>
              </w:rPr>
              <w:t>一次维修合格率</w:t>
            </w:r>
          </w:p>
        </w:tc>
        <w:tc>
          <w:tcPr>
            <w:tcW w:w="5467" w:type="dxa"/>
            <w:gridSpan w:val="2"/>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设备故障维修后一周内不得发生同类故障。</w:t>
            </w:r>
          </w:p>
        </w:tc>
        <w:tc>
          <w:tcPr>
            <w:tcW w:w="1219" w:type="dxa"/>
            <w:vAlign w:val="center"/>
          </w:tcPr>
          <w:p>
            <w:pPr>
              <w:spacing w:line="240" w:lineRule="auto"/>
              <w:jc w:val="center"/>
              <w:rPr>
                <w:rFonts w:ascii="宋体" w:cs="宋体"/>
              </w:rPr>
            </w:pPr>
            <w:r>
              <w:rPr>
                <w:rFonts w:ascii="宋体" w:cs="宋体" w:hint="eastAsia"/>
              </w:rPr>
              <w:t>每次</w:t>
            </w:r>
          </w:p>
        </w:tc>
      </w:tr>
      <w:tr>
        <w:trPr>
          <w:trHeight w:val="690"/>
        </w:trPr>
        <w:tc>
          <w:tcPr>
            <w:tcW w:w="1869" w:type="dxa"/>
            <w:vAlign w:val="center"/>
          </w:tcPr>
          <w:p>
            <w:pPr>
              <w:spacing w:line="240" w:lineRule="auto"/>
              <w:jc w:val="center"/>
              <w:rPr>
                <w:rFonts w:ascii="宋体" w:cs="宋体"/>
              </w:rPr>
            </w:pPr>
            <w:r>
              <w:rPr>
                <w:rFonts w:ascii="宋体" w:cs="宋体" w:hint="eastAsia"/>
              </w:rPr>
              <w:t>设备运行可靠率</w:t>
            </w:r>
          </w:p>
        </w:tc>
        <w:tc>
          <w:tcPr>
            <w:tcW w:w="5467" w:type="dxa"/>
            <w:gridSpan w:val="2"/>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设备运行可靠率=（设备理论运行时间-设备故障时间）/设备理论运行时间×100%，不低于99.3%。</w:t>
            </w:r>
          </w:p>
        </w:tc>
        <w:tc>
          <w:tcPr>
            <w:tcW w:w="1219" w:type="dxa"/>
            <w:vAlign w:val="center"/>
          </w:tcPr>
          <w:p>
            <w:pPr>
              <w:spacing w:line="240" w:lineRule="auto"/>
              <w:jc w:val="center"/>
              <w:rPr>
                <w:rFonts w:ascii="宋体" w:cs="宋体"/>
              </w:rPr>
            </w:pPr>
            <w:r>
              <w:rPr>
                <w:rFonts w:ascii="宋体" w:cs="宋体" w:hint="eastAsia"/>
              </w:rPr>
              <w:t>每季度</w:t>
            </w:r>
          </w:p>
        </w:tc>
      </w:tr>
      <w:tr>
        <w:trPr>
          <w:trHeight w:val="788"/>
        </w:trPr>
        <w:tc>
          <w:tcPr>
            <w:tcW w:w="1869" w:type="dxa"/>
            <w:vAlign w:val="center"/>
          </w:tcPr>
          <w:p>
            <w:pPr>
              <w:spacing w:line="240" w:lineRule="auto"/>
              <w:jc w:val="center"/>
              <w:rPr>
                <w:rFonts w:ascii="宋体" w:cs="宋体"/>
              </w:rPr>
            </w:pPr>
            <w:r>
              <w:rPr>
                <w:rFonts w:ascii="宋体" w:cs="宋体" w:hint="eastAsia"/>
              </w:rPr>
              <w:t>设备完好率</w:t>
            </w:r>
          </w:p>
        </w:tc>
        <w:tc>
          <w:tcPr>
            <w:tcW w:w="5467" w:type="dxa"/>
            <w:gridSpan w:val="2"/>
            <w:tcBorders>
              <w:top w:val="single" w:sz="4" w:space="0" w:color="auto"/>
              <w:left w:val="single" w:sz="4" w:space="0" w:color="auto"/>
              <w:right w:val="single" w:sz="4" w:space="0" w:color="auto"/>
            </w:tcBorders>
            <w:vAlign w:val="center"/>
          </w:tcPr>
          <w:p>
            <w:pPr>
              <w:spacing w:line="240" w:lineRule="auto"/>
              <w:jc w:val="center"/>
              <w:rPr>
                <w:rFonts w:ascii="宋体" w:cs="宋体"/>
              </w:rPr>
            </w:pPr>
            <w:r>
              <w:rPr>
                <w:rFonts w:ascii="宋体" w:cs="宋体" w:hint="eastAsia"/>
              </w:rPr>
              <w:t>设备完好率=完好设备总台数/维保设备总台数×100%，应达到100%。</w:t>
            </w:r>
          </w:p>
        </w:tc>
        <w:tc>
          <w:tcPr>
            <w:tcW w:w="1219" w:type="dxa"/>
            <w:vAlign w:val="center"/>
          </w:tcPr>
          <w:p>
            <w:pPr>
              <w:spacing w:line="240" w:lineRule="auto"/>
              <w:jc w:val="center"/>
              <w:rPr>
                <w:rFonts w:ascii="宋体" w:cs="宋体"/>
              </w:rPr>
            </w:pPr>
            <w:r>
              <w:rPr>
                <w:rFonts w:ascii="宋体" w:cs="宋体" w:hint="eastAsia"/>
              </w:rPr>
              <w:t>每季度</w:t>
            </w:r>
          </w:p>
        </w:tc>
      </w:tr>
      <w:tr>
        <w:trPr>
          <w:trHeight w:val="788"/>
        </w:trPr>
        <w:tc>
          <w:tcPr>
            <w:tcW w:w="8555" w:type="dxa"/>
            <w:gridSpan w:val="4"/>
            <w:vAlign w:val="center"/>
          </w:tcPr>
          <w:p>
            <w:pPr>
              <w:spacing w:line="240" w:lineRule="auto"/>
              <w:jc w:val="left"/>
              <w:rPr>
                <w:rFonts w:ascii="宋体" w:cs="宋体"/>
              </w:rPr>
            </w:pPr>
            <w:r>
              <w:rPr>
                <w:rFonts w:ascii="宋体" w:cs="宋体" w:hint="eastAsia"/>
              </w:rPr>
              <w:t>注：设备理论运行时间按照5:00-23:00计算，即每日不少于18个小时，每季度按照90天计算。</w:t>
            </w:r>
          </w:p>
        </w:tc>
      </w:tr>
    </w:tbl>
    <w:p>
      <w:pPr>
        <w:spacing w:line="560" w:lineRule="exact"/>
        <w:ind w:firstLineChars="200" w:firstLine="480"/>
        <w:outlineLvl w:val="0"/>
        <w:rPr>
          <w:rFonts w:ascii="宋体" w:cs="宋体"/>
          <w:sz w:val="24"/>
          <w:szCs w:val="24"/>
        </w:rPr>
      </w:pPr>
      <w:r>
        <w:rPr>
          <w:rFonts w:ascii="宋体" w:cs="宋体" w:hint="eastAsia"/>
          <w:sz w:val="24"/>
          <w:szCs w:val="24"/>
        </w:rPr>
        <w:t>因发生了采购人、投标人双方都无法控制的意外情况（如地震、洪水等）以及人为蓄意破坏而导致系统设备故障的，不计入故障件数中。</w:t>
      </w:r>
    </w:p>
    <w:p>
      <w:pPr>
        <w:spacing w:line="560" w:lineRule="exact"/>
        <w:ind w:firstLineChars="200" w:firstLine="480"/>
        <w:outlineLvl w:val="0"/>
        <w:rPr>
          <w:rFonts w:ascii="宋体" w:cs="宋体"/>
          <w:sz w:val="24"/>
          <w:szCs w:val="24"/>
        </w:rPr>
      </w:pPr>
      <w:r>
        <w:rPr>
          <w:rFonts w:ascii="宋体" w:cs="宋体" w:hint="eastAsia"/>
          <w:sz w:val="24"/>
          <w:szCs w:val="24"/>
        </w:rPr>
        <w:t>（八）故障维修要求</w:t>
      </w:r>
    </w:p>
    <w:p>
      <w:pPr>
        <w:spacing w:line="560" w:lineRule="exact"/>
        <w:ind w:firstLineChars="200" w:firstLine="480"/>
        <w:outlineLvl w:val="0"/>
        <w:rPr>
          <w:rFonts w:ascii="宋体" w:cs="宋体"/>
          <w:sz w:val="24"/>
          <w:szCs w:val="24"/>
        </w:rPr>
      </w:pPr>
      <w:r>
        <w:rPr>
          <w:rFonts w:ascii="宋体" w:cs="宋体"/>
          <w:sz w:val="24"/>
          <w:szCs w:val="24"/>
        </w:rPr>
        <w:t>1.</w:t>
      </w:r>
      <w:r>
        <w:rPr>
          <w:rFonts w:ascii="宋体" w:cs="宋体" w:hint="eastAsia"/>
          <w:sz w:val="24"/>
          <w:szCs w:val="24"/>
        </w:rPr>
        <w:t>故障维修时限要求</w:t>
      </w:r>
    </w:p>
    <w:p>
      <w:pPr>
        <w:spacing w:line="560" w:lineRule="exact"/>
        <w:ind w:firstLineChars="200" w:firstLine="480"/>
        <w:outlineLvl w:val="0"/>
        <w:rPr>
          <w:rFonts w:ascii="宋体" w:cs="宋体"/>
          <w:color w:val="0000FF"/>
          <w:sz w:val="24"/>
          <w:szCs w:val="24"/>
        </w:rPr>
      </w:pPr>
      <w:r>
        <w:rPr>
          <w:rFonts w:ascii="宋体" w:cs="宋体" w:hint="eastAsia"/>
          <w:sz w:val="24"/>
          <w:szCs w:val="24"/>
        </w:rPr>
        <w:t>（1）投标人维保人员接报X光机故障维修信息后，应派人员应在收到采购人通知后1</w:t>
      </w:r>
      <w:r>
        <w:rPr>
          <w:rFonts w:ascii="宋体" w:cs="宋体"/>
          <w:sz w:val="24"/>
          <w:szCs w:val="24"/>
        </w:rPr>
        <w:t>2</w:t>
      </w:r>
      <w:r>
        <w:rPr>
          <w:rFonts w:ascii="宋体" w:cs="宋体" w:hint="eastAsia"/>
          <w:sz w:val="24"/>
          <w:szCs w:val="24"/>
        </w:rPr>
        <w:t>小时内前往故障地点，进行检查维修。</w:t>
      </w:r>
    </w:p>
    <w:p>
      <w:pPr>
        <w:spacing w:line="560" w:lineRule="exact"/>
        <w:ind w:firstLineChars="200" w:firstLine="480"/>
        <w:outlineLvl w:val="0"/>
        <w:rPr>
          <w:rFonts w:ascii="宋体" w:cs="宋体"/>
          <w:sz w:val="24"/>
          <w:szCs w:val="24"/>
        </w:rPr>
      </w:pPr>
      <w:r>
        <w:rPr>
          <w:rFonts w:ascii="宋体" w:cs="宋体" w:hint="eastAsia"/>
          <w:sz w:val="24"/>
          <w:szCs w:val="24"/>
        </w:rPr>
        <w:t>投标人接到采购人X光机设备故障报修后，要求</w:t>
      </w:r>
      <w:r>
        <w:rPr>
          <w:rFonts w:ascii="宋体" w:cs="宋体"/>
          <w:sz w:val="24"/>
          <w:szCs w:val="24"/>
        </w:rPr>
        <w:t>12</w:t>
      </w:r>
      <w:r>
        <w:rPr>
          <w:rFonts w:ascii="宋体" w:cs="宋体" w:hint="eastAsia"/>
          <w:sz w:val="24"/>
          <w:szCs w:val="24"/>
        </w:rPr>
        <w:t>小时内到达故障现场，进行故障确认、检查后，采取应急措施处理，一般故障要求在</w:t>
      </w:r>
      <w:r>
        <w:rPr>
          <w:rFonts w:ascii="宋体" w:cs="宋体"/>
          <w:sz w:val="24"/>
          <w:szCs w:val="24"/>
        </w:rPr>
        <w:t>120</w:t>
      </w:r>
      <w:r>
        <w:rPr>
          <w:rFonts w:ascii="宋体" w:cs="宋体" w:hint="eastAsia"/>
          <w:sz w:val="24"/>
          <w:szCs w:val="24"/>
        </w:rPr>
        <w:t>分钟内完全处理完毕，严重故障要求在</w:t>
      </w:r>
      <w:r>
        <w:rPr>
          <w:rFonts w:ascii="宋体" w:cs="宋体"/>
          <w:sz w:val="24"/>
          <w:szCs w:val="24"/>
        </w:rPr>
        <w:t>240</w:t>
      </w:r>
      <w:r>
        <w:rPr>
          <w:rFonts w:ascii="宋体" w:cs="宋体" w:hint="eastAsia"/>
          <w:sz w:val="24"/>
          <w:szCs w:val="24"/>
        </w:rPr>
        <w:t>分钟内完全处理完毕，处理后应即时通知采购人相关监管部门。</w:t>
      </w:r>
    </w:p>
    <w:p>
      <w:pPr>
        <w:spacing w:line="560" w:lineRule="exact"/>
        <w:ind w:firstLineChars="200" w:firstLine="480"/>
        <w:outlineLvl w:val="0"/>
        <w:rPr>
          <w:rFonts w:ascii="宋体" w:cs="宋体"/>
          <w:sz w:val="24"/>
          <w:szCs w:val="24"/>
        </w:rPr>
      </w:pPr>
      <w:r>
        <w:rPr>
          <w:rFonts w:ascii="宋体" w:cs="宋体" w:hint="eastAsia"/>
          <w:sz w:val="24"/>
          <w:szCs w:val="24"/>
        </w:rPr>
        <w:t>（九）故障处理标准</w:t>
      </w:r>
    </w:p>
    <w:p>
      <w:pPr>
        <w:spacing w:line="560" w:lineRule="exact"/>
        <w:ind w:firstLineChars="200" w:firstLine="480"/>
        <w:outlineLvl w:val="0"/>
        <w:rPr>
          <w:rFonts w:ascii="宋体" w:cs="宋体"/>
          <w:sz w:val="24"/>
          <w:szCs w:val="24"/>
        </w:rPr>
      </w:pPr>
      <w:r>
        <w:rPr>
          <w:rFonts w:ascii="宋体" w:cs="宋体" w:hint="eastAsia"/>
          <w:sz w:val="24"/>
          <w:szCs w:val="24"/>
        </w:rPr>
        <w:t>1．故障处理应按照“先通后复”原则处理，即先采取临时处理措施保障现场的设备安全，然后再使系统恢复正常功能。</w:t>
      </w:r>
    </w:p>
    <w:p>
      <w:pPr>
        <w:spacing w:line="560" w:lineRule="exact"/>
        <w:ind w:firstLineChars="200" w:firstLine="480"/>
        <w:outlineLvl w:val="0"/>
        <w:rPr>
          <w:rFonts w:ascii="宋体" w:cs="宋体"/>
          <w:sz w:val="24"/>
          <w:szCs w:val="24"/>
        </w:rPr>
      </w:pPr>
      <w:r>
        <w:rPr>
          <w:rFonts w:ascii="宋体" w:cs="宋体" w:hint="eastAsia"/>
          <w:sz w:val="24"/>
          <w:szCs w:val="24"/>
        </w:rPr>
        <w:t>2</w:t>
      </w:r>
      <w:r>
        <w:rPr>
          <w:rFonts w:ascii="宋体" w:cs="宋体"/>
          <w:sz w:val="24"/>
          <w:szCs w:val="24"/>
        </w:rPr>
        <w:t>.</w:t>
      </w:r>
      <w:r>
        <w:rPr>
          <w:rFonts w:ascii="宋体" w:cs="宋体" w:hint="eastAsia"/>
          <w:sz w:val="24"/>
          <w:szCs w:val="24"/>
        </w:rPr>
        <w:t>故障处理应彻底，应避免同一故障短时间内重复出现，也应避免因处理故障而导致其它部件或系统故障。</w:t>
      </w:r>
    </w:p>
    <w:p>
      <w:pPr>
        <w:spacing w:line="560" w:lineRule="exact"/>
        <w:ind w:firstLineChars="200" w:firstLine="480"/>
        <w:outlineLvl w:val="0"/>
        <w:rPr>
          <w:rFonts w:ascii="宋体" w:cs="宋体"/>
          <w:sz w:val="24"/>
          <w:szCs w:val="24"/>
        </w:rPr>
      </w:pPr>
      <w:r>
        <w:rPr>
          <w:rFonts w:ascii="宋体" w:cs="宋体" w:hint="eastAsia"/>
          <w:sz w:val="24"/>
          <w:szCs w:val="24"/>
        </w:rPr>
        <w:t>3</w:t>
      </w:r>
      <w:r>
        <w:rPr>
          <w:rFonts w:ascii="宋体" w:cs="宋体"/>
          <w:sz w:val="24"/>
          <w:szCs w:val="24"/>
        </w:rPr>
        <w:t>.</w:t>
      </w:r>
      <w:r>
        <w:rPr>
          <w:rFonts w:ascii="宋体" w:cs="宋体" w:hint="eastAsia"/>
          <w:sz w:val="24"/>
          <w:szCs w:val="24"/>
        </w:rPr>
        <w:t>故障处理应填写故障处理本（投标人根据大连海关X光机设备维修情况制作故障处理本，所产生费用由投标人承担)，故障处理本应至少包括以下内容：故障发生地点、日期、设备类型、故障内容、接报时间、到场时间、采取的应急措施、处理过程、故障原因、更换设备及材料情况、完全修复时间、投标人维修人员签名、现场配合人员签名。</w:t>
      </w:r>
    </w:p>
    <w:p>
      <w:pPr>
        <w:spacing w:line="560" w:lineRule="exact"/>
        <w:ind w:firstLineChars="200" w:firstLine="480"/>
        <w:outlineLvl w:val="0"/>
        <w:rPr>
          <w:rFonts w:ascii="宋体" w:cs="宋体"/>
          <w:sz w:val="24"/>
          <w:szCs w:val="24"/>
        </w:rPr>
      </w:pPr>
      <w:r>
        <w:rPr>
          <w:rFonts w:ascii="宋体" w:cs="宋体"/>
          <w:sz w:val="24"/>
          <w:szCs w:val="24"/>
        </w:rPr>
        <w:t>4.</w:t>
      </w:r>
      <w:r>
        <w:rPr>
          <w:rFonts w:ascii="宋体" w:cs="宋体" w:hint="eastAsia"/>
          <w:sz w:val="24"/>
          <w:szCs w:val="24"/>
        </w:rPr>
        <w:t>投标人对系统的维保工作，应填写维保记录，按照采购人要求统一整理归档并交付采购人，年底对所管辖的设备进行年度运行质量评估并提出书面报告。</w:t>
      </w:r>
    </w:p>
    <w:p>
      <w:pPr>
        <w:spacing w:line="560" w:lineRule="exact"/>
        <w:ind w:firstLineChars="200" w:firstLine="480"/>
        <w:outlineLvl w:val="0"/>
        <w:rPr>
          <w:rFonts w:ascii="宋体" w:cs="宋体"/>
          <w:sz w:val="24"/>
          <w:szCs w:val="24"/>
        </w:rPr>
      </w:pPr>
      <w:r>
        <w:rPr>
          <w:rFonts w:ascii="宋体" w:cs="宋体"/>
          <w:sz w:val="24"/>
          <w:szCs w:val="24"/>
        </w:rPr>
        <w:t>5.</w:t>
      </w:r>
      <w:r>
        <w:rPr>
          <w:rFonts w:ascii="宋体" w:cs="宋体" w:hint="eastAsia"/>
          <w:sz w:val="24"/>
          <w:szCs w:val="24"/>
        </w:rPr>
        <w:t>投标人应认真填写维保记录，字迹须端正清晰；需填写的栏目不能留空，若无法填写的栏目应说明具体原因或以“无”填充；非选择项目，不允许用“√”或“×”表示。</w:t>
      </w:r>
    </w:p>
    <w:p>
      <w:pPr>
        <w:spacing w:line="560" w:lineRule="exact"/>
        <w:ind w:firstLineChars="200" w:firstLine="480"/>
        <w:outlineLvl w:val="0"/>
        <w:rPr>
          <w:rFonts w:ascii="宋体" w:cs="宋体"/>
          <w:sz w:val="24"/>
          <w:szCs w:val="24"/>
        </w:rPr>
      </w:pPr>
      <w:r>
        <w:rPr>
          <w:rFonts w:ascii="宋体" w:cs="宋体"/>
          <w:sz w:val="24"/>
          <w:szCs w:val="24"/>
        </w:rPr>
        <w:t>6.</w:t>
      </w:r>
      <w:r>
        <w:rPr>
          <w:rFonts w:ascii="宋体" w:cs="宋体" w:hint="eastAsia"/>
          <w:sz w:val="24"/>
          <w:szCs w:val="24"/>
        </w:rPr>
        <w:t>投标人应为操作人员提供符合国家规定的劳保防护用品和安全防护用具，</w:t>
      </w:r>
      <w:bookmarkStart w:id="8" w:name="_Toc298143724"/>
      <w:r>
        <w:rPr>
          <w:rFonts w:ascii="宋体" w:cs="宋体" w:hint="eastAsia"/>
          <w:sz w:val="24"/>
          <w:szCs w:val="24"/>
        </w:rPr>
        <w:t>投标人必须提供上述各项资源配置清单</w:t>
      </w:r>
      <w:bookmarkEnd w:id="8"/>
      <w:r>
        <w:rPr>
          <w:rFonts w:ascii="宋体" w:cs="宋体" w:hint="eastAsia"/>
          <w:sz w:val="24"/>
          <w:szCs w:val="24"/>
        </w:rPr>
        <w:t>；人员着装统一；</w:t>
      </w:r>
    </w:p>
    <w:p>
      <w:pPr>
        <w:spacing w:line="560" w:lineRule="exact"/>
        <w:ind w:firstLineChars="200" w:firstLine="480"/>
        <w:outlineLvl w:val="0"/>
        <w:rPr>
          <w:rFonts w:ascii="宋体" w:cs="宋体"/>
          <w:sz w:val="24"/>
          <w:szCs w:val="24"/>
        </w:rPr>
      </w:pPr>
      <w:r>
        <w:rPr>
          <w:rFonts w:ascii="宋体" w:cs="宋体"/>
          <w:sz w:val="24"/>
          <w:szCs w:val="24"/>
        </w:rPr>
        <w:t>7</w:t>
      </w:r>
      <w:r>
        <w:rPr>
          <w:rFonts w:ascii="宋体" w:cs="宋体" w:hint="eastAsia"/>
          <w:sz w:val="24"/>
          <w:szCs w:val="24"/>
        </w:rPr>
        <w:t>．投标人配备人员的数量、资质和能力须满足采购人要求，对于不符合要求的人员，采购人有权要求投标人进行更换；投标人必须及时支付投标人聘用人员的薪酬，由此产生纠纷而引起的一切后果由投标人承担；</w:t>
      </w:r>
    </w:p>
    <w:p>
      <w:pPr>
        <w:spacing w:line="560" w:lineRule="exact"/>
        <w:ind w:firstLineChars="200" w:firstLine="480"/>
        <w:outlineLvl w:val="0"/>
        <w:rPr>
          <w:rFonts w:ascii="宋体" w:cs="宋体"/>
          <w:sz w:val="24"/>
          <w:szCs w:val="24"/>
        </w:rPr>
      </w:pPr>
      <w:r>
        <w:rPr>
          <w:rFonts w:ascii="宋体" w:cs="宋体"/>
          <w:sz w:val="24"/>
          <w:szCs w:val="24"/>
        </w:rPr>
        <w:t>8</w:t>
      </w:r>
      <w:r>
        <w:rPr>
          <w:rFonts w:ascii="宋体" w:cs="宋体" w:hint="eastAsia"/>
          <w:sz w:val="24"/>
          <w:szCs w:val="24"/>
        </w:rPr>
        <w:t>．投标人必须遵守采购人所有的检修制度及相关管理规定；</w:t>
      </w:r>
    </w:p>
    <w:p>
      <w:pPr>
        <w:spacing w:line="560" w:lineRule="exact"/>
        <w:ind w:firstLineChars="200" w:firstLine="480"/>
        <w:outlineLvl w:val="0"/>
        <w:rPr>
          <w:rFonts w:ascii="宋体" w:cs="宋体"/>
          <w:sz w:val="24"/>
          <w:szCs w:val="24"/>
        </w:rPr>
      </w:pPr>
      <w:r>
        <w:rPr>
          <w:rFonts w:ascii="宋体" w:cs="宋体" w:hint="eastAsia"/>
          <w:sz w:val="24"/>
          <w:szCs w:val="24"/>
        </w:rPr>
        <w:t>9.投标人必须考虑作业的有害条件对投标人的劳动力和轨行区环境的影响，由此引发的任何后果由投标人自行负责解决；</w:t>
      </w:r>
    </w:p>
    <w:p>
      <w:pPr>
        <w:spacing w:line="560" w:lineRule="exact"/>
        <w:ind w:firstLineChars="200" w:firstLine="480"/>
        <w:outlineLvl w:val="0"/>
        <w:rPr>
          <w:rFonts w:ascii="宋体" w:cs="宋体"/>
          <w:sz w:val="24"/>
          <w:szCs w:val="24"/>
        </w:rPr>
      </w:pPr>
      <w:r>
        <w:rPr>
          <w:rFonts w:ascii="宋体" w:cs="宋体"/>
          <w:sz w:val="24"/>
          <w:szCs w:val="24"/>
        </w:rPr>
        <w:t>10.</w:t>
      </w:r>
      <w:r>
        <w:rPr>
          <w:rFonts w:ascii="宋体" w:cs="宋体" w:hint="eastAsia"/>
          <w:sz w:val="24"/>
          <w:szCs w:val="24"/>
        </w:rPr>
        <w:t>投标人必须提供上述各项资源配置一览表；</w:t>
      </w:r>
    </w:p>
    <w:p>
      <w:pPr>
        <w:spacing w:line="560" w:lineRule="exact"/>
        <w:ind w:firstLineChars="200" w:firstLine="480"/>
        <w:outlineLvl w:val="0"/>
        <w:rPr>
          <w:rFonts w:ascii="宋体" w:cs="宋体"/>
          <w:sz w:val="24"/>
          <w:szCs w:val="24"/>
        </w:rPr>
      </w:pPr>
      <w:r>
        <w:rPr>
          <w:rFonts w:ascii="宋体" w:cs="宋体"/>
          <w:sz w:val="24"/>
          <w:szCs w:val="24"/>
        </w:rPr>
        <w:t>11.</w:t>
      </w:r>
      <w:r>
        <w:rPr>
          <w:rFonts w:ascii="宋体" w:cs="宋体" w:hint="eastAsia"/>
          <w:sz w:val="24"/>
          <w:szCs w:val="24"/>
        </w:rPr>
        <w:t>投标人有义务根据维修经验对采购人的检修项目及标准进行完善，确保项目维保质量；</w:t>
      </w:r>
    </w:p>
    <w:p>
      <w:pPr>
        <w:spacing w:line="560" w:lineRule="exact"/>
        <w:ind w:firstLineChars="200" w:firstLine="480"/>
        <w:outlineLvl w:val="0"/>
        <w:rPr>
          <w:rFonts w:ascii="宋体" w:cs="宋体"/>
          <w:sz w:val="24"/>
          <w:szCs w:val="24"/>
        </w:rPr>
      </w:pPr>
      <w:r>
        <w:rPr>
          <w:rFonts w:ascii="宋体" w:cs="宋体"/>
          <w:sz w:val="24"/>
          <w:szCs w:val="24"/>
        </w:rPr>
        <w:t>12.</w:t>
      </w:r>
      <w:r>
        <w:rPr>
          <w:rFonts w:ascii="宋体" w:cs="宋体" w:hint="eastAsia"/>
          <w:sz w:val="24"/>
          <w:szCs w:val="24"/>
        </w:rPr>
        <w:t>维保单位有义务提前介入进行工作交接、熟悉现场；</w:t>
      </w:r>
    </w:p>
    <w:p>
      <w:pPr>
        <w:spacing w:line="560" w:lineRule="exact"/>
        <w:ind w:firstLineChars="200" w:firstLine="480"/>
        <w:outlineLvl w:val="0"/>
        <w:rPr>
          <w:rFonts w:ascii="宋体" w:cs="宋体"/>
          <w:sz w:val="24"/>
          <w:szCs w:val="24"/>
        </w:rPr>
      </w:pPr>
      <w:r>
        <w:rPr>
          <w:rFonts w:ascii="宋体" w:cs="宋体"/>
          <w:sz w:val="24"/>
          <w:szCs w:val="24"/>
        </w:rPr>
        <w:t>13.</w:t>
      </w:r>
      <w:r>
        <w:rPr>
          <w:rFonts w:ascii="宋体" w:cs="宋体" w:hint="eastAsia"/>
          <w:sz w:val="24"/>
          <w:szCs w:val="24"/>
        </w:rPr>
        <w:t>投标人须对X光机设备操作人员进行设备操作及注意事项、简单故障判断、故障隐患发现和事故应急处置等相关内容的培训。因操作人员操作失误或未按操作要求使用X光机设备引起的设备故障，相关费用由投标人自行承担。</w:t>
      </w:r>
    </w:p>
    <w:p>
      <w:pPr>
        <w:spacing w:line="560" w:lineRule="exact"/>
        <w:ind w:firstLineChars="200" w:firstLine="480"/>
        <w:outlineLvl w:val="0"/>
        <w:rPr>
          <w:rFonts w:ascii="宋体" w:cs="宋体"/>
          <w:sz w:val="24"/>
          <w:szCs w:val="24"/>
        </w:rPr>
      </w:pPr>
      <w:bookmarkStart w:id="9" w:name="_Toc30294"/>
      <w:bookmarkStart w:id="10" w:name="_Toc28295"/>
      <w:bookmarkStart w:id="11" w:name="_Toc29531"/>
      <w:bookmarkStart w:id="12" w:name="_Toc31591"/>
      <w:r>
        <w:rPr>
          <w:rFonts w:ascii="宋体" w:cs="宋体" w:hint="eastAsia"/>
          <w:sz w:val="24"/>
          <w:szCs w:val="24"/>
        </w:rPr>
        <w:t>1</w:t>
      </w:r>
      <w:r>
        <w:rPr>
          <w:rFonts w:ascii="宋体" w:cs="宋体"/>
          <w:sz w:val="24"/>
          <w:szCs w:val="24"/>
        </w:rPr>
        <w:t>4</w:t>
      </w:r>
      <w:r>
        <w:rPr>
          <w:rFonts w:ascii="宋体" w:cs="宋体" w:hint="eastAsia"/>
          <w:sz w:val="24"/>
          <w:szCs w:val="24"/>
        </w:rPr>
        <w:t>.投标人资质与人员配置</w:t>
      </w:r>
      <w:bookmarkEnd w:id="9"/>
      <w:bookmarkEnd w:id="10"/>
      <w:bookmarkEnd w:id="11"/>
      <w:bookmarkEnd w:id="12"/>
    </w:p>
    <w:p>
      <w:pPr>
        <w:spacing w:line="560" w:lineRule="exact"/>
        <w:ind w:firstLineChars="200" w:firstLine="480"/>
        <w:outlineLvl w:val="0"/>
        <w:rPr>
          <w:rFonts w:ascii="宋体" w:cs="宋体"/>
          <w:sz w:val="24"/>
          <w:szCs w:val="24"/>
        </w:rPr>
      </w:pPr>
      <w:bookmarkStart w:id="13" w:name="_Toc4045"/>
      <w:bookmarkStart w:id="14" w:name="_Toc4642"/>
      <w:bookmarkStart w:id="15" w:name="_Toc16829"/>
      <w:r>
        <w:rPr>
          <w:rFonts w:ascii="宋体" w:cs="宋体" w:hint="eastAsia"/>
          <w:sz w:val="24"/>
          <w:szCs w:val="24"/>
        </w:rPr>
        <w:t>1</w:t>
      </w:r>
      <w:r>
        <w:rPr>
          <w:rFonts w:ascii="宋体" w:cs="宋体"/>
          <w:sz w:val="24"/>
          <w:szCs w:val="24"/>
        </w:rPr>
        <w:t>4</w:t>
      </w:r>
      <w:r>
        <w:rPr>
          <w:rFonts w:ascii="宋体" w:cs="宋体" w:hint="eastAsia"/>
          <w:sz w:val="24"/>
          <w:szCs w:val="24"/>
        </w:rPr>
        <w:t>.1 维保单位资质要求</w:t>
      </w:r>
      <w:bookmarkEnd w:id="13"/>
      <w:bookmarkEnd w:id="14"/>
      <w:bookmarkEnd w:id="15"/>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4</w:t>
      </w:r>
      <w:r>
        <w:rPr>
          <w:rFonts w:ascii="宋体" w:cs="宋体" w:hint="eastAsia"/>
          <w:sz w:val="24"/>
          <w:szCs w:val="24"/>
        </w:rPr>
        <w:t>.1.1 本项目维保单位应是中华人民共和国注册的独立法人的企业，具有履行合同、独立承担民事责任的能力。</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4</w:t>
      </w:r>
      <w:r>
        <w:rPr>
          <w:rFonts w:ascii="宋体" w:cs="宋体" w:hint="eastAsia"/>
          <w:sz w:val="24"/>
          <w:szCs w:val="24"/>
        </w:rPr>
        <w:t>.1.2 三年内有一个以上的同类项目经验。</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4</w:t>
      </w:r>
      <w:r>
        <w:rPr>
          <w:rFonts w:ascii="宋体" w:cs="宋体" w:hint="eastAsia"/>
          <w:sz w:val="24"/>
          <w:szCs w:val="24"/>
        </w:rPr>
        <w:t>.1.</w:t>
      </w:r>
      <w:r>
        <w:rPr>
          <w:rFonts w:ascii="宋体" w:cs="宋体"/>
          <w:sz w:val="24"/>
          <w:szCs w:val="24"/>
        </w:rPr>
        <w:t>3</w:t>
      </w:r>
      <w:r>
        <w:rPr>
          <w:rFonts w:ascii="宋体" w:cs="宋体" w:hint="eastAsia"/>
          <w:sz w:val="24"/>
          <w:szCs w:val="24"/>
        </w:rPr>
        <w:t xml:space="preserve"> 本项目</w:t>
      </w:r>
      <w:r>
        <w:rPr>
          <w:rFonts w:ascii="宋体" w:cs="宋体"/>
          <w:sz w:val="24"/>
          <w:szCs w:val="24"/>
        </w:rPr>
        <w:t>31</w:t>
      </w:r>
      <w:r>
        <w:rPr>
          <w:rFonts w:ascii="宋体" w:cs="宋体" w:hint="eastAsia"/>
          <w:sz w:val="24"/>
          <w:szCs w:val="24"/>
        </w:rPr>
        <w:t>台X光机重点为3个设备品牌，分别为：同方威视、神盾、上海瑞示，投标人需至少具备其中一个设备生产厂家出具的针对本项目原厂备件供应、技术支持的证明文件。</w:t>
      </w:r>
      <w:r>
        <w:rPr>
          <w:rFonts w:ascii="宋体" w:cs="宋体"/>
          <w:sz w:val="24"/>
          <w:szCs w:val="24"/>
        </w:rPr>
        <w:t xml:space="preserve"> </w:t>
      </w:r>
    </w:p>
    <w:p>
      <w:pPr>
        <w:spacing w:line="560" w:lineRule="exact"/>
        <w:ind w:firstLineChars="200" w:firstLine="480"/>
        <w:outlineLvl w:val="0"/>
        <w:rPr>
          <w:rFonts w:ascii="宋体" w:cs="宋体"/>
          <w:sz w:val="24"/>
          <w:szCs w:val="24"/>
        </w:rPr>
      </w:pPr>
      <w:bookmarkStart w:id="16" w:name="_Toc21862"/>
      <w:bookmarkStart w:id="17" w:name="_Toc32214"/>
      <w:bookmarkStart w:id="18" w:name="_Toc22436"/>
      <w:r>
        <w:rPr>
          <w:rFonts w:ascii="宋体" w:cs="宋体"/>
          <w:sz w:val="24"/>
          <w:szCs w:val="24"/>
        </w:rPr>
        <w:t>15.</w:t>
      </w:r>
      <w:r>
        <w:rPr>
          <w:rFonts w:ascii="宋体" w:cs="宋体" w:hint="eastAsia"/>
          <w:sz w:val="24"/>
          <w:szCs w:val="24"/>
        </w:rPr>
        <w:t xml:space="preserve"> 维保人员</w:t>
      </w:r>
      <w:bookmarkEnd w:id="16"/>
      <w:bookmarkEnd w:id="17"/>
      <w:bookmarkEnd w:id="18"/>
      <w:r>
        <w:rPr>
          <w:rFonts w:ascii="宋体" w:cs="宋体" w:hint="eastAsia"/>
          <w:sz w:val="24"/>
          <w:szCs w:val="24"/>
        </w:rPr>
        <w:t>配置、人员管理</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5.1</w:t>
      </w:r>
      <w:r>
        <w:rPr>
          <w:rFonts w:ascii="宋体" w:cs="宋体" w:hint="eastAsia"/>
          <w:sz w:val="24"/>
          <w:szCs w:val="24"/>
        </w:rPr>
        <w:t xml:space="preserve"> 项目经理岗（兼职安全岗）：投标人在所中选段必须设置项目经理岗位1个，负责X光机设备维修保养、安全管理、技术管理与培训管理。 </w:t>
      </w:r>
    </w:p>
    <w:p>
      <w:pPr>
        <w:spacing w:line="560" w:lineRule="exact"/>
        <w:ind w:firstLineChars="200" w:firstLine="480"/>
        <w:outlineLvl w:val="0"/>
        <w:rPr>
          <w:rFonts w:ascii="宋体" w:cs="宋体"/>
          <w:sz w:val="24"/>
          <w:szCs w:val="24"/>
        </w:rPr>
      </w:pPr>
      <w:r>
        <w:rPr>
          <w:rFonts w:ascii="宋体" w:cs="宋体"/>
          <w:sz w:val="24"/>
          <w:szCs w:val="24"/>
        </w:rPr>
        <w:t>15.2</w:t>
      </w:r>
      <w:r>
        <w:rPr>
          <w:rFonts w:ascii="宋体" w:cs="宋体" w:hint="eastAsia"/>
          <w:sz w:val="24"/>
          <w:szCs w:val="24"/>
        </w:rPr>
        <w:t xml:space="preserve"> 现场维修岗（兼职内务管理岗）：投标人必须设置现场维修岗不少于3个，负责该X光机设备检修、季度保养以及X光机设备检修项目备品备件管理，文本编制、总结等工作。</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w:t>
      </w:r>
      <w:r>
        <w:rPr>
          <w:rFonts w:ascii="宋体" w:cs="宋体" w:hint="eastAsia"/>
          <w:sz w:val="24"/>
          <w:szCs w:val="24"/>
        </w:rPr>
        <w:t xml:space="preserve"> 违约考核</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6.1</w:t>
      </w:r>
      <w:r>
        <w:rPr>
          <w:rFonts w:ascii="宋体" w:cs="宋体" w:hint="eastAsia"/>
          <w:sz w:val="24"/>
          <w:szCs w:val="24"/>
        </w:rPr>
        <w:t xml:space="preserve"> 因维修不到位或未按时修复设备故障，按 </w:t>
      </w:r>
      <w:r>
        <w:rPr>
          <w:rFonts w:ascii="宋体" w:cs="宋体"/>
          <w:sz w:val="24"/>
          <w:szCs w:val="24"/>
        </w:rPr>
        <w:t>2</w:t>
      </w:r>
      <w:r>
        <w:rPr>
          <w:rFonts w:ascii="宋体" w:cs="宋体" w:hint="eastAsia"/>
          <w:sz w:val="24"/>
          <w:szCs w:val="24"/>
        </w:rPr>
        <w:t>000 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6.2</w:t>
      </w:r>
      <w:r>
        <w:rPr>
          <w:rFonts w:ascii="宋体" w:cs="宋体" w:hint="eastAsia"/>
          <w:sz w:val="24"/>
          <w:szCs w:val="24"/>
        </w:rPr>
        <w:t xml:space="preserve"> 未按照合同要求填写维保（质保）记录或维保（质保）记录填写不全，按300元/件次标准进行扣款。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6.3</w:t>
      </w:r>
      <w:r>
        <w:rPr>
          <w:rFonts w:ascii="宋体" w:cs="宋体" w:hint="eastAsia"/>
          <w:sz w:val="24"/>
          <w:szCs w:val="24"/>
        </w:rPr>
        <w:t xml:space="preserve"> 在岗聊天、玩手机、未使用文明礼貌用语等行为，但未造成直接后果，按200元/件次标准进行扣款。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6.4</w:t>
      </w:r>
      <w:r>
        <w:rPr>
          <w:rFonts w:ascii="宋体" w:cs="宋体" w:hint="eastAsia"/>
          <w:sz w:val="24"/>
          <w:szCs w:val="24"/>
        </w:rPr>
        <w:t xml:space="preserve"> 工作期间与采购人发生争吵、辱骂等行为未引发舆情投诉，按5000元/件次标准进行扣款。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6.5</w:t>
      </w:r>
      <w:r>
        <w:rPr>
          <w:rFonts w:ascii="宋体" w:cs="宋体" w:hint="eastAsia"/>
          <w:sz w:val="24"/>
          <w:szCs w:val="24"/>
        </w:rPr>
        <w:t>当班期间有饮酒行为，按2000元/件次标准进行扣款。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6.6</w:t>
      </w:r>
      <w:r>
        <w:rPr>
          <w:rFonts w:ascii="宋体" w:cs="宋体" w:hint="eastAsia"/>
          <w:sz w:val="24"/>
          <w:szCs w:val="24"/>
        </w:rPr>
        <w:t xml:space="preserve"> 维保作业人员维修现场发生治安责任事件等，按500元/件次标准进行扣款。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w:t>
      </w:r>
      <w:r>
        <w:rPr>
          <w:rFonts w:ascii="宋体" w:cs="宋体"/>
          <w:sz w:val="24"/>
          <w:szCs w:val="24"/>
        </w:rPr>
        <w:t>6.7</w:t>
      </w:r>
      <w:r>
        <w:rPr>
          <w:rFonts w:ascii="宋体" w:cs="宋体" w:hint="eastAsia"/>
          <w:sz w:val="24"/>
          <w:szCs w:val="24"/>
        </w:rPr>
        <w:t>作业施工现场未设置安全防护措施或防护措施不到位，按500元/件次标准进行扣款。</w:t>
      </w:r>
    </w:p>
    <w:p>
      <w:pPr>
        <w:spacing w:line="560" w:lineRule="exact"/>
        <w:ind w:firstLineChars="200" w:firstLine="480"/>
        <w:outlineLvl w:val="0"/>
        <w:rPr>
          <w:rFonts w:ascii="宋体" w:cs="宋体"/>
          <w:sz w:val="24"/>
          <w:szCs w:val="24"/>
        </w:rPr>
      </w:pPr>
      <w:r>
        <w:rPr>
          <w:rFonts w:ascii="宋体" w:cs="宋体" w:hint="eastAsia"/>
          <w:sz w:val="24"/>
          <w:szCs w:val="24"/>
        </w:rPr>
        <w:t>17．合同终止</w:t>
      </w:r>
    </w:p>
    <w:p>
      <w:pPr>
        <w:spacing w:line="560" w:lineRule="exact"/>
        <w:ind w:firstLineChars="200" w:firstLine="480"/>
        <w:outlineLvl w:val="0"/>
        <w:rPr>
          <w:rFonts w:ascii="宋体" w:cs="宋体"/>
          <w:sz w:val="24"/>
          <w:szCs w:val="24"/>
        </w:rPr>
      </w:pPr>
      <w:r>
        <w:rPr>
          <w:rFonts w:ascii="宋体" w:cs="宋体" w:hint="eastAsia"/>
          <w:sz w:val="24"/>
          <w:szCs w:val="24"/>
        </w:rPr>
        <w:t>投标人出现以下情况，采购人可无条件终止部分或全部合同：</w:t>
      </w:r>
    </w:p>
    <w:p>
      <w:pPr>
        <w:numPr>
          <w:ilvl w:val="0"/>
          <w:numId w:val="1"/>
        </w:numPr>
        <w:spacing w:line="560" w:lineRule="exact"/>
        <w:ind w:left="0" w:firstLineChars="200" w:firstLine="480"/>
        <w:outlineLvl w:val="0"/>
        <w:rPr>
          <w:rFonts w:ascii="宋体" w:cs="宋体"/>
          <w:sz w:val="24"/>
          <w:szCs w:val="24"/>
        </w:rPr>
      </w:pPr>
      <w:r>
        <w:rPr>
          <w:rFonts w:ascii="宋体" w:cs="宋体" w:hint="eastAsia"/>
          <w:sz w:val="24"/>
          <w:szCs w:val="24"/>
        </w:rPr>
        <w:t>投标人拒不按照采购人工作要求，严重违反合同规定的情形：</w:t>
      </w:r>
    </w:p>
    <w:p>
      <w:pPr>
        <w:spacing w:line="560" w:lineRule="exact"/>
        <w:ind w:leftChars="291" w:left="611" w:firstLineChars="4" w:firstLine="10"/>
        <w:outlineLvl w:val="0"/>
        <w:rPr>
          <w:rFonts w:ascii="宋体" w:cs="宋体" w:hint="eastAsia"/>
          <w:sz w:val="24"/>
          <w:szCs w:val="24"/>
        </w:rPr>
      </w:pPr>
      <w:r>
        <w:rPr>
          <w:rFonts w:ascii="宋体" w:cs="宋体" w:hint="eastAsia"/>
          <w:sz w:val="24"/>
          <w:szCs w:val="24"/>
        </w:rPr>
        <w:t>a.擅自更换项目负责人两次及以上；</w:t>
        <w:br/>
        <w:t>b.发生违约行为后，经采购人通知未在采购人要求的时间内整改完成或整改后仍不符合采购人要求的；</w:t>
      </w:r>
    </w:p>
    <w:p>
      <w:pPr>
        <w:spacing w:line="560" w:lineRule="exact"/>
        <w:ind w:firstLineChars="200" w:firstLine="480"/>
        <w:outlineLvl w:val="0"/>
        <w:rPr>
          <w:rFonts w:ascii="宋体" w:cs="宋体" w:hint="eastAsia"/>
          <w:sz w:val="24"/>
          <w:szCs w:val="24"/>
        </w:rPr>
      </w:pPr>
      <w:r>
        <w:rPr>
          <w:rFonts w:ascii="宋体" w:cs="宋体" w:hint="eastAsia"/>
          <w:sz w:val="24"/>
          <w:szCs w:val="24"/>
        </w:rPr>
        <w:t>（2）对设备出现的故障，投标人因技术或备品备件原因在收到我司通知后三个月内未能完成修复或修复后再次出现类似故障的。（期间采购人可以邀请第三方人员进行维修，由此产生的费用由投标人承担）。</w:t>
      </w:r>
    </w:p>
    <w:p>
      <w:pPr>
        <w:spacing w:line="560" w:lineRule="exact"/>
        <w:ind w:firstLineChars="200" w:firstLine="480"/>
        <w:outlineLvl w:val="0"/>
        <w:rPr>
          <w:rFonts w:ascii="宋体" w:cs="宋体" w:hint="eastAsia"/>
          <w:sz w:val="24"/>
          <w:szCs w:val="24"/>
        </w:rPr>
      </w:pPr>
      <w:bookmarkStart w:id="19" w:name="_Toc12754"/>
      <w:bookmarkStart w:id="20" w:name="_Toc24915"/>
      <w:bookmarkStart w:id="21" w:name="_Toc65590903"/>
      <w:bookmarkStart w:id="22" w:name="_Toc10852"/>
      <w:r>
        <w:rPr>
          <w:rFonts w:ascii="宋体" w:cs="宋体" w:hint="eastAsia"/>
          <w:sz w:val="24"/>
          <w:szCs w:val="24"/>
        </w:rPr>
        <w:t>18.工器具管理</w:t>
      </w:r>
      <w:bookmarkEnd w:id="19"/>
      <w:bookmarkEnd w:id="20"/>
      <w:bookmarkEnd w:id="21"/>
      <w:bookmarkEnd w:id="22"/>
    </w:p>
    <w:p>
      <w:pPr>
        <w:spacing w:line="560" w:lineRule="exact"/>
        <w:ind w:firstLineChars="200" w:firstLine="480"/>
        <w:outlineLvl w:val="0"/>
        <w:rPr>
          <w:rFonts w:ascii="宋体" w:cs="宋体" w:hint="eastAsia"/>
          <w:sz w:val="24"/>
          <w:szCs w:val="24"/>
        </w:rPr>
      </w:pPr>
      <w:r>
        <w:rPr>
          <w:rFonts w:ascii="宋体" w:cs="宋体" w:hint="eastAsia"/>
          <w:sz w:val="24"/>
          <w:szCs w:val="24"/>
        </w:rPr>
        <w:t>投标人所使用的所有计量工具，必须按照国家法律法规要求，定期进行校验，确保维保使用计量工具符合标准，严禁使用未经检定及不合格的仪器、仪表等。</w:t>
      </w:r>
    </w:p>
    <w:p>
      <w:pPr>
        <w:spacing w:line="560" w:lineRule="exact"/>
        <w:ind w:firstLineChars="200" w:firstLine="480"/>
        <w:outlineLvl w:val="0"/>
        <w:rPr>
          <w:rFonts w:ascii="宋体" w:cs="宋体" w:hint="eastAsia"/>
          <w:sz w:val="24"/>
          <w:szCs w:val="24"/>
        </w:rPr>
      </w:pPr>
      <w:bookmarkStart w:id="23" w:name="_Toc510539474"/>
      <w:bookmarkStart w:id="24" w:name="_Toc512096134"/>
      <w:bookmarkStart w:id="25" w:name="_Toc6011"/>
      <w:bookmarkStart w:id="26" w:name="_Toc512090570"/>
      <w:bookmarkStart w:id="27" w:name="_Toc12228"/>
      <w:bookmarkStart w:id="28" w:name="_Toc512090913"/>
      <w:bookmarkStart w:id="29" w:name="_Toc16389"/>
      <w:r>
        <w:rPr>
          <w:rFonts w:ascii="宋体" w:cs="宋体" w:hint="eastAsia"/>
          <w:sz w:val="24"/>
          <w:szCs w:val="24"/>
        </w:rPr>
        <w:t>投标人作业人员个人工具配备标准</w:t>
      </w:r>
      <w:bookmarkEnd w:id="23"/>
      <w:bookmarkEnd w:id="24"/>
      <w:bookmarkEnd w:id="25"/>
      <w:bookmarkEnd w:id="26"/>
      <w:bookmarkEnd w:id="27"/>
      <w:bookmarkEnd w:id="28"/>
      <w:bookmarkEnd w:id="29"/>
      <w:r>
        <w:rPr>
          <w:rFonts w:ascii="宋体" w:cs="宋体" w:hint="eastAsia"/>
          <w:sz w:val="24"/>
          <w:szCs w:val="24"/>
        </w:rPr>
        <w:t>如下表：</w:t>
      </w:r>
    </w:p>
    <w:p>
      <w:pPr>
        <w:widowControl/>
        <w:jc w:val="center"/>
        <w:rPr>
          <w:rFonts w:ascii="宋体" w:cs="宋体"/>
          <w:bCs/>
        </w:rPr>
      </w:pPr>
      <w:r>
        <w:rPr>
          <w:rFonts w:ascii="宋体" w:cs="宋体" w:hint="eastAsia"/>
          <w:bCs/>
          <w:sz w:val="24"/>
          <w:szCs w:val="24"/>
        </w:rPr>
        <w:t xml:space="preserve"> 作业人员工器具配备表</w:t>
      </w:r>
    </w:p>
    <w:tbl>
      <w:tblPr>
        <w:jc w:val="center"/>
        <w:tblW w:w="82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0" w:type="dxa"/>
          <w:bottom w:w="0" w:type="dxa"/>
          <w:right w:w="0" w:type="dxa"/>
        </w:tblCellMar>
      </w:tblPr>
      <w:tblGrid>
        <w:gridCol w:w="786"/>
        <w:gridCol w:w="2912"/>
        <w:gridCol w:w="4513"/>
      </w:tblGrid>
      <w:tr>
        <w:trPr>
          <w:trHeight w:val="20"/>
        </w:trPr>
        <w:tc>
          <w:tcPr>
            <w:tcW w:w="786" w:type="dxa"/>
            <w:tcMar>
              <w:top w:w="15" w:type="dxa"/>
              <w:left w:w="15" w:type="dxa"/>
              <w:right w:w="15" w:type="dxa"/>
            </w:tcMar>
            <w:vAlign w:val="center"/>
          </w:tcPr>
          <w:p>
            <w:pPr>
              <w:jc w:val="center"/>
              <w:rPr>
                <w:rFonts w:ascii="宋体" w:cs="宋体"/>
                <w:b/>
                <w:bCs/>
              </w:rPr>
            </w:pPr>
            <w:r>
              <w:rPr>
                <w:rFonts w:ascii="宋体" w:cs="宋体" w:hint="eastAsia"/>
                <w:b/>
                <w:bCs/>
              </w:rPr>
              <w:t>序号</w:t>
            </w:r>
          </w:p>
        </w:tc>
        <w:tc>
          <w:tcPr>
            <w:tcW w:w="2912" w:type="dxa"/>
            <w:tcMar>
              <w:top w:w="15" w:type="dxa"/>
              <w:left w:w="15" w:type="dxa"/>
              <w:right w:w="15" w:type="dxa"/>
            </w:tcMar>
            <w:vAlign w:val="center"/>
          </w:tcPr>
          <w:p>
            <w:pPr>
              <w:jc w:val="center"/>
              <w:rPr>
                <w:rFonts w:ascii="宋体" w:cs="宋体"/>
                <w:b/>
                <w:bCs/>
              </w:rPr>
            </w:pPr>
            <w:r>
              <w:rPr>
                <w:rFonts w:ascii="宋体" w:cs="宋体" w:hint="eastAsia"/>
                <w:b/>
                <w:bCs/>
              </w:rPr>
              <w:t>名称</w:t>
            </w:r>
          </w:p>
        </w:tc>
        <w:tc>
          <w:tcPr>
            <w:tcW w:w="4513" w:type="dxa"/>
            <w:tcMar>
              <w:top w:w="15" w:type="dxa"/>
              <w:left w:w="15" w:type="dxa"/>
              <w:right w:w="15" w:type="dxa"/>
            </w:tcMar>
            <w:vAlign w:val="center"/>
          </w:tcPr>
          <w:p>
            <w:pPr>
              <w:jc w:val="center"/>
              <w:rPr>
                <w:rFonts w:ascii="宋体" w:cs="宋体"/>
                <w:b/>
                <w:bCs/>
              </w:rPr>
            </w:pPr>
            <w:r>
              <w:rPr>
                <w:rFonts w:ascii="宋体" w:cs="宋体" w:hint="eastAsia"/>
                <w:b/>
                <w:bCs/>
              </w:rPr>
              <w:t>型号规格</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1</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一字型螺丝刀</w:t>
            </w:r>
          </w:p>
        </w:tc>
        <w:tc>
          <w:tcPr>
            <w:tcW w:w="4513" w:type="dxa"/>
            <w:tcMar>
              <w:top w:w="15" w:type="dxa"/>
              <w:left w:w="15" w:type="dxa"/>
              <w:right w:w="15" w:type="dxa"/>
            </w:tcMar>
            <w:vAlign w:val="center"/>
          </w:tcPr>
          <w:p>
            <w:pPr>
              <w:jc w:val="center"/>
              <w:rPr>
                <w:rFonts w:ascii="宋体" w:cs="宋体"/>
              </w:rPr>
            </w:pPr>
            <w:r>
              <w:rPr>
                <w:rFonts w:ascii="宋体" w:cs="宋体" w:hint="eastAsia"/>
              </w:rPr>
              <w:t>8X100mm（套装）</w:t>
            </w:r>
          </w:p>
        </w:tc>
      </w:tr>
      <w:tr>
        <w:trPr>
          <w:trHeight w:val="90"/>
        </w:trPr>
        <w:tc>
          <w:tcPr>
            <w:tcW w:w="786" w:type="dxa"/>
            <w:tcMar>
              <w:top w:w="15" w:type="dxa"/>
              <w:left w:w="15" w:type="dxa"/>
              <w:right w:w="15" w:type="dxa"/>
            </w:tcMar>
            <w:vAlign w:val="center"/>
          </w:tcPr>
          <w:p>
            <w:pPr>
              <w:jc w:val="center"/>
              <w:rPr>
                <w:rFonts w:ascii="宋体" w:cs="宋体"/>
              </w:rPr>
            </w:pPr>
            <w:r>
              <w:rPr>
                <w:rFonts w:ascii="宋体" w:cs="宋体" w:hint="eastAsia"/>
              </w:rPr>
              <w:t>2</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十字型螺丝刀</w:t>
            </w:r>
          </w:p>
        </w:tc>
        <w:tc>
          <w:tcPr>
            <w:tcW w:w="4513" w:type="dxa"/>
            <w:tcMar>
              <w:top w:w="15" w:type="dxa"/>
              <w:left w:w="15" w:type="dxa"/>
              <w:right w:w="15" w:type="dxa"/>
            </w:tcMar>
            <w:vAlign w:val="center"/>
          </w:tcPr>
          <w:p>
            <w:pPr>
              <w:jc w:val="center"/>
              <w:rPr>
                <w:rFonts w:ascii="宋体" w:cs="宋体"/>
              </w:rPr>
            </w:pPr>
            <w:r>
              <w:rPr>
                <w:rFonts w:ascii="宋体" w:cs="宋体" w:hint="eastAsia"/>
              </w:rPr>
              <w:t>8X100mm（套装）</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3</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尖嘴钳</w:t>
            </w:r>
          </w:p>
        </w:tc>
        <w:tc>
          <w:tcPr>
            <w:tcW w:w="4513" w:type="dxa"/>
            <w:tcMar>
              <w:top w:w="15" w:type="dxa"/>
              <w:left w:w="15" w:type="dxa"/>
              <w:right w:w="15" w:type="dxa"/>
            </w:tcMar>
            <w:vAlign w:val="center"/>
          </w:tcPr>
          <w:p>
            <w:pPr>
              <w:jc w:val="center"/>
              <w:rPr>
                <w:rFonts w:ascii="宋体" w:cs="宋体"/>
              </w:rPr>
            </w:pPr>
            <w:r>
              <w:rPr>
                <w:rFonts w:ascii="宋体" w:cs="宋体" w:hint="eastAsia"/>
              </w:rPr>
              <w:t>200mm，带绝缘套</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4</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斜嘴钳</w:t>
            </w:r>
          </w:p>
        </w:tc>
        <w:tc>
          <w:tcPr>
            <w:tcW w:w="4513" w:type="dxa"/>
            <w:tcMar>
              <w:top w:w="15" w:type="dxa"/>
              <w:left w:w="15" w:type="dxa"/>
              <w:right w:w="15" w:type="dxa"/>
            </w:tcMar>
            <w:vAlign w:val="center"/>
          </w:tcPr>
          <w:p>
            <w:pPr>
              <w:jc w:val="center"/>
              <w:rPr>
                <w:rFonts w:ascii="宋体" w:cs="宋体"/>
              </w:rPr>
            </w:pPr>
            <w:r>
              <w:rPr>
                <w:rFonts w:ascii="宋体" w:cs="宋体" w:hint="eastAsia"/>
              </w:rPr>
              <w:t>200mm，带绝缘套</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5</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手钳</w:t>
            </w:r>
          </w:p>
        </w:tc>
        <w:tc>
          <w:tcPr>
            <w:tcW w:w="4513" w:type="dxa"/>
            <w:tcMar>
              <w:top w:w="15" w:type="dxa"/>
              <w:left w:w="15" w:type="dxa"/>
              <w:right w:w="15" w:type="dxa"/>
            </w:tcMar>
            <w:vAlign w:val="center"/>
          </w:tcPr>
          <w:p>
            <w:pPr>
              <w:jc w:val="center"/>
              <w:rPr>
                <w:rFonts w:ascii="宋体" w:cs="宋体"/>
              </w:rPr>
            </w:pPr>
            <w:r>
              <w:rPr>
                <w:rFonts w:ascii="宋体" w:cs="宋体" w:hint="eastAsia"/>
              </w:rPr>
              <w:t>200mm，带绝缘套</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6</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活动扳手</w:t>
            </w:r>
          </w:p>
        </w:tc>
        <w:tc>
          <w:tcPr>
            <w:tcW w:w="4513" w:type="dxa"/>
            <w:tcMar>
              <w:top w:w="15" w:type="dxa"/>
              <w:left w:w="15" w:type="dxa"/>
              <w:right w:w="15" w:type="dxa"/>
            </w:tcMar>
            <w:vAlign w:val="center"/>
          </w:tcPr>
          <w:p>
            <w:pPr>
              <w:jc w:val="center"/>
              <w:rPr>
                <w:rFonts w:ascii="宋体" w:cs="宋体"/>
              </w:rPr>
            </w:pPr>
            <w:r>
              <w:rPr>
                <w:rFonts w:ascii="宋体" w:cs="宋体" w:hint="eastAsia"/>
              </w:rPr>
              <w:t>300mm</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7</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棘轮扳手</w:t>
            </w:r>
          </w:p>
        </w:tc>
        <w:tc>
          <w:tcPr>
            <w:tcW w:w="4513" w:type="dxa"/>
            <w:tcMar>
              <w:top w:w="15" w:type="dxa"/>
              <w:left w:w="15" w:type="dxa"/>
              <w:right w:w="15" w:type="dxa"/>
            </w:tcMar>
            <w:vAlign w:val="center"/>
          </w:tcPr>
          <w:p>
            <w:pPr>
              <w:jc w:val="center"/>
              <w:rPr>
                <w:rFonts w:ascii="宋体" w:cs="宋体"/>
              </w:rPr>
            </w:pPr>
            <w:r>
              <w:rPr>
                <w:rFonts w:ascii="宋体" w:cs="宋体" w:hint="eastAsia"/>
              </w:rPr>
              <w:t>19寸</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8</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万用表</w:t>
            </w:r>
          </w:p>
        </w:tc>
        <w:tc>
          <w:tcPr>
            <w:tcW w:w="4513" w:type="dxa"/>
            <w:tcMar>
              <w:top w:w="15" w:type="dxa"/>
              <w:left w:w="15" w:type="dxa"/>
              <w:right w:w="15" w:type="dxa"/>
            </w:tcMar>
            <w:vAlign w:val="center"/>
          </w:tcPr>
          <w:p>
            <w:pPr>
              <w:jc w:val="center"/>
              <w:rPr>
                <w:rFonts w:ascii="宋体" w:cs="宋体"/>
              </w:rPr>
            </w:pPr>
            <w:r>
              <w:rPr>
                <w:rFonts w:ascii="宋体" w:cs="宋体" w:hint="eastAsia"/>
              </w:rPr>
              <w:t>EM33D</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9</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内六角</w:t>
            </w:r>
          </w:p>
        </w:tc>
        <w:tc>
          <w:tcPr>
            <w:tcW w:w="4513" w:type="dxa"/>
            <w:tcMar>
              <w:top w:w="15" w:type="dxa"/>
              <w:left w:w="15" w:type="dxa"/>
              <w:right w:w="15" w:type="dxa"/>
            </w:tcMar>
            <w:vAlign w:val="center"/>
          </w:tcPr>
          <w:p>
            <w:pPr>
              <w:jc w:val="center"/>
              <w:rPr>
                <w:rFonts w:ascii="宋体" w:cs="宋体"/>
              </w:rPr>
            </w:pPr>
            <w:r>
              <w:rPr>
                <w:rFonts w:ascii="宋体" w:cs="宋体" w:hint="eastAsia"/>
              </w:rPr>
              <w:t>套装（1.5mm-10mm）</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10</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电烙铁</w:t>
            </w:r>
          </w:p>
        </w:tc>
        <w:tc>
          <w:tcPr>
            <w:tcW w:w="4513" w:type="dxa"/>
            <w:tcMar>
              <w:top w:w="15" w:type="dxa"/>
              <w:left w:w="15" w:type="dxa"/>
              <w:right w:w="15" w:type="dxa"/>
            </w:tcMar>
            <w:vAlign w:val="center"/>
          </w:tcPr>
          <w:p>
            <w:pPr>
              <w:jc w:val="center"/>
              <w:rPr>
                <w:rFonts w:ascii="宋体" w:cs="宋体"/>
              </w:rPr>
            </w:pPr>
            <w:r>
              <w:rPr>
                <w:rFonts w:ascii="宋体" w:cs="宋体" w:hint="eastAsia"/>
              </w:rPr>
              <w:t>60W</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11</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工具包</w:t>
            </w:r>
          </w:p>
        </w:tc>
        <w:tc>
          <w:tcPr>
            <w:tcW w:w="4513" w:type="dxa"/>
            <w:tcMar>
              <w:top w:w="15" w:type="dxa"/>
              <w:left w:w="15" w:type="dxa"/>
              <w:right w:w="15" w:type="dxa"/>
            </w:tcMar>
            <w:vAlign w:val="center"/>
          </w:tcPr>
          <w:p>
            <w:pPr>
              <w:jc w:val="center"/>
              <w:rPr>
                <w:rFonts w:ascii="宋体" w:cs="宋体"/>
              </w:rPr>
            </w:pPr>
            <w:r>
              <w:rPr>
                <w:rFonts w:ascii="宋体" w:cs="宋体" w:hint="eastAsia"/>
              </w:rPr>
              <w:t>双肩背包</w:t>
            </w:r>
          </w:p>
        </w:tc>
      </w:tr>
      <w:tr>
        <w:trPr>
          <w:trHeight w:val="20"/>
        </w:trPr>
        <w:tc>
          <w:tcPr>
            <w:tcW w:w="786" w:type="dxa"/>
            <w:tcMar>
              <w:top w:w="15" w:type="dxa"/>
              <w:left w:w="15" w:type="dxa"/>
              <w:right w:w="15" w:type="dxa"/>
            </w:tcMar>
            <w:vAlign w:val="center"/>
          </w:tcPr>
          <w:p>
            <w:pPr>
              <w:jc w:val="center"/>
              <w:rPr>
                <w:rFonts w:ascii="宋体" w:cs="宋体"/>
              </w:rPr>
            </w:pPr>
            <w:r>
              <w:rPr>
                <w:rFonts w:ascii="宋体" w:cs="宋体" w:hint="eastAsia"/>
              </w:rPr>
              <w:t>12</w:t>
            </w:r>
          </w:p>
        </w:tc>
        <w:tc>
          <w:tcPr>
            <w:tcW w:w="2912" w:type="dxa"/>
            <w:tcBorders>
              <w:top w:val="single" w:sz="6" w:space="0" w:color="auto"/>
              <w:left w:val="single" w:sz="6" w:space="0" w:color="auto"/>
              <w:right w:val="single" w:sz="6" w:space="0" w:color="auto"/>
            </w:tcBorders>
            <w:tcMar>
              <w:top w:w="15" w:type="dxa"/>
              <w:left w:w="15" w:type="dxa"/>
              <w:right w:w="15" w:type="dxa"/>
            </w:tcMar>
            <w:vAlign w:val="center"/>
          </w:tcPr>
          <w:p>
            <w:pPr>
              <w:jc w:val="center"/>
              <w:rPr>
                <w:rFonts w:ascii="宋体" w:cs="宋体"/>
              </w:rPr>
            </w:pPr>
            <w:r>
              <w:rPr>
                <w:rFonts w:ascii="宋体" w:cs="宋体" w:hint="eastAsia"/>
              </w:rPr>
              <w:t>其他必需的工器具</w:t>
            </w:r>
          </w:p>
        </w:tc>
        <w:tc>
          <w:tcPr>
            <w:tcW w:w="4513" w:type="dxa"/>
            <w:tcMar>
              <w:top w:w="15" w:type="dxa"/>
              <w:left w:w="15" w:type="dxa"/>
              <w:right w:w="15" w:type="dxa"/>
            </w:tcMar>
            <w:vAlign w:val="center"/>
          </w:tcPr>
          <w:p>
            <w:pPr>
              <w:jc w:val="center"/>
              <w:rPr>
                <w:rFonts w:ascii="宋体" w:cs="宋体"/>
              </w:rPr>
            </w:pPr>
            <w:r>
              <w:rPr>
                <w:rFonts w:ascii="宋体" w:cs="宋体" w:hint="eastAsia"/>
              </w:rPr>
              <w:t>按需配备</w:t>
            </w:r>
          </w:p>
        </w:tc>
      </w:tr>
      <w:tr>
        <w:trPr>
          <w:trHeight w:val="20"/>
        </w:trPr>
        <w:tc>
          <w:tcPr>
            <w:tcW w:w="8211" w:type="dxa"/>
            <w:gridSpan w:val="3"/>
            <w:tcMar>
              <w:top w:w="15" w:type="dxa"/>
              <w:left w:w="15" w:type="dxa"/>
              <w:right w:w="15" w:type="dxa"/>
            </w:tcMar>
            <w:vAlign w:val="center"/>
          </w:tcPr>
          <w:p>
            <w:pPr>
              <w:rPr>
                <w:rFonts w:ascii="宋体" w:cs="宋体"/>
              </w:rPr>
            </w:pPr>
            <w:r>
              <w:rPr>
                <w:rFonts w:ascii="宋体" w:cs="宋体" w:hint="eastAsia"/>
              </w:rPr>
              <w:t>说明：工器具种类、数量包含但不限于以上配置要求，投标人应确保维保人员维修设备所需要的工器具齐全，状态良好。</w:t>
            </w:r>
          </w:p>
        </w:tc>
      </w:tr>
    </w:tbl>
    <w:p>
      <w:pPr>
        <w:spacing w:line="400" w:lineRule="exact"/>
        <w:ind w:firstLineChars="100" w:firstLine="240"/>
        <w:jc w:val="left"/>
        <w:rPr>
          <w:rFonts w:ascii="宋体" w:cs="宋体"/>
          <w:sz w:val="24"/>
          <w:szCs w:val="24"/>
        </w:rPr>
        <w:sectPr>
          <w:headerReference w:type="default" r:id="rId2"/>
          <w:footerReference w:type="default" r:id="rId3"/>
          <w:pgSz w:w="11906" w:h="16838"/>
          <w:pgMar w:top="1440" w:right="1800" w:bottom="1440" w:left="1800" w:header="851" w:footer="992" w:gutter="0"/>
          <w:pgNumType w:fmt="numberInDash"/>
          <w:docGrid w:type="lines" w:linePitch="312" w:charSpace="0"/>
        </w:sectPr>
      </w:pPr>
    </w:p>
    <w:p>
      <w:pPr>
        <w:jc w:val="left"/>
        <w:rPr>
          <w:rFonts w:ascii="宋体" w:cs="宋体"/>
          <w:b/>
          <w:bCs/>
        </w:rPr>
      </w:pPr>
      <w:r>
        <w:rPr>
          <w:rFonts w:ascii="宋体" w:cs="宋体" w:hint="eastAsia"/>
          <w:b/>
          <w:bCs/>
        </w:rPr>
        <w:t>附件1</w:t>
      </w:r>
    </w:p>
    <w:p>
      <w:pPr>
        <w:pStyle w:val="27"/>
        <w:ind w:firstLineChars="900" w:firstLine="1890"/>
      </w:pPr>
      <w:r>
        <w:rPr>
          <w:rFonts w:ascii="宋体" w:cs="宋体" w:hint="eastAsia"/>
        </w:rPr>
        <w:t>X光机设备检修项目季度维护记录表</w:t>
      </w:r>
    </w:p>
    <w:tbl>
      <w:tblPr>
        <w:jc w:val="center"/>
        <w:tblW w:w="9412"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00"/>
        <w:gridCol w:w="1025"/>
        <w:gridCol w:w="1675"/>
        <w:gridCol w:w="1275"/>
        <w:gridCol w:w="1577"/>
        <w:gridCol w:w="1248"/>
        <w:gridCol w:w="1087"/>
        <w:gridCol w:w="925"/>
      </w:tblGrid>
      <w:tr>
        <w:trPr>
          <w:trHeight w:val="588"/>
        </w:trPr>
        <w:tc>
          <w:tcPr>
            <w:tcW w:w="600"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检修设备</w:t>
            </w:r>
          </w:p>
        </w:tc>
        <w:tc>
          <w:tcPr>
            <w:tcW w:w="2700" w:type="dxa"/>
            <w:gridSpan w:val="2"/>
            <w:tcBorders>
              <w:top w:val="single" w:sz="4" w:space="0" w:color="auto"/>
              <w:left w:val="nil"/>
              <w:bottom w:val="single" w:sz="4" w:space="0" w:color="auto"/>
              <w:right w:val="single" w:sz="4" w:space="0" w:color="auto"/>
            </w:tcBorders>
            <w:vAlign w:val="center"/>
          </w:tcPr>
          <w:p>
            <w:pPr>
              <w:jc w:val="center"/>
              <w:rPr>
                <w:rFonts w:ascii="宋体" w:cs="宋体"/>
                <w:b/>
                <w:bCs/>
              </w:rPr>
            </w:pPr>
            <w:r>
              <w:rPr>
                <w:rFonts w:ascii="宋体" w:cs="宋体" w:hint="eastAsia"/>
                <w:b/>
                <w:bCs/>
              </w:rPr>
              <w:t>　</w:t>
            </w:r>
          </w:p>
        </w:tc>
        <w:tc>
          <w:tcPr>
            <w:tcW w:w="1275" w:type="dxa"/>
            <w:tcBorders>
              <w:top w:val="single" w:sz="4" w:space="0" w:color="auto"/>
              <w:left w:val="nil"/>
              <w:bottom w:val="single" w:sz="4" w:space="0" w:color="auto"/>
              <w:right w:val="single" w:sz="4" w:space="0" w:color="auto"/>
            </w:tcBorders>
            <w:vAlign w:val="center"/>
          </w:tcPr>
          <w:p>
            <w:pPr>
              <w:jc w:val="center"/>
              <w:rPr>
                <w:rFonts w:ascii="宋体" w:cs="宋体"/>
                <w:b/>
                <w:bCs/>
              </w:rPr>
            </w:pPr>
            <w:r>
              <w:rPr>
                <w:rFonts w:ascii="宋体" w:cs="宋体" w:hint="eastAsia"/>
                <w:b/>
                <w:bCs/>
              </w:rPr>
              <w:t>检修</w:t>
              <w:br/>
              <w:t>人员</w:t>
            </w:r>
          </w:p>
        </w:tc>
        <w:tc>
          <w:tcPr>
            <w:tcW w:w="1577" w:type="dxa"/>
            <w:tcBorders>
              <w:top w:val="single" w:sz="4" w:space="0" w:color="auto"/>
              <w:left w:val="nil"/>
              <w:bottom w:val="single" w:sz="4" w:space="0" w:color="auto"/>
              <w:right w:val="single" w:sz="4" w:space="0" w:color="auto"/>
            </w:tcBorders>
            <w:vAlign w:val="center"/>
          </w:tcPr>
          <w:p>
            <w:pPr>
              <w:jc w:val="center"/>
              <w:rPr>
                <w:rFonts w:ascii="宋体" w:cs="宋体"/>
                <w:b/>
                <w:bCs/>
              </w:rPr>
            </w:pPr>
            <w:r>
              <w:rPr>
                <w:rFonts w:ascii="宋体" w:cs="宋体" w:hint="eastAsia"/>
                <w:b/>
                <w:bCs/>
              </w:rPr>
              <w:t>　</w:t>
            </w:r>
          </w:p>
        </w:tc>
        <w:tc>
          <w:tcPr>
            <w:tcW w:w="1248" w:type="dxa"/>
            <w:tcBorders>
              <w:top w:val="single" w:sz="4" w:space="0" w:color="auto"/>
              <w:left w:val="nil"/>
              <w:bottom w:val="single" w:sz="4" w:space="0" w:color="auto"/>
              <w:right w:val="single" w:sz="4" w:space="0" w:color="auto"/>
            </w:tcBorders>
            <w:vAlign w:val="center"/>
          </w:tcPr>
          <w:p>
            <w:pPr>
              <w:jc w:val="center"/>
              <w:rPr>
                <w:rFonts w:ascii="宋体" w:cs="宋体"/>
                <w:b/>
                <w:bCs/>
              </w:rPr>
            </w:pPr>
            <w:r>
              <w:rPr>
                <w:rFonts w:ascii="宋体" w:cs="宋体" w:hint="eastAsia"/>
                <w:b/>
                <w:bCs/>
              </w:rPr>
              <w:t>检修</w:t>
              <w:br/>
              <w:t>时间</w:t>
            </w:r>
          </w:p>
        </w:tc>
        <w:tc>
          <w:tcPr>
            <w:tcW w:w="2012" w:type="dxa"/>
            <w:gridSpan w:val="2"/>
            <w:tcBorders>
              <w:top w:val="single" w:sz="4" w:space="0" w:color="auto"/>
              <w:left w:val="nil"/>
              <w:bottom w:val="single" w:sz="4" w:space="0" w:color="auto"/>
              <w:right w:val="single" w:sz="4" w:space="0" w:color="auto"/>
            </w:tcBorders>
            <w:vAlign w:val="center"/>
          </w:tcPr>
          <w:p>
            <w:pPr>
              <w:jc w:val="center"/>
              <w:rPr>
                <w:rFonts w:ascii="宋体" w:cs="宋体"/>
                <w:b/>
                <w:bCs/>
              </w:rPr>
            </w:pPr>
            <w:r>
              <w:rPr>
                <w:rFonts w:ascii="宋体" w:cs="宋体" w:hint="eastAsia"/>
                <w:b/>
                <w:bCs/>
              </w:rPr>
              <w:t xml:space="preserve">  年   月   日</w:t>
              <w:br/>
              <w:t>时  分  至  时  分</w:t>
            </w:r>
          </w:p>
        </w:tc>
      </w:tr>
      <w:tr>
        <w:trPr>
          <w:trHeight w:val="624"/>
        </w:trPr>
        <w:tc>
          <w:tcPr>
            <w:tcW w:w="600"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序号</w:t>
            </w:r>
          </w:p>
        </w:tc>
        <w:tc>
          <w:tcPr>
            <w:tcW w:w="1025"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检修</w:t>
              <w:br/>
              <w:t>内容</w:t>
            </w:r>
          </w:p>
        </w:tc>
        <w:tc>
          <w:tcPr>
            <w:tcW w:w="1675"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检修</w:t>
              <w:br/>
              <w:t>内容</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检修</w:t>
              <w:br/>
              <w:t>标准</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检查</w:t>
              <w:br/>
              <w:t>结果</w:t>
            </w:r>
          </w:p>
        </w:tc>
        <w:tc>
          <w:tcPr>
            <w:tcW w:w="925"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b/>
                <w:bCs/>
              </w:rPr>
            </w:pPr>
            <w:r>
              <w:rPr>
                <w:rFonts w:ascii="宋体" w:cs="宋体" w:hint="eastAsia"/>
                <w:b/>
                <w:bCs/>
              </w:rPr>
              <w:t>故障</w:t>
              <w:br/>
              <w:t>说明</w:t>
            </w:r>
          </w:p>
        </w:tc>
      </w:tr>
      <w:tr>
        <w:trPr>
          <w:trHeight w:val="948"/>
        </w:trPr>
        <w:tc>
          <w:tcPr>
            <w:tcW w:w="600" w:type="dxa"/>
            <w:vMerge w:val="restart"/>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1</w:t>
            </w:r>
          </w:p>
        </w:tc>
        <w:tc>
          <w:tcPr>
            <w:tcW w:w="1025" w:type="dxa"/>
            <w:vMerge w:val="restart"/>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X光机</w:t>
            </w: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1、整机外观</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设备整机外观无破损及变形等状况；</w:t>
            </w:r>
          </w:p>
          <w:p>
            <w:pPr>
              <w:jc w:val="left"/>
              <w:rPr>
                <w:rFonts w:ascii="宋体" w:cs="宋体"/>
              </w:rPr>
            </w:pPr>
            <w:r>
              <w:rPr>
                <w:rFonts w:ascii="宋体" w:cs="宋体" w:hint="eastAsia"/>
              </w:rPr>
              <w:t>设备整机是否清洁；设备表面无灰尘及其他杂物</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2、通道出入口的铅门帘</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检查设备铅门帘完好、无破损，无卷起露出通道内部；用手触摸后无明显粉尘</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3、设备供电</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检查设备外接电源正常（220V±10%，50Hz）</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4、设备接地</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接线紧固无松脱、无虚接；接地电阻值不大于4Ω</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5、设备开机</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设备正常开机上电</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6、X射线指示灯和电源指示灯</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设备启动后，检查设备X射线指示灯和电源状态指示灯状态是否正常；指示灯接线紧固无松脱、无虚接</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7、急停开关</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检查急停开关是否正常工作，故障时进行更换。</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8、安全联锁开关</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检查安全联锁开关是否正常工作，故障时进行更换。</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9、扫描包裹检查图像及颜色</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显示器图像及颜色正常；物体成像形状及颜色正常；扫描图像背景干净，无横竖条纹或色块等现象；扫描图像完整、不缺失</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10、显示器</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显示器表面无灰尘；根据需要调整显示器颜色及亮度；必要时维修、更换</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11、传动系统</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设备待机状态及运转过程中均无异常声音；驱动电机正常无噪音、温度正常</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12、电动滚筒和传送带</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传送带运行过程中无异响、运转正常；传送带无走偏、破损；检查传送带张进度，调节张紧装置，消除打滑现象；传送带底部无异物，传送带与调偏托辊之间无异物；进传送带如果有比较严重的损坏和损耗时，应及时更换</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13、散热风扇及防尘网</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各部位散热风扇均正常工作，无异响；风扇接线紧固；散热风扇和防尘网无积灰</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14、X光机（含控制器）顶/底视角</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X光机无漏油现象；X光机高压和束流值正常，调整X光机工作电压及电流，使其工作在标准值</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15、探测器</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检查探测器型号及数量，和该设备标准配置一致；探测器曲线曲线最低值高于空气校准值，低于时调整三点一线；探测器板无故障、位置最佳</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16、操作键盘</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操作键盘功能正常，按键灵敏，无卡涩；擦拭键盘使表面无污物、灰尘</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17、坡台、非机动辊道</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坡台、非机动辊道无损坏或变形；物品通过时辊道正常运转</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18、工控机软件</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测试工控机软件是否正常工作</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19、工控机硬件</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测试工控机硬件是否正常工作；工控机内部无积灰，内部散热风扇运行正常、固定牢靠、无积灰</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20、光电传感器</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遮挡测试光电传感器工作状态正常；调整光电传感器灵敏度或位置，使其位置及灵敏度达到最佳</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21、设备内部</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设备端子排、X光机散热风扇、探测器盒内部无灰尘</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22、检查摄像头显示</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摄像头是否对端进出口；摄像功能是否正常</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r>
        <w:trPr>
          <w:trHeight w:val="948"/>
        </w:trPr>
        <w:tc>
          <w:tcPr>
            <w:tcW w:w="600" w:type="dxa"/>
            <w:vMerge/>
            <w:tcBorders>
              <w:top w:val="single" w:sz="4" w:space="0" w:color="auto"/>
              <w:left w:val="single" w:sz="4" w:space="0" w:color="auto"/>
              <w:bottom w:val="single" w:sz="4" w:space="0" w:color="auto"/>
              <w:right w:val="single" w:sz="4" w:space="0" w:color="auto"/>
            </w:tcBorders>
            <w:vAlign w:val="center"/>
          </w:tcPr>
          <w:p/>
        </w:tc>
        <w:tc>
          <w:tcPr>
            <w:tcW w:w="1025" w:type="dxa"/>
            <w:vMerge/>
            <w:tcBorders>
              <w:top w:val="single" w:sz="4" w:space="0" w:color="auto"/>
              <w:left w:val="single" w:sz="4" w:space="0" w:color="auto"/>
              <w:bottom w:val="single" w:sz="4" w:space="0" w:color="auto"/>
              <w:right w:val="single" w:sz="4" w:space="0" w:color="auto"/>
            </w:tcBorders>
            <w:vAlign w:val="center"/>
          </w:tcPr>
          <w:p/>
        </w:tc>
        <w:tc>
          <w:tcPr>
            <w:tcW w:w="1675" w:type="dxa"/>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23、设备关机重启</w:t>
            </w:r>
          </w:p>
        </w:tc>
        <w:tc>
          <w:tcPr>
            <w:tcW w:w="4100" w:type="dxa"/>
            <w:gridSpan w:val="3"/>
            <w:tcBorders>
              <w:top w:val="single" w:sz="4" w:space="0" w:color="auto"/>
              <w:left w:val="single" w:sz="4" w:space="0" w:color="auto"/>
              <w:bottom w:val="single" w:sz="4" w:space="0" w:color="auto"/>
              <w:right w:val="single" w:sz="4" w:space="0" w:color="auto"/>
            </w:tcBorders>
            <w:vAlign w:val="center"/>
          </w:tcPr>
          <w:p>
            <w:pPr>
              <w:jc w:val="left"/>
              <w:rPr>
                <w:rFonts w:ascii="宋体" w:cs="宋体"/>
              </w:rPr>
            </w:pPr>
            <w:r>
              <w:rPr>
                <w:rFonts w:ascii="宋体" w:cs="宋体" w:hint="eastAsia"/>
              </w:rPr>
              <w:t>测试设备功能是否正常</w:t>
            </w:r>
          </w:p>
        </w:tc>
        <w:tc>
          <w:tcPr>
            <w:tcW w:w="1087" w:type="dxa"/>
            <w:tcBorders>
              <w:top w:val="single" w:sz="4" w:space="0" w:color="auto"/>
              <w:left w:val="single" w:sz="4" w:space="0" w:color="auto"/>
              <w:bottom w:val="single" w:sz="4" w:space="0" w:color="auto"/>
              <w:right w:val="single" w:sz="4" w:space="0" w:color="auto"/>
            </w:tcBorders>
            <w:vAlign w:val="center"/>
          </w:tcPr>
          <w:p>
            <w:pPr>
              <w:jc w:val="center"/>
              <w:rPr>
                <w:rFonts w:ascii="宋体" w:cs="宋体"/>
              </w:rPr>
            </w:pPr>
            <w:r>
              <w:rPr>
                <w:rFonts w:ascii="宋体" w:cs="宋体" w:hint="eastAsia"/>
              </w:rPr>
              <w:t>□</w:t>
            </w:r>
          </w:p>
        </w:tc>
        <w:tc>
          <w:tcPr>
            <w:tcW w:w="925" w:type="dxa"/>
            <w:tcBorders>
              <w:top w:val="single" w:sz="4" w:space="0" w:color="auto"/>
              <w:left w:val="single" w:sz="4" w:space="0" w:color="auto"/>
              <w:bottom w:val="single" w:sz="4" w:space="0" w:color="auto"/>
              <w:right w:val="single" w:sz="4" w:space="0" w:color="auto"/>
            </w:tcBorders>
          </w:tcPr>
          <w:p>
            <w:pPr>
              <w:jc w:val="center"/>
              <w:rPr>
                <w:rFonts w:ascii="宋体" w:cs="宋体"/>
              </w:rPr>
            </w:pPr>
          </w:p>
        </w:tc>
      </w:tr>
    </w:tbl>
    <w:p>
      <w:r>
        <w:rPr>
          <w:rFonts w:ascii="宋体" w:cs="宋体" w:hint="eastAsia"/>
        </w:rPr>
        <w:t>备注：检查结果正常在对应“□”内打√，并在设备故障情况对应栏填写“正常”；不正常在“□”内打×，并在故障说明中注明故障现场，是否处理，处理方法。</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003" w:usb1="288F0000" w:usb2="00000016" w:usb3="00000000" w:csb0="00040001" w:csb1="00000000"/>
  </w:font>
  <w:font w:name="方正小标宋_GBK">
    <w:panose1 w:val="02000000000000000000"/>
    <w:charset w:val="86"/>
    <w:family w:val="script"/>
    <w:pitch w:val="variable"/>
    <w:sig w:usb0="A00002BF" w:usb1="38CF7CFA" w:usb2="00082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方正黑体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Times New Roman"/>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tabs>
        <w:tab w:val="center" w:pos="4153"/>
        <w:tab w:val="right" w:pos="8306"/>
      </w:tabs>
      <w:snapToGrid w:val="0"/>
      <w:jc w:val="center"/>
      <w:rPr>
        <w:rFonts w:ascii="宋体"/>
      </w:rPr>
    </w:pPr>
    <w:r>
      <w:rPr>
        <w:rFonts w:ascii="宋体"/>
      </w:rPr>
      <w:fldChar w:fldCharType="begin"/>
    </w:r>
    <w:r>
      <w:rPr>
        <w:rFonts w:ascii="宋体"/>
      </w:rPr>
      <w:instrText xml:space="preserve"> PAGE   \* MERGEFORMAT </w:instrText>
    </w:r>
    <w:r>
      <w:rPr>
        <w:rFonts w:ascii="宋体"/>
      </w:rPr>
      <w:fldChar w:fldCharType="separate"/>
    </w:r>
    <w:r>
      <w:rPr>
        <w:rFonts w:ascii="宋体"/>
      </w:rPr>
      <w:t>- 1 -</w:t>
    </w:r>
    <w:r>
      <w:rPr>
        <w:rFonts w:ascii="宋体"/>
      </w:rPr>
      <w:fldChar w:fldCharType="end"/>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jc w:val="left"/>
      <w:rPr>
        <w:rFonts w:ascii="宋体" w:cs="宋体"/>
        <w:sz w:val="18"/>
        <w:szCs w:val="18"/>
        <w:u w:val="single"/>
      </w:rPr>
    </w:pPr>
  </w:p>
  <w:p>
    <w:pPr>
      <w:jc w:val="left"/>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00001"/>
    <w:multiLevelType w:val="singleLevel"/>
    <w:tmpl w:val="9FB4C887"/>
    <w:lvl w:ilvl="0">
      <w:start w:val="1"/>
      <w:numFmt w:val="decimal"/>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3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link w:val="1Char"/>
    <w:pPr>
      <w:keepNext/>
      <w:keepLines/>
      <w:widowControl w:val="0"/>
      <w:spacing w:before="340" w:after="330" w:line="576" w:lineRule="auto"/>
      <w:outlineLvl w:val="0"/>
    </w:pPr>
    <w:rPr>
      <w:b/>
      <w:kern w:val="44"/>
      <w:sz w:val="44"/>
      <w:szCs w:val="20"/>
    </w:rPr>
  </w:style>
  <w:style w:type="character" w:customStyle="1" w:styleId="1Char">
    <w:name w:val="heading 1 Char"/>
    <w:basedOn w:val="10"/>
    <w:link w:val="1"/>
    <w:rPr>
      <w:rFonts w:ascii="Times New Roman" w:eastAsia="宋体" w:cs="Times New Roman" w:hAnsi="Times New Roman"/>
      <w:b/>
      <w:kern w:val="44"/>
      <w:sz w:val="44"/>
      <w:szCs w:val="20"/>
      <w:lang w:val="en-US" w:eastAsia="zh-CN" w:bidi="ar-SA"/>
    </w:rPr>
  </w:style>
  <w:style w:type="paragraph" w:styleId="2">
    <w:name w:val="heading 2"/>
    <w:basedOn w:val="1"/>
    <w:next w:val="15"/>
    <w:pPr>
      <w:tabs>
        <w:tab w:val="left" w:pos="947"/>
      </w:tabs>
      <w:ind w:firstLine="227"/>
      <w:jc w:val="left"/>
      <w:outlineLvl w:val="1"/>
    </w:pPr>
    <w:rPr>
      <w:rFonts w:ascii="Arial" w:eastAsia="黑体" w:hAnsi="Arial"/>
      <w:sz w:val="32"/>
    </w:rPr>
  </w:style>
  <w:style w:type="paragraph" w:styleId="3">
    <w:name w:val="heading 3"/>
    <w:basedOn w:val="2"/>
    <w:next w:val="15"/>
    <w:pPr>
      <w:tabs>
        <w:tab w:val="left" w:pos="947"/>
      </w:tabs>
      <w:spacing w:before="260" w:after="260" w:line="415" w:lineRule="auto"/>
      <w:outlineLvl w:val="2"/>
    </w:pPr>
    <w:rPr>
      <w:rFonts w:ascii="Times New Roman" w:hAnsi="Times New Roman"/>
      <w:bCs/>
      <w:szCs w:val="32"/>
    </w:rPr>
  </w:style>
  <w:style w:type="paragraph" w:styleId="4">
    <w:name w:val="heading 4"/>
    <w:basedOn w:val="0"/>
    <w:next w:val="0"/>
    <w:pPr>
      <w:ind w:left="3045"/>
      <w:jc w:val="left"/>
      <w:outlineLvl w:val="3"/>
    </w:pPr>
    <w:rPr>
      <w:rFonts w:ascii="Arial" w:hAnsi="Arial"/>
      <w:sz w:val="24"/>
    </w:rPr>
  </w:style>
  <w:style w:type="character" w:default="1" w:styleId="10">
    <w:name w:val="Default Paragraph Font"/>
  </w:style>
  <w:style w:type="paragraph" w:customStyle="1" w:styleId="15">
    <w:name w:val="正文（首行缩进2字符）"/>
    <w:basedOn w:val="0"/>
    <w:pPr>
      <w:ind w:firstLineChars="200" w:firstLine="200"/>
    </w:pPr>
    <w:rPr>
      <w:sz w:val="24"/>
      <w:szCs w:val="24"/>
    </w:rPr>
  </w:style>
  <w:style w:type="paragraph" w:styleId="16">
    <w:name w:val="Normal Indent"/>
    <w:basedOn w:val="0"/>
    <w:pPr>
      <w:spacing w:line="312" w:lineRule="atLeast"/>
      <w:ind w:firstLine="420"/>
      <w:textAlignment w:val="baseline"/>
    </w:pPr>
    <w:rPr>
      <w:kern w:val="0"/>
      <w:szCs w:val="20"/>
    </w:rPr>
  </w:style>
  <w:style w:type="paragraph" w:styleId="17">
    <w:name w:val="toa heading"/>
    <w:basedOn w:val="0"/>
    <w:next w:val="0"/>
    <w:pPr>
      <w:widowControl/>
      <w:tabs>
        <w:tab w:val="left" w:pos="1260"/>
      </w:tabs>
      <w:autoSpaceDE w:val="0"/>
      <w:autoSpaceDN w:val="0"/>
      <w:adjustRightInd w:val="0"/>
      <w:snapToGrid w:val="0"/>
      <w:spacing w:before="120" w:after="20"/>
      <w:ind w:left="457" w:hangingChars="457" w:hanging="457"/>
    </w:pPr>
    <w:rPr>
      <w:rFonts w:ascii="Arial" w:hAnsi="Arial"/>
      <w:sz w:val="24"/>
      <w:szCs w:val="20"/>
    </w:rPr>
  </w:style>
  <w:style w:type="paragraph" w:styleId="18">
    <w:name w:val="annotation text"/>
    <w:basedOn w:val="0"/>
    <w:pPr>
      <w:jc w:val="left"/>
    </w:pPr>
  </w:style>
  <w:style w:type="paragraph" w:styleId="19">
    <w:name w:val="Body Text"/>
    <w:basedOn w:val="0"/>
    <w:next w:val="0"/>
    <w:pPr>
      <w:spacing w:after="120"/>
    </w:pPr>
  </w:style>
  <w:style w:type="paragraph" w:styleId="20">
    <w:name w:val="Body Text Indent"/>
    <w:basedOn w:val="0"/>
    <w:next w:val="21"/>
    <w:pPr>
      <w:spacing w:after="120"/>
      <w:ind w:leftChars="200" w:left="200"/>
    </w:pPr>
  </w:style>
  <w:style w:type="paragraph" w:styleId="21">
    <w:name w:val="footer"/>
    <w:basedOn w:val="0"/>
    <w:next w:val="22"/>
    <w:pPr>
      <w:tabs>
        <w:tab w:val="center" w:pos="4153"/>
        <w:tab w:val="right" w:pos="8306"/>
      </w:tabs>
      <w:snapToGrid w:val="0"/>
      <w:spacing w:line="240" w:lineRule="auto"/>
      <w:jc w:val="left"/>
    </w:pPr>
    <w:rPr>
      <w:sz w:val="18"/>
      <w:szCs w:val="18"/>
    </w:rPr>
  </w:style>
  <w:style w:type="paragraph" w:styleId="22">
    <w:name w:val="header"/>
    <w:basedOn w:val="0"/>
    <w:next w:val="0"/>
    <w:pPr>
      <w:pBdr>
        <w:bottom w:val="single" w:sz="6" w:space="1" w:color="auto"/>
      </w:pBdr>
      <w:tabs>
        <w:tab w:val="center" w:pos="4153"/>
        <w:tab w:val="right" w:pos="8306"/>
      </w:tabs>
      <w:snapToGrid w:val="0"/>
      <w:jc w:val="center"/>
    </w:pPr>
    <w:rPr>
      <w:sz w:val="18"/>
    </w:rPr>
  </w:style>
  <w:style w:type="paragraph" w:styleId="23">
    <w:name w:val="Plain Text"/>
    <w:basedOn w:val="0"/>
    <w:next w:val="0"/>
    <w:rPr>
      <w:rFonts w:ascii="宋体"/>
      <w:kern w:val="0"/>
      <w:sz w:val="20"/>
      <w:szCs w:val="20"/>
    </w:rPr>
  </w:style>
  <w:style w:type="paragraph" w:styleId="24">
    <w:name w:val="Normal (Web)"/>
    <w:basedOn w:val="0"/>
    <w:pPr>
      <w:widowControl/>
      <w:spacing w:before="100" w:beforeAutospacing="1" w:after="100" w:afterAutospacing="1"/>
      <w:jc w:val="left"/>
    </w:pPr>
    <w:rPr>
      <w:rFonts w:ascii="宋体" w:cs="宋体"/>
      <w:kern w:val="0"/>
      <w:sz w:val="24"/>
    </w:rPr>
  </w:style>
  <w:style w:type="paragraph" w:styleId="25">
    <w:name w:val="Title"/>
    <w:basedOn w:val="0"/>
    <w:next w:val="0"/>
    <w:pPr>
      <w:spacing w:before="240" w:after="60" w:line="240" w:lineRule="auto"/>
      <w:jc w:val="center"/>
      <w:outlineLvl w:val="0"/>
    </w:pPr>
    <w:rPr>
      <w:rFonts w:ascii="Cambria" w:hAnsi="Cambria"/>
      <w:b/>
      <w:kern w:val="0"/>
      <w:sz w:val="32"/>
      <w:szCs w:val="20"/>
    </w:rPr>
  </w:style>
  <w:style w:type="paragraph" w:styleId="26">
    <w:name w:val="Body Text First Indent"/>
    <w:basedOn w:val="19"/>
    <w:next w:val="27"/>
    <w:pPr>
      <w:ind w:firstLineChars="100" w:firstLine="100"/>
    </w:pPr>
  </w:style>
  <w:style w:type="paragraph" w:styleId="27">
    <w:name w:val="Body Text First Indent 2"/>
    <w:basedOn w:val="20"/>
    <w:next w:val="0"/>
    <w:pPr>
      <w:ind w:firstLineChars="200" w:firstLine="200"/>
    </w:pPr>
  </w:style>
  <w:style w:type="character" w:styleId="28">
    <w:name w:val="Hyperlink"/>
    <w:rPr>
      <w:color w:val="0000FF"/>
      <w:u w:val="single"/>
    </w:rPr>
  </w:style>
  <w:style w:type="paragraph" w:customStyle="1" w:styleId="29">
    <w:name w:val="列出段落1"/>
    <w:basedOn w:val="0"/>
    <w:pPr>
      <w:ind w:firstLineChars="200" w:firstLine="200"/>
    </w:pPr>
  </w:style>
  <w:style w:type="paragraph" w:customStyle="1" w:styleId="30">
    <w:name w:val="00000正"/>
    <w:basedOn w:val="0"/>
    <w:pPr>
      <w:ind w:firstLineChars="200" w:firstLine="200"/>
    </w:pPr>
    <w:rPr>
      <w:rFonts w:ascii="宋体"/>
      <w:sz w:val="24"/>
      <w:szCs w:val="22"/>
    </w:rPr>
  </w:style>
  <w:style w:type="paragraph" w:customStyle="1" w:styleId="31">
    <w:name w:val="List Paragraph"/>
    <w:basedOn w:val="0"/>
    <w:pPr>
      <w:ind w:left="1363" w:hanging="908"/>
    </w:pPr>
    <w:rPr>
      <w:rFonts w:ascii="宋体" w:cs="宋体"/>
      <w:lang w:val="zh-CN" w:bidi="zh-CN"/>
    </w:rPr>
  </w:style>
  <w:style w:type="paragraph" w:customStyle="1" w:styleId="32">
    <w:name w:val="样式"/>
    <w:pPr>
      <w:widowControl w:val="0"/>
      <w:autoSpaceDE w:val="0"/>
      <w:autoSpaceDN w:val="0"/>
      <w:adjustRightInd w:val="0"/>
    </w:pPr>
    <w:rPr>
      <w:rFonts w:ascii="宋体" w:eastAsia="宋体" w:cs="宋体"/>
      <w:kern w:val="0"/>
      <w:sz w:val="24"/>
      <w:szCs w:val="24"/>
      <w:lang w:val="en-US" w:eastAsia="zh-CN" w:bidi="ar-SA"/>
    </w:rPr>
  </w:style>
  <w:style w:type="paragraph" w:customStyle="1" w:styleId="33">
    <w:name w:val="正文 New New New New New New New New New New New New New New New New New New New New New New New New New New New New New New New New New New New New New New New New New New New"/>
    <w:pPr>
      <w:widowControl w:val="0"/>
      <w:spacing w:line="360" w:lineRule="auto"/>
      <w:jc w:val="both"/>
    </w:pPr>
    <w:rPr>
      <w:rFonts w:ascii="Times New Roman" w:eastAsia="宋体" w:cs="Times New Roman" w:hAnsi="Times New Roman"/>
      <w:kern w:val="2"/>
      <w:sz w:val="21"/>
      <w:szCs w:val="20"/>
      <w:lang w:val="en-US" w:eastAsia="zh-CN" w:bidi="ar-SA"/>
    </w:rPr>
  </w:style>
  <w:style w:type="paragraph" w:customStyle="1" w:styleId="34">
    <w:name w:val="02Real"/>
    <w:basedOn w:val="0"/>
    <w:pPr>
      <w:snapToGrid w:val="0"/>
      <w:spacing w:line="480" w:lineRule="exact"/>
      <w:jc w:val="left"/>
      <w:outlineLvl w:val="1"/>
    </w:pPr>
    <w:rPr>
      <w:rFonts w:ascii="宋体" w:cs="宋体"/>
      <w:b/>
      <w:sz w:val="24"/>
    </w:rPr>
  </w:style>
  <w:style w:type="paragraph" w:customStyle="1" w:styleId="35">
    <w:name w:val="原文引用"/>
    <w:rPr>
      <w:rFonts w:ascii="Calibri" w:eastAsia="宋体" w:cs="Times New Roman" w:hAnsi="Calibri"/>
      <w:kern w:val="2"/>
      <w:sz w:val="21"/>
      <w:szCs w:val="22"/>
      <w:lang w:val="en-US" w:eastAsia="zh-CN" w:bidi="ar-SA"/>
    </w:rPr>
  </w:style>
  <w:style w:type="paragraph" w:customStyle="1" w:styleId="36">
    <w:name w:val="0正文"/>
    <w:basedOn w:val="23"/>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exact"/>
      <w:ind w:firstLineChars="200" w:firstLine="200"/>
    </w:pPr>
    <w:rPr>
      <w:rFonts w:cs="宋体"/>
      <w:sz w:val="24"/>
    </w:rPr>
  </w:style>
  <w:style w:type="paragraph" w:customStyle="1" w:styleId="37">
    <w:name w:val="Default"/>
    <w:next w:val="38"/>
    <w:pPr>
      <w:widowControl w:val="0"/>
      <w:autoSpaceDE w:val="0"/>
      <w:autoSpaceDN w:val="0"/>
      <w:adjustRightInd w:val="0"/>
      <w:spacing w:line="360" w:lineRule="atLeast"/>
      <w:jc w:val="both"/>
      <w:textAlignment w:val="baseline"/>
    </w:pPr>
    <w:rPr>
      <w:rFonts w:ascii="宋体" w:eastAsia="宋体" w:cs="Times New Roman"/>
      <w:color w:val="000000"/>
      <w:kern w:val="0"/>
      <w:sz w:val="24"/>
      <w:szCs w:val="24"/>
      <w:lang w:val="en-US" w:eastAsia="zh-CN" w:bidi="ar-SA"/>
    </w:rPr>
  </w:style>
  <w:style w:type="paragraph" w:customStyle="1" w:styleId="38">
    <w:name w:val="日期1"/>
    <w:basedOn w:val="0"/>
    <w:next w:val="0"/>
    <w:rPr>
      <w:rFonts w:ascii="黑体" w:eastAsia="黑体"/>
    </w:rPr>
  </w:style>
  <w:style w:type="paragraph" w:customStyle="1" w:styleId="39">
    <w:name w:val="正文 New New New New New"/>
    <w:pPr>
      <w:widowControl w:val="0"/>
      <w:jc w:val="both"/>
    </w:pPr>
    <w:rPr>
      <w:rFonts w:ascii="Times New Roman" w:eastAsia="宋体" w:cs="Times New Roman" w:hAnsi="Times New Roman"/>
      <w:kern w:val="2"/>
      <w:sz w:val="21"/>
      <w:szCs w:val="20"/>
      <w:lang w:val="en-US" w:eastAsia="zh-CN" w:bidi="ar-SA"/>
    </w:rPr>
  </w:style>
  <w:style w:type="character" w:customStyle="1" w:styleId="40">
    <w:name w:val="font31"/>
    <w:basedOn w:val="10"/>
    <w:rPr>
      <w:rFonts w:ascii="宋体" w:eastAsia="宋体" w:cs="宋体"/>
      <w:b/>
      <w:bCs/>
      <w:i w:val="0"/>
      <w:iCs w:val="0"/>
      <w:color w:val="000000"/>
      <w:sz w:val="24"/>
      <w:szCs w:val="24"/>
      <w:u w:val="none"/>
    </w:rPr>
  </w:style>
  <w:style w:type="character" w:styleId="41">
    <w:name w:val="annotation reference"/>
    <w:basedOn w:val="10"/>
    <w:rPr>
      <w:sz w:val="21"/>
      <w:szCs w:val="21"/>
    </w:rPr>
  </w:style>
  <w:style w:type="paragraph" w:styleId="42">
    <w:name w:val="annotation subject"/>
    <w:basedOn w:val="18"/>
    <w:next w:val="18"/>
    <w:rPr>
      <w:b/>
      <w:bCs/>
    </w:rPr>
  </w:style>
  <w:style w:type="paragraph" w:styleId="43">
    <w:name w:val="Balloon Text"/>
    <w:basedOn w:val="0"/>
    <w:pPr>
      <w:spacing w:line="240" w:lineRule="auto"/>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61</TotalTime>
  <Application>Yozo_Office</Application>
  <Pages>15</Pages>
  <Words>7055</Words>
  <Characters>7998</Characters>
  <Lines>733</Lines>
  <Paragraphs>486</Paragraphs>
  <CharactersWithSpaces>8051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111</dc:creator>
  <cp:lastModifiedBy>郁风</cp:lastModifiedBy>
  <cp:revision>2</cp:revision>
  <cp:lastPrinted>2025-02-07T07:50:12Z</cp:lastPrinted>
  <dcterms:created xsi:type="dcterms:W3CDTF">2025-02-07T07:14:00Z</dcterms:created>
  <dcterms:modified xsi:type="dcterms:W3CDTF">2026-03-31T06:40:13Z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ICV">
    <vt:lpwstr>da662a8efb1f4b7ba835048f63c28044_23</vt:lpwstr>
  </property>
</Properties>
</file>