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tabs>
          <w:tab w:val="left" w:pos="720"/>
        </w:tabs>
        <w:adjustRightInd w:val="0"/>
        <w:snapToGrid w:val="0"/>
        <w:rPr>
          <w:rFonts w:ascii="宋体" w:cs="Tahoma"/>
          <w:sz w:val="24"/>
        </w:rPr>
      </w:pPr>
      <w:bookmarkStart w:id="0" w:name="_Toc11860"/>
      <w:bookmarkStart w:id="1" w:name="_Toc22605"/>
      <w:bookmarkStart w:id="2" w:name="_Toc22745"/>
      <w:bookmarkStart w:id="3" w:name="_Toc8645"/>
      <w:bookmarkStart w:id="4" w:name="_Toc27839"/>
      <w:bookmarkStart w:id="5" w:name="_Toc2939"/>
      <w:bookmarkStart w:id="6" w:name="_Toc28137"/>
      <w:bookmarkStart w:id="7" w:name="_Toc12828"/>
      <w:bookmarkStart w:id="8" w:name="_Toc20832"/>
      <w:bookmarkStart w:id="9" w:name="_Toc32763"/>
      <w:bookmarkStart w:id="10" w:name="_Toc15811"/>
      <w:bookmarkStart w:id="11" w:name="_Toc24665"/>
      <w:bookmarkStart w:id="12" w:name="_Toc28678"/>
      <w:bookmarkStart w:id="13" w:name="_Toc24828"/>
      <w:bookmarkStart w:id="14" w:name="_Toc28985"/>
      <w:bookmarkStart w:id="15" w:name="_Toc13234"/>
      <w:bookmarkStart w:id="16" w:name="_Toc3354"/>
      <w:bookmarkStart w:id="17" w:name="_Toc31470"/>
      <w:bookmarkStart w:id="18" w:name="_Toc11806"/>
      <w:bookmarkStart w:id="19" w:name="_Toc18710"/>
      <w:bookmarkStart w:id="20" w:name="_Toc28800"/>
      <w:bookmarkStart w:id="21" w:name="_Toc1796"/>
      <w:bookmarkStart w:id="22" w:name="_Toc31709"/>
    </w:p>
    <w:p>
      <w:pPr>
        <w:pStyle w:val="2"/>
        <w:tabs>
          <w:tab w:val="left" w:pos="720"/>
        </w:tabs>
        <w:adjustRightInd w:val="0"/>
        <w:snapToGrid w:val="0"/>
        <w:rPr>
          <w:rFonts w:ascii="宋体" w:cs="Tahoma" w:hint="eastAsia"/>
          <w:sz w:val="24"/>
        </w:rPr>
      </w:pPr>
      <w:r>
        <w:rPr>
          <w:rFonts w:ascii="宋体" w:cs="Tahoma" w:hint="eastAsia"/>
          <w:sz w:val="24"/>
        </w:rPr>
        <w:t>单位责任人为同一人或者存在控股管理关系的不同单位，不得参加同一项目采购活动。</w:t>
      </w:r>
    </w:p>
    <w:p>
      <w:pPr>
        <w:pStyle w:val="2"/>
        <w:tabs>
          <w:tab w:val="left" w:pos="720"/>
        </w:tabs>
        <w:adjustRightInd w:val="0"/>
        <w:snapToGrid w:val="0"/>
        <w:rPr>
          <w:sz w:val="24"/>
        </w:rPr>
      </w:pPr>
      <w:bookmarkStart w:id="23" w:name="_GoBack"/>
      <w:bookmarkEnd w:id="23"/>
    </w:p>
    <w:p>
      <w:pPr>
        <w:pStyle w:val="2"/>
        <w:tabs>
          <w:tab w:val="left" w:pos="720"/>
        </w:tabs>
        <w:adjustRightInd w:val="0"/>
        <w:snapToGrid w:val="0"/>
        <w:rPr>
          <w:sz w:val="24"/>
        </w:rPr>
      </w:pPr>
      <w:r>
        <w:rPr>
          <w:rFonts w:hint="eastAsia"/>
          <w:sz w:val="24"/>
        </w:rPr>
        <w:t>技术、商务及价格分值分配</w:t>
      </w:r>
      <w:bookmarkEnd w:id="0"/>
      <w:bookmarkEnd w:id="1"/>
      <w:bookmarkEnd w:id="2"/>
      <w:bookmarkEnd w:id="3"/>
      <w:bookmarkEnd w:id="4"/>
      <w:bookmarkEnd w:id="5"/>
      <w:bookmarkEnd w:id="6"/>
      <w:bookmarkEnd w:id="7"/>
      <w:bookmarkEnd w:id="8"/>
    </w:p>
    <w:tbl>
      <w:tblPr>
        <w:jc w:val="center"/>
        <w:tblW w:w="851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1373"/>
        <w:gridCol w:w="1729"/>
        <w:gridCol w:w="1899"/>
        <w:gridCol w:w="1762"/>
        <w:gridCol w:w="1752"/>
      </w:tblGrid>
      <w:tr>
        <w:trPr>
          <w:trHeight w:val="560"/>
        </w:trPr>
        <w:tc>
          <w:tcPr>
            <w:tcW w:w="1373" w:type="dxa"/>
            <w:shd w:val="clear" w:color="auto" w:fill="D7D7D7"/>
            <w:vAlign w:val="center"/>
          </w:tcPr>
          <w:p>
            <w:pPr>
              <w:spacing w:before="72" w:after="72"/>
              <w:jc w:val="center"/>
              <w:rPr>
                <w:rFonts w:ascii="宋体" w:cs="宋体"/>
                <w:b/>
                <w:bCs/>
                <w:sz w:val="24"/>
              </w:rPr>
            </w:pPr>
            <w:r>
              <w:rPr>
                <w:rFonts w:ascii="宋体" w:cs="宋体" w:hint="eastAsia"/>
                <w:b/>
                <w:bCs/>
                <w:sz w:val="24"/>
              </w:rPr>
              <w:t>评分项目</w:t>
            </w:r>
          </w:p>
        </w:tc>
        <w:tc>
          <w:tcPr>
            <w:tcW w:w="1729" w:type="dxa"/>
            <w:tcBorders>
              <w:right w:val="single" w:sz="4" w:space="0" w:color="auto"/>
            </w:tcBorders>
            <w:shd w:val="clear" w:color="auto" w:fill="D7D7D7"/>
            <w:vAlign w:val="center"/>
          </w:tcPr>
          <w:p>
            <w:pPr>
              <w:spacing w:before="72" w:after="72"/>
              <w:jc w:val="center"/>
              <w:rPr>
                <w:rFonts w:ascii="宋体" w:cs="宋体"/>
                <w:b/>
                <w:bCs/>
                <w:sz w:val="24"/>
              </w:rPr>
            </w:pPr>
            <w:r>
              <w:rPr>
                <w:rFonts w:ascii="宋体" w:cs="宋体" w:hint="eastAsia"/>
                <w:b/>
                <w:bCs/>
                <w:sz w:val="24"/>
              </w:rPr>
              <w:t>技术</w:t>
            </w:r>
          </w:p>
        </w:tc>
        <w:tc>
          <w:tcPr>
            <w:tcW w:w="1899" w:type="dxa"/>
            <w:tcBorders>
              <w:left w:val="single" w:sz="4" w:space="0" w:color="auto"/>
            </w:tcBorders>
            <w:shd w:val="clear" w:color="auto" w:fill="D7D7D7"/>
            <w:vAlign w:val="center"/>
          </w:tcPr>
          <w:p>
            <w:pPr>
              <w:spacing w:before="72" w:after="72"/>
              <w:jc w:val="center"/>
              <w:rPr>
                <w:rFonts w:ascii="宋体" w:cs="宋体"/>
                <w:b/>
                <w:bCs/>
                <w:sz w:val="24"/>
              </w:rPr>
            </w:pPr>
            <w:r>
              <w:rPr>
                <w:rFonts w:ascii="宋体" w:cs="宋体"/>
                <w:b/>
                <w:bCs/>
                <w:sz w:val="24"/>
              </w:rPr>
              <w:t>商务</w:t>
            </w:r>
          </w:p>
        </w:tc>
        <w:tc>
          <w:tcPr>
            <w:tcW w:w="1762" w:type="dxa"/>
            <w:shd w:val="clear" w:color="auto" w:fill="D7D7D7"/>
            <w:vAlign w:val="center"/>
          </w:tcPr>
          <w:p>
            <w:pPr>
              <w:spacing w:before="72" w:after="72"/>
              <w:jc w:val="center"/>
              <w:rPr>
                <w:rFonts w:ascii="宋体" w:cs="宋体"/>
                <w:b/>
                <w:bCs/>
                <w:sz w:val="24"/>
              </w:rPr>
            </w:pPr>
            <w:r>
              <w:rPr>
                <w:rFonts w:ascii="宋体" w:cs="宋体" w:hint="eastAsia"/>
                <w:b/>
                <w:bCs/>
                <w:sz w:val="24"/>
              </w:rPr>
              <w:t>价格</w:t>
            </w:r>
          </w:p>
        </w:tc>
        <w:tc>
          <w:tcPr>
            <w:tcW w:w="1752" w:type="dxa"/>
            <w:shd w:val="clear" w:color="auto" w:fill="D7D7D7"/>
            <w:vAlign w:val="center"/>
          </w:tcPr>
          <w:p>
            <w:pPr>
              <w:spacing w:before="72" w:after="72"/>
              <w:jc w:val="center"/>
              <w:rPr>
                <w:rFonts w:ascii="宋体" w:cs="宋体"/>
                <w:b/>
                <w:bCs/>
                <w:sz w:val="24"/>
              </w:rPr>
            </w:pPr>
            <w:r>
              <w:rPr>
                <w:rFonts w:ascii="宋体" w:cs="宋体" w:hint="eastAsia"/>
                <w:b/>
                <w:bCs/>
                <w:sz w:val="24"/>
              </w:rPr>
              <w:t>合计</w:t>
            </w:r>
          </w:p>
        </w:tc>
      </w:tr>
      <w:tr>
        <w:trPr>
          <w:trHeight w:val="908"/>
        </w:trPr>
        <w:tc>
          <w:tcPr>
            <w:tcW w:w="1373" w:type="dxa"/>
            <w:vAlign w:val="center"/>
          </w:tcPr>
          <w:p>
            <w:pPr>
              <w:spacing w:before="72" w:after="72"/>
              <w:jc w:val="center"/>
              <w:rPr>
                <w:rFonts w:ascii="宋体" w:cs="宋体"/>
                <w:sz w:val="24"/>
              </w:rPr>
            </w:pPr>
            <w:r>
              <w:rPr>
                <w:rFonts w:ascii="宋体" w:cs="宋体" w:hint="eastAsia"/>
                <w:sz w:val="24"/>
              </w:rPr>
              <w:t>分值</w:t>
            </w:r>
          </w:p>
        </w:tc>
        <w:tc>
          <w:tcPr>
            <w:tcW w:w="1729" w:type="dxa"/>
            <w:tcBorders>
              <w:right w:val="single" w:sz="4" w:space="0" w:color="auto"/>
            </w:tcBorders>
            <w:vAlign w:val="center"/>
          </w:tcPr>
          <w:p>
            <w:pPr>
              <w:spacing w:before="72" w:after="72"/>
              <w:jc w:val="center"/>
              <w:rPr>
                <w:rFonts w:ascii="宋体" w:cs="宋体"/>
                <w:sz w:val="24"/>
              </w:rPr>
            </w:pPr>
            <w:r>
              <w:rPr>
                <w:rFonts w:ascii="宋体" w:cs="宋体" w:hint="eastAsia"/>
                <w:sz w:val="24"/>
              </w:rPr>
              <w:t>50分</w:t>
            </w:r>
          </w:p>
        </w:tc>
        <w:tc>
          <w:tcPr>
            <w:tcW w:w="1899" w:type="dxa"/>
            <w:tcBorders>
              <w:left w:val="single" w:sz="4" w:space="0" w:color="auto"/>
            </w:tcBorders>
            <w:vAlign w:val="center"/>
          </w:tcPr>
          <w:p>
            <w:pPr>
              <w:spacing w:before="72" w:after="72"/>
              <w:jc w:val="center"/>
              <w:rPr>
                <w:rFonts w:ascii="宋体" w:cs="宋体"/>
                <w:sz w:val="24"/>
              </w:rPr>
            </w:pPr>
            <w:r>
              <w:rPr>
                <w:rFonts w:ascii="宋体" w:cs="宋体" w:hint="eastAsia"/>
                <w:sz w:val="24"/>
              </w:rPr>
              <w:t>40分</w:t>
            </w:r>
          </w:p>
        </w:tc>
        <w:tc>
          <w:tcPr>
            <w:tcW w:w="1762" w:type="dxa"/>
            <w:vAlign w:val="center"/>
          </w:tcPr>
          <w:p>
            <w:pPr>
              <w:spacing w:before="72" w:after="72"/>
              <w:jc w:val="center"/>
              <w:rPr>
                <w:rFonts w:ascii="宋体" w:cs="宋体"/>
                <w:sz w:val="24"/>
              </w:rPr>
            </w:pPr>
            <w:r>
              <w:rPr>
                <w:rFonts w:ascii="宋体" w:cs="宋体" w:hint="eastAsia"/>
                <w:sz w:val="24"/>
              </w:rPr>
              <w:t>10分</w:t>
            </w:r>
          </w:p>
        </w:tc>
        <w:tc>
          <w:tcPr>
            <w:tcW w:w="1752" w:type="dxa"/>
            <w:vAlign w:val="center"/>
          </w:tcPr>
          <w:p>
            <w:pPr>
              <w:spacing w:before="72" w:after="72"/>
              <w:jc w:val="center"/>
              <w:rPr>
                <w:rFonts w:ascii="宋体" w:cs="宋体"/>
                <w:sz w:val="24"/>
              </w:rPr>
            </w:pPr>
            <w:r>
              <w:rPr>
                <w:rFonts w:ascii="宋体" w:cs="宋体" w:hint="eastAsia"/>
                <w:sz w:val="24"/>
              </w:rPr>
              <w:t>100分</w:t>
            </w:r>
          </w:p>
        </w:tc>
      </w:tr>
    </w:tbl>
    <w:p>
      <w:pPr>
        <w:rPr>
          <w:rFonts w:hint="eastAsia"/>
          <w:sz w:val="24"/>
        </w:rPr>
      </w:pPr>
    </w:p>
    <w:p>
      <w:pPr>
        <w:pStyle w:val="2"/>
        <w:tabs>
          <w:tab w:val="left" w:pos="720"/>
        </w:tabs>
        <w:adjustRightInd w:val="0"/>
        <w:snapToGrid w:val="0"/>
        <w:rPr>
          <w:sz w:val="24"/>
        </w:rPr>
      </w:pPr>
      <w:r>
        <w:rPr>
          <w:rFonts w:hint="eastAsia"/>
          <w:sz w:val="24"/>
        </w:rPr>
        <w:t>1.价格评审表</w:t>
      </w:r>
    </w:p>
    <w:tbl>
      <w:tblPr>
        <w:jc w:val="center"/>
        <w:tblW w:w="854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108" w:type="dxa"/>
          <w:bottom w:w="0" w:type="dxa"/>
          <w:right w:w="108" w:type="dxa"/>
        </w:tblCellMar>
      </w:tblPr>
      <w:tblGrid>
        <w:gridCol w:w="2175"/>
        <w:gridCol w:w="6368"/>
      </w:tblGrid>
      <w:tr>
        <w:trPr>
          <w:trHeight w:val="462"/>
          <w:tblHeader/>
        </w:trPr>
        <w:tc>
          <w:tcPr>
            <w:tcW w:w="2175" w:type="dxa"/>
            <w:shd w:val="clear" w:color="auto" w:fill="D9D9D9"/>
            <w:vAlign w:val="center"/>
          </w:tcPr>
          <w:p>
            <w:pPr>
              <w:jc w:val="center"/>
              <w:rPr>
                <w:rFonts w:ascii="宋体" w:cs="宋体"/>
                <w:b/>
                <w:bCs/>
                <w:sz w:val="24"/>
              </w:rPr>
            </w:pPr>
            <w:r>
              <w:rPr>
                <w:rFonts w:ascii="宋体" w:cs="宋体" w:hint="eastAsia"/>
                <w:b/>
                <w:bCs/>
                <w:sz w:val="24"/>
              </w:rPr>
              <w:t>评分项目</w:t>
            </w:r>
          </w:p>
        </w:tc>
        <w:tc>
          <w:tcPr>
            <w:tcW w:w="6368" w:type="dxa"/>
            <w:shd w:val="clear" w:color="auto" w:fill="D9D9D9"/>
            <w:vAlign w:val="center"/>
          </w:tcPr>
          <w:p>
            <w:pPr>
              <w:jc w:val="center"/>
              <w:rPr>
                <w:rFonts w:ascii="宋体" w:cs="宋体"/>
                <w:b/>
                <w:bCs/>
                <w:sz w:val="24"/>
              </w:rPr>
            </w:pPr>
            <w:r>
              <w:rPr>
                <w:rFonts w:ascii="宋体" w:cs="宋体" w:hint="eastAsia"/>
                <w:b/>
                <w:bCs/>
                <w:sz w:val="24"/>
              </w:rPr>
              <w:t>评分标准</w:t>
            </w:r>
          </w:p>
        </w:tc>
      </w:tr>
      <w:tr>
        <w:trPr>
          <w:trHeight w:val="1417"/>
          <w:tblHeader/>
        </w:trPr>
        <w:tc>
          <w:tcPr>
            <w:tcW w:w="2175" w:type="dxa"/>
            <w:vAlign w:val="center"/>
          </w:tcPr>
          <w:p>
            <w:pPr>
              <w:jc w:val="center"/>
              <w:rPr>
                <w:rFonts w:ascii="宋体" w:cs="宋体"/>
                <w:sz w:val="24"/>
              </w:rPr>
            </w:pPr>
            <w:r>
              <w:rPr>
                <w:rFonts w:ascii="宋体" w:cs="宋体"/>
                <w:sz w:val="24"/>
              </w:rPr>
              <w:t>价格</w:t>
            </w:r>
          </w:p>
        </w:tc>
        <w:tc>
          <w:tcPr>
            <w:tcW w:w="6368" w:type="dxa"/>
            <w:vAlign w:val="center"/>
          </w:tcPr>
          <w:p>
            <w:pPr>
              <w:jc w:val="center"/>
              <w:rPr>
                <w:rFonts w:ascii="宋体" w:cs="宋体"/>
                <w:sz w:val="24"/>
              </w:rPr>
            </w:pPr>
            <w:r>
              <w:rPr>
                <w:rFonts w:ascii="宋体" w:cs="宋体"/>
                <w:sz w:val="24"/>
              </w:rPr>
              <w:t>价格</w:t>
            </w:r>
            <w:r>
              <w:rPr>
                <w:rFonts w:ascii="宋体" w:cs="宋体" w:hint="eastAsia"/>
                <w:sz w:val="24"/>
                <w:lang w:val="zh-CN"/>
              </w:rPr>
              <w:t>得分=(基准价/报价)</w:t>
            </w:r>
            <w:r>
              <w:rPr>
                <w:rFonts w:ascii="宋体" w:cs="宋体" w:hint="eastAsia"/>
                <w:sz w:val="24"/>
              </w:rPr>
              <w:t xml:space="preserve"> ×10</w:t>
            </w:r>
          </w:p>
        </w:tc>
      </w:tr>
    </w:tbl>
    <w:p>
      <w:pPr>
        <w:spacing w:beforeLines="50" w:before="156" w:line="360" w:lineRule="auto"/>
        <w:ind w:firstLineChars="200" w:firstLine="480"/>
      </w:pPr>
      <w:r>
        <w:rPr>
          <w:rFonts w:ascii="宋体" w:cs="宋体" w:hint="eastAsia"/>
          <w:sz w:val="24"/>
          <w:lang w:val="zh-CN"/>
        </w:rPr>
        <w:t>价格评审采用低价优先法计算，即满足</w:t>
      </w:r>
      <w:r>
        <w:rPr>
          <w:rFonts w:ascii="宋体" w:cs="宋体" w:hint="eastAsia"/>
          <w:sz w:val="24"/>
        </w:rPr>
        <w:t>采购</w:t>
      </w:r>
      <w:r>
        <w:rPr>
          <w:rFonts w:ascii="宋体" w:cs="宋体" w:hint="eastAsia"/>
          <w:sz w:val="24"/>
          <w:lang w:val="zh-CN"/>
        </w:rPr>
        <w:t>文件要求（通过资格性审查及符合性审查）且最低</w:t>
      </w:r>
      <w:r>
        <w:rPr>
          <w:rFonts w:ascii="宋体" w:cs="宋体" w:hint="eastAsia"/>
          <w:sz w:val="24"/>
        </w:rPr>
        <w:t>的</w:t>
      </w:r>
      <w:r>
        <w:rPr>
          <w:rFonts w:ascii="宋体" w:cs="宋体" w:hint="eastAsia"/>
          <w:sz w:val="24"/>
          <w:lang w:val="zh-CN"/>
        </w:rPr>
        <w:t>报价为基准价，其价格分为满分。其他供应商的价格分统一按照下列公式计算：</w:t>
      </w:r>
      <w:r>
        <w:rPr>
          <w:rFonts w:ascii="宋体" w:cs="宋体"/>
          <w:sz w:val="24"/>
        </w:rPr>
        <w:t>价格</w:t>
      </w:r>
      <w:r>
        <w:rPr>
          <w:rFonts w:ascii="宋体" w:cs="宋体" w:hint="eastAsia"/>
          <w:sz w:val="24"/>
          <w:lang w:val="zh-CN"/>
        </w:rPr>
        <w:t>得分=(基准价/报价)×价格分值。</w:t>
      </w:r>
    </w:p>
    <w:p>
      <w:pPr>
        <w:rPr>
          <w:sz w:val="24"/>
        </w:rPr>
      </w:pPr>
    </w:p>
    <w:p>
      <w:pPr>
        <w:rPr>
          <w:sz w:val="24"/>
        </w:rPr>
      </w:pPr>
    </w:p>
    <w:p>
      <w:pPr>
        <w:pStyle w:val="2"/>
        <w:tabs>
          <w:tab w:val="left" w:pos="720"/>
        </w:tabs>
        <w:adjustRightInd w:val="0"/>
        <w:snapToGrid w:val="0"/>
        <w:rPr>
          <w:sz w:val="24"/>
        </w:rPr>
      </w:pPr>
      <w:bookmarkStart w:id="24" w:name="_Toc25884"/>
      <w:bookmarkStart w:id="25" w:name="_Toc17239"/>
      <w:bookmarkStart w:id="26" w:name="_Toc32697"/>
      <w:bookmarkStart w:id="27" w:name="_Toc15377"/>
      <w:bookmarkStart w:id="28" w:name="_Toc25878"/>
      <w:bookmarkStart w:id="29" w:name="_Toc26511"/>
      <w:bookmarkStart w:id="30" w:name="_Toc17196"/>
      <w:bookmarkStart w:id="31" w:name="_Toc1436"/>
      <w:bookmarkStart w:id="32" w:name="_Toc23901"/>
      <w:r>
        <w:rPr>
          <w:rFonts w:hint="eastAsia"/>
          <w:sz w:val="24"/>
        </w:rPr>
        <w:t>2.技</w:t>
      </w:r>
      <w:bookmarkEnd w:id="24"/>
      <w:bookmarkEnd w:id="25"/>
      <w:bookmarkEnd w:id="26"/>
      <w:bookmarkEnd w:id="27"/>
      <w:bookmarkEnd w:id="28"/>
      <w:bookmarkEnd w:id="29"/>
      <w:bookmarkEnd w:id="30"/>
      <w:bookmarkEnd w:id="31"/>
      <w:bookmarkEnd w:id="32"/>
      <w:r>
        <w:rPr>
          <w:rFonts w:hint="eastAsia"/>
          <w:sz w:val="24"/>
        </w:rPr>
        <w:t>术及</w:t>
      </w:r>
      <w:r>
        <w:rPr>
          <w:sz w:val="24"/>
        </w:rPr>
        <w:t>商务</w:t>
      </w:r>
      <w:r>
        <w:rPr>
          <w:rFonts w:hint="eastAsia"/>
          <w:sz w:val="24"/>
        </w:rPr>
        <w:t>评分表</w:t>
      </w:r>
    </w:p>
    <w:tbl>
      <w:tblPr>
        <w:jc w:val="left"/>
        <w:tblInd w:w="87" w:type="dxa"/>
        <w:tblW w:w="8682"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1021"/>
        <w:gridCol w:w="2402"/>
        <w:gridCol w:w="4395"/>
        <w:gridCol w:w="864"/>
      </w:tblGrid>
      <w:tr>
        <w:trPr>
          <w:trHeight w:val="630"/>
        </w:trPr>
        <w:tc>
          <w:tcPr>
            <w:tcW w:w="1021" w:type="dxa"/>
            <w:tcBorders>
              <w:top w:val="single" w:sz="4" w:space="0" w:color="auto"/>
              <w:left w:val="single" w:sz="4" w:space="0" w:color="auto"/>
              <w:bottom w:val="single" w:sz="4" w:space="0" w:color="auto"/>
              <w:right w:val="single" w:sz="4" w:space="0" w:color="auto"/>
            </w:tcBorders>
            <w:shd w:val="clear" w:color="000000" w:fill="BFBFBF"/>
            <w:noWrap/>
            <w:vAlign w:val="center"/>
          </w:tcPr>
          <w:p>
            <w:pPr>
              <w:widowControl/>
              <w:jc w:val="center"/>
              <w:rPr>
                <w:rFonts w:ascii="宋体" w:cs="宋体"/>
                <w:kern w:val="0"/>
                <w:sz w:val="24"/>
              </w:rPr>
            </w:pPr>
            <w:bookmarkEnd w:id="9"/>
            <w:bookmarkEnd w:id="10"/>
            <w:bookmarkEnd w:id="11"/>
            <w:bookmarkEnd w:id="12"/>
            <w:bookmarkEnd w:id="13"/>
            <w:bookmarkEnd w:id="14"/>
            <w:bookmarkEnd w:id="15"/>
            <w:bookmarkEnd w:id="16"/>
            <w:bookmarkEnd w:id="17"/>
            <w:bookmarkEnd w:id="18"/>
            <w:bookmarkEnd w:id="19"/>
            <w:bookmarkEnd w:id="20"/>
            <w:bookmarkEnd w:id="21"/>
            <w:bookmarkEnd w:id="22"/>
            <w:r>
              <w:rPr>
                <w:rFonts w:ascii="宋体" w:cs="宋体" w:hint="eastAsia"/>
                <w:kern w:val="0"/>
                <w:sz w:val="24"/>
              </w:rPr>
              <w:t>序号</w:t>
            </w:r>
          </w:p>
        </w:tc>
        <w:tc>
          <w:tcPr>
            <w:tcW w:w="2402" w:type="dxa"/>
            <w:tcBorders>
              <w:top w:val="single" w:sz="4" w:space="0" w:color="auto"/>
              <w:left w:val="nil"/>
              <w:bottom w:val="single" w:sz="4" w:space="0" w:color="auto"/>
              <w:right w:val="single" w:sz="4" w:space="0" w:color="auto"/>
            </w:tcBorders>
            <w:shd w:val="clear" w:color="000000" w:fill="BFBFBF"/>
            <w:noWrap/>
            <w:vAlign w:val="center"/>
          </w:tcPr>
          <w:p>
            <w:pPr>
              <w:widowControl/>
              <w:jc w:val="center"/>
              <w:rPr>
                <w:rFonts w:ascii="宋体" w:cs="宋体"/>
                <w:kern w:val="0"/>
                <w:sz w:val="24"/>
              </w:rPr>
            </w:pPr>
            <w:r>
              <w:rPr>
                <w:rFonts w:ascii="宋体" w:cs="宋体" w:hint="eastAsia"/>
                <w:kern w:val="0"/>
                <w:sz w:val="24"/>
              </w:rPr>
              <w:t>评审项目</w:t>
            </w:r>
          </w:p>
        </w:tc>
        <w:tc>
          <w:tcPr>
            <w:tcW w:w="4395" w:type="dxa"/>
            <w:tcBorders>
              <w:top w:val="single" w:sz="4" w:space="0" w:color="auto"/>
              <w:left w:val="nil"/>
              <w:bottom w:val="single" w:sz="4" w:space="0" w:color="auto"/>
              <w:right w:val="single" w:sz="4" w:space="0" w:color="auto"/>
            </w:tcBorders>
            <w:shd w:val="clear" w:color="000000" w:fill="BFBFBF"/>
            <w:noWrap/>
            <w:vAlign w:val="center"/>
          </w:tcPr>
          <w:p>
            <w:pPr>
              <w:widowControl/>
              <w:jc w:val="center"/>
              <w:rPr>
                <w:rFonts w:ascii="宋体" w:cs="宋体"/>
                <w:kern w:val="0"/>
                <w:sz w:val="24"/>
              </w:rPr>
            </w:pPr>
            <w:r>
              <w:rPr>
                <w:rFonts w:ascii="宋体" w:cs="宋体" w:hint="eastAsia"/>
                <w:kern w:val="0"/>
                <w:sz w:val="24"/>
              </w:rPr>
              <w:t>评审内容</w:t>
            </w:r>
          </w:p>
        </w:tc>
        <w:tc>
          <w:tcPr>
            <w:tcW w:w="864" w:type="dxa"/>
            <w:tcBorders>
              <w:top w:val="single" w:sz="4" w:space="0" w:color="auto"/>
              <w:left w:val="nil"/>
              <w:bottom w:val="single" w:sz="4" w:space="0" w:color="auto"/>
              <w:right w:val="single" w:sz="4" w:space="0" w:color="auto"/>
            </w:tcBorders>
            <w:shd w:val="clear" w:color="000000" w:fill="BFBFBF"/>
            <w:noWrap/>
            <w:vAlign w:val="center"/>
          </w:tcPr>
          <w:p>
            <w:pPr>
              <w:widowControl/>
              <w:jc w:val="center"/>
              <w:rPr>
                <w:rFonts w:ascii="宋体" w:cs="宋体"/>
                <w:kern w:val="0"/>
                <w:sz w:val="24"/>
              </w:rPr>
            </w:pPr>
            <w:r>
              <w:rPr>
                <w:rFonts w:ascii="宋体" w:cs="宋体" w:hint="eastAsia"/>
                <w:kern w:val="0"/>
                <w:sz w:val="24"/>
              </w:rPr>
              <w:t>最高分值</w:t>
            </w:r>
          </w:p>
        </w:tc>
      </w:tr>
      <w:tr>
        <w:trPr>
          <w:trHeight w:val="570"/>
        </w:trPr>
        <w:tc>
          <w:tcPr>
            <w:tcW w:w="1021"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1</w:t>
            </w:r>
          </w:p>
        </w:tc>
        <w:tc>
          <w:tcPr>
            <w:tcW w:w="2402" w:type="dxa"/>
            <w:vMerge w:val="restart"/>
            <w:tcBorders>
              <w:top w:val="nil"/>
              <w:left w:val="single" w:sz="4" w:space="0" w:color="auto"/>
              <w:bottom w:val="single" w:sz="4" w:space="0" w:color="000000"/>
              <w:right w:val="single" w:sz="4" w:space="0" w:color="auto"/>
            </w:tcBorders>
            <w:shd w:val="clear" w:color="auto" w:fill="auto"/>
            <w:vAlign w:val="center"/>
          </w:tcPr>
          <w:p>
            <w:pPr>
              <w:widowControl/>
              <w:jc w:val="center"/>
              <w:rPr>
                <w:rFonts w:ascii="宋体" w:cs="宋体"/>
                <w:kern w:val="0"/>
                <w:sz w:val="24"/>
              </w:rPr>
            </w:pPr>
            <w:r>
              <w:rPr>
                <w:rFonts w:ascii="宋体" w:cs="宋体" w:hint="eastAsia"/>
                <w:kern w:val="0"/>
                <w:sz w:val="24"/>
              </w:rPr>
              <w:t>对项目服务内容、服务要求、重难点的理解及响应程度</w:t>
            </w: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根据提供对项目服务内容、服务要求、重难点的理解及响应进行评审：</w:t>
            </w:r>
          </w:p>
        </w:tc>
        <w:tc>
          <w:tcPr>
            <w:tcW w:w="864"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15</w:t>
            </w:r>
          </w:p>
        </w:tc>
      </w:tr>
      <w:tr>
        <w:trPr>
          <w:trHeight w:val="855"/>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 xml:space="preserve">1、对项目服务内容、服务要求及重点难点问题的掌握准确、理解到位，能结合本项目提出有针对性的见解，符合本项目的特殊要求的，得15分； </w:t>
            </w:r>
          </w:p>
        </w:tc>
        <w:tc>
          <w:tcPr>
            <w:tcW w:w="864" w:type="dxa"/>
            <w:vMerge/>
            <w:tcBorders>
              <w:top w:val="nil"/>
              <w:left w:val="single" w:sz="4" w:space="0" w:color="auto"/>
              <w:bottom w:val="single" w:sz="4" w:space="0" w:color="000000"/>
              <w:right w:val="single" w:sz="4" w:space="0" w:color="auto"/>
            </w:tcBorders>
            <w:vAlign w:val="center"/>
          </w:tcPr>
          <w:p/>
        </w:tc>
      </w:tr>
      <w:tr>
        <w:trPr>
          <w:trHeight w:val="57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2、对项目服务内容、服务要求及重点难点问题的掌握、理解基本到位的，得10分；</w:t>
            </w:r>
          </w:p>
        </w:tc>
        <w:tc>
          <w:tcPr>
            <w:tcW w:w="864" w:type="dxa"/>
            <w:vMerge/>
            <w:tcBorders>
              <w:top w:val="nil"/>
              <w:left w:val="single" w:sz="4" w:space="0" w:color="auto"/>
              <w:bottom w:val="single" w:sz="4" w:space="0" w:color="000000"/>
              <w:right w:val="single" w:sz="4" w:space="0" w:color="auto"/>
            </w:tcBorders>
            <w:vAlign w:val="center"/>
          </w:tcPr>
          <w:p/>
        </w:tc>
      </w:tr>
      <w:tr>
        <w:trPr>
          <w:trHeight w:val="57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 xml:space="preserve">3、对项目服务内容、服务要求及重点难点问题的掌握不够准确、理解不够到位的，得5分； </w:t>
            </w:r>
          </w:p>
        </w:tc>
        <w:tc>
          <w:tcPr>
            <w:tcW w:w="864" w:type="dxa"/>
            <w:vMerge/>
            <w:tcBorders>
              <w:top w:val="nil"/>
              <w:left w:val="single" w:sz="4" w:space="0" w:color="auto"/>
              <w:bottom w:val="single" w:sz="4" w:space="0" w:color="000000"/>
              <w:right w:val="single" w:sz="4" w:space="0" w:color="auto"/>
            </w:tcBorders>
            <w:vAlign w:val="center"/>
          </w:tcPr>
          <w:p/>
        </w:tc>
      </w:tr>
      <w:tr>
        <w:trPr>
          <w:trHeight w:val="525"/>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4、不提供不得分。</w:t>
            </w:r>
          </w:p>
        </w:tc>
        <w:tc>
          <w:tcPr>
            <w:tcW w:w="864" w:type="dxa"/>
            <w:vMerge/>
            <w:tcBorders>
              <w:top w:val="nil"/>
              <w:left w:val="single" w:sz="4" w:space="0" w:color="auto"/>
              <w:bottom w:val="single" w:sz="4" w:space="0" w:color="000000"/>
              <w:right w:val="single" w:sz="4" w:space="0" w:color="auto"/>
            </w:tcBorders>
            <w:vAlign w:val="center"/>
          </w:tcPr>
          <w:p/>
        </w:tc>
      </w:tr>
      <w:tr>
        <w:trPr>
          <w:trHeight w:val="735"/>
        </w:trPr>
        <w:tc>
          <w:tcPr>
            <w:tcW w:w="1021"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2</w:t>
            </w:r>
          </w:p>
        </w:tc>
        <w:tc>
          <w:tcPr>
            <w:tcW w:w="2402"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项目工作进度计划</w:t>
            </w: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根据供应商针对本项目制定的工作进度计划（包括但不限于工作进度计划、人员安排）进行评审：</w:t>
            </w:r>
          </w:p>
        </w:tc>
        <w:tc>
          <w:tcPr>
            <w:tcW w:w="864"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15</w:t>
            </w:r>
          </w:p>
        </w:tc>
      </w:tr>
      <w:tr>
        <w:trPr>
          <w:trHeight w:val="57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1、供应商提供的项目工作进度计划详细、可行性高，得15分；</w:t>
            </w:r>
          </w:p>
        </w:tc>
        <w:tc>
          <w:tcPr>
            <w:tcW w:w="864" w:type="dxa"/>
            <w:vMerge/>
            <w:tcBorders>
              <w:top w:val="nil"/>
              <w:left w:val="single" w:sz="4" w:space="0" w:color="auto"/>
              <w:bottom w:val="single" w:sz="4" w:space="0" w:color="000000"/>
              <w:right w:val="single" w:sz="4" w:space="0" w:color="auto"/>
            </w:tcBorders>
            <w:vAlign w:val="center"/>
          </w:tcPr>
          <w:p/>
        </w:tc>
      </w:tr>
      <w:tr>
        <w:trPr>
          <w:trHeight w:val="57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2、供应商提供的项目工作进度计划较详细、可行性较高，得10分；</w:t>
            </w:r>
          </w:p>
        </w:tc>
        <w:tc>
          <w:tcPr>
            <w:tcW w:w="864" w:type="dxa"/>
            <w:vMerge/>
            <w:tcBorders>
              <w:top w:val="nil"/>
              <w:left w:val="single" w:sz="4" w:space="0" w:color="auto"/>
              <w:bottom w:val="single" w:sz="4" w:space="0" w:color="000000"/>
              <w:right w:val="single" w:sz="4" w:space="0" w:color="auto"/>
            </w:tcBorders>
            <w:vAlign w:val="center"/>
          </w:tcPr>
          <w:p/>
        </w:tc>
      </w:tr>
      <w:tr>
        <w:trPr>
          <w:trHeight w:val="57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3、供应商提供的项目工作进度计划不够详细、可行性低的，得5分；</w:t>
            </w:r>
          </w:p>
        </w:tc>
        <w:tc>
          <w:tcPr>
            <w:tcW w:w="864" w:type="dxa"/>
            <w:vMerge/>
            <w:tcBorders>
              <w:top w:val="nil"/>
              <w:left w:val="single" w:sz="4" w:space="0" w:color="auto"/>
              <w:bottom w:val="single" w:sz="4" w:space="0" w:color="000000"/>
              <w:right w:val="single" w:sz="4" w:space="0" w:color="auto"/>
            </w:tcBorders>
            <w:vAlign w:val="center"/>
          </w:tcPr>
          <w:p/>
        </w:tc>
      </w:tr>
      <w:tr>
        <w:trPr>
          <w:trHeight w:val="285"/>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4、不提供不得分。</w:t>
            </w:r>
          </w:p>
        </w:tc>
        <w:tc>
          <w:tcPr>
            <w:tcW w:w="864" w:type="dxa"/>
            <w:vMerge/>
            <w:tcBorders>
              <w:top w:val="nil"/>
              <w:left w:val="single" w:sz="4" w:space="0" w:color="auto"/>
              <w:bottom w:val="single" w:sz="4" w:space="0" w:color="000000"/>
              <w:right w:val="single" w:sz="4" w:space="0" w:color="auto"/>
            </w:tcBorders>
            <w:vAlign w:val="center"/>
          </w:tcPr>
          <w:p/>
        </w:tc>
      </w:tr>
      <w:tr>
        <w:trPr>
          <w:trHeight w:val="570"/>
        </w:trPr>
        <w:tc>
          <w:tcPr>
            <w:tcW w:w="1021"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3</w:t>
            </w:r>
          </w:p>
        </w:tc>
        <w:tc>
          <w:tcPr>
            <w:tcW w:w="2402"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质量控制保障措施和方案</w:t>
            </w: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根据供应商提供质量控制保障措施和方法（内容包括但不限于工作质量保证、成果文件质量保证等）进行评审：</w:t>
            </w:r>
          </w:p>
        </w:tc>
        <w:tc>
          <w:tcPr>
            <w:tcW w:w="864"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10</w:t>
            </w:r>
          </w:p>
        </w:tc>
      </w:tr>
      <w:tr>
        <w:trPr>
          <w:trHeight w:val="57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1、提供的质量保障措施具体、合理、可行，后续技术服务措施全面、可行，得10分；</w:t>
            </w:r>
          </w:p>
        </w:tc>
        <w:tc>
          <w:tcPr>
            <w:tcW w:w="864" w:type="dxa"/>
            <w:vMerge/>
            <w:tcBorders>
              <w:top w:val="nil"/>
              <w:left w:val="single" w:sz="4" w:space="0" w:color="auto"/>
              <w:bottom w:val="single" w:sz="4" w:space="0" w:color="000000"/>
              <w:right w:val="single" w:sz="4" w:space="0" w:color="auto"/>
            </w:tcBorders>
            <w:vAlign w:val="center"/>
          </w:tcPr>
          <w:p/>
        </w:tc>
      </w:tr>
      <w:tr>
        <w:trPr>
          <w:trHeight w:val="57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2、提供的质量保障措施较具体、合理、可行，后续技术服务措施较全面、较可行，得6分；</w:t>
            </w:r>
          </w:p>
        </w:tc>
        <w:tc>
          <w:tcPr>
            <w:tcW w:w="864" w:type="dxa"/>
            <w:vMerge/>
            <w:tcBorders>
              <w:top w:val="nil"/>
              <w:left w:val="single" w:sz="4" w:space="0" w:color="auto"/>
              <w:bottom w:val="single" w:sz="4" w:space="0" w:color="000000"/>
              <w:right w:val="single" w:sz="4" w:space="0" w:color="auto"/>
            </w:tcBorders>
            <w:vAlign w:val="center"/>
          </w:tcPr>
          <w:p/>
        </w:tc>
      </w:tr>
      <w:tr>
        <w:trPr>
          <w:trHeight w:val="57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3、提供的质量保障措施一般，后续技术服务措施一般，得2分；</w:t>
            </w:r>
          </w:p>
        </w:tc>
        <w:tc>
          <w:tcPr>
            <w:tcW w:w="864" w:type="dxa"/>
            <w:vMerge/>
            <w:tcBorders>
              <w:top w:val="nil"/>
              <w:left w:val="single" w:sz="4" w:space="0" w:color="auto"/>
              <w:bottom w:val="single" w:sz="4" w:space="0" w:color="000000"/>
              <w:right w:val="single" w:sz="4" w:space="0" w:color="auto"/>
            </w:tcBorders>
            <w:vAlign w:val="center"/>
          </w:tcPr>
          <w:p/>
        </w:tc>
      </w:tr>
      <w:tr>
        <w:trPr>
          <w:trHeight w:val="57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4、提供的质量保障措施差后续技术服务措施不全面、不可行，得0分。</w:t>
            </w:r>
          </w:p>
        </w:tc>
        <w:tc>
          <w:tcPr>
            <w:tcW w:w="864" w:type="dxa"/>
            <w:vMerge/>
            <w:tcBorders>
              <w:top w:val="nil"/>
              <w:left w:val="single" w:sz="4" w:space="0" w:color="auto"/>
              <w:bottom w:val="single" w:sz="4" w:space="0" w:color="000000"/>
              <w:right w:val="single" w:sz="4" w:space="0" w:color="auto"/>
            </w:tcBorders>
            <w:vAlign w:val="center"/>
          </w:tcPr>
          <w:p/>
        </w:tc>
      </w:tr>
      <w:tr>
        <w:trPr>
          <w:trHeight w:val="855"/>
        </w:trPr>
        <w:tc>
          <w:tcPr>
            <w:tcW w:w="1021"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4</w:t>
            </w:r>
          </w:p>
        </w:tc>
        <w:tc>
          <w:tcPr>
            <w:tcW w:w="2402"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应急方案</w:t>
            </w: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根据供应商所提供针对本项目的应急方案（包括但不限于人员临时更换或不足、上级部门对评审项目的突发要求等）进行评审：</w:t>
            </w:r>
          </w:p>
        </w:tc>
        <w:tc>
          <w:tcPr>
            <w:tcW w:w="864"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10</w:t>
            </w:r>
          </w:p>
        </w:tc>
      </w:tr>
      <w:tr>
        <w:trPr>
          <w:trHeight w:val="57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1、应急方案全面，应对措施详细，紧急处理方法针对性强，可操作性强，得10分；</w:t>
            </w:r>
          </w:p>
        </w:tc>
        <w:tc>
          <w:tcPr>
            <w:tcW w:w="864" w:type="dxa"/>
            <w:vMerge/>
            <w:tcBorders>
              <w:top w:val="nil"/>
              <w:left w:val="single" w:sz="4" w:space="0" w:color="auto"/>
              <w:bottom w:val="single" w:sz="4" w:space="0" w:color="000000"/>
              <w:right w:val="single" w:sz="4" w:space="0" w:color="auto"/>
            </w:tcBorders>
            <w:vAlign w:val="center"/>
          </w:tcPr>
          <w:p/>
        </w:tc>
      </w:tr>
      <w:tr>
        <w:trPr>
          <w:trHeight w:val="57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2、应急方案基本全面，应对措施一般，紧急处理方法针对性一般，可操作性一般，得6分；</w:t>
            </w:r>
          </w:p>
        </w:tc>
        <w:tc>
          <w:tcPr>
            <w:tcW w:w="864" w:type="dxa"/>
            <w:vMerge/>
            <w:tcBorders>
              <w:top w:val="nil"/>
              <w:left w:val="single" w:sz="4" w:space="0" w:color="auto"/>
              <w:bottom w:val="single" w:sz="4" w:space="0" w:color="000000"/>
              <w:right w:val="single" w:sz="4" w:space="0" w:color="auto"/>
            </w:tcBorders>
            <w:vAlign w:val="center"/>
          </w:tcPr>
          <w:p/>
        </w:tc>
      </w:tr>
      <w:tr>
        <w:trPr>
          <w:trHeight w:val="57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3、有提供应急方案，但应对措施简单，可操作性较差，得2分；</w:t>
            </w:r>
          </w:p>
        </w:tc>
        <w:tc>
          <w:tcPr>
            <w:tcW w:w="864" w:type="dxa"/>
            <w:vMerge/>
            <w:tcBorders>
              <w:top w:val="nil"/>
              <w:left w:val="single" w:sz="4" w:space="0" w:color="auto"/>
              <w:bottom w:val="single" w:sz="4" w:space="0" w:color="000000"/>
              <w:right w:val="single" w:sz="4" w:space="0" w:color="auto"/>
            </w:tcBorders>
            <w:vAlign w:val="center"/>
          </w:tcPr>
          <w:p/>
        </w:tc>
      </w:tr>
      <w:tr>
        <w:trPr>
          <w:trHeight w:val="285"/>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4、其他或无提供不得分。</w:t>
            </w:r>
          </w:p>
        </w:tc>
        <w:tc>
          <w:tcPr>
            <w:tcW w:w="864" w:type="dxa"/>
            <w:vMerge/>
            <w:tcBorders>
              <w:top w:val="nil"/>
              <w:left w:val="single" w:sz="4" w:space="0" w:color="auto"/>
              <w:bottom w:val="single" w:sz="4" w:space="0" w:color="000000"/>
              <w:right w:val="single" w:sz="4" w:space="0" w:color="auto"/>
            </w:tcBorders>
            <w:vAlign w:val="center"/>
          </w:tcPr>
          <w:p/>
        </w:tc>
      </w:tr>
      <w:tr>
        <w:trPr>
          <w:trHeight w:val="855"/>
        </w:trPr>
        <w:tc>
          <w:tcPr>
            <w:tcW w:w="1021"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5</w:t>
            </w:r>
          </w:p>
        </w:tc>
        <w:tc>
          <w:tcPr>
            <w:tcW w:w="2402"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同类项目业绩情况</w:t>
            </w: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2022年至今，参与过市级（含）以上政府部门委托的一般公共服务支出项目相关领域的绩效评价及预算评审同类业绩的，以合同扫描件为准，每1个得5分，最高得20分。</w:t>
            </w:r>
          </w:p>
        </w:tc>
        <w:tc>
          <w:tcPr>
            <w:tcW w:w="864"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20</w:t>
            </w:r>
          </w:p>
        </w:tc>
      </w:tr>
      <w:tr>
        <w:trPr>
          <w:trHeight w:val="855"/>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注：须提供合同扫描件，合同或证明材料需能体现出委托单位名称、项目名称、评价或评审内容，否则不得分。</w:t>
            </w:r>
            <w:r>
              <w:rPr>
                <w:rFonts w:ascii="宋体" w:cs="宋体"/>
                <w:kern w:val="0"/>
                <w:sz w:val="24"/>
              </w:rPr>
              <w:t>（</w:t>
            </w:r>
            <w:r>
              <w:rPr>
                <w:rFonts w:ascii="宋体" w:cs="宋体" w:hint="eastAsia"/>
                <w:kern w:val="0"/>
                <w:sz w:val="24"/>
              </w:rPr>
              <w:t>以合同签订时间为准</w:t>
            </w:r>
            <w:r>
              <w:rPr>
                <w:rFonts w:ascii="宋体" w:cs="宋体"/>
                <w:kern w:val="0"/>
                <w:sz w:val="24"/>
              </w:rPr>
              <w:t>）</w:t>
            </w:r>
          </w:p>
        </w:tc>
        <w:tc>
          <w:tcPr>
            <w:tcW w:w="864" w:type="dxa"/>
            <w:vMerge/>
            <w:tcBorders>
              <w:top w:val="nil"/>
              <w:left w:val="single" w:sz="4" w:space="0" w:color="auto"/>
              <w:bottom w:val="single" w:sz="4" w:space="0" w:color="000000"/>
              <w:right w:val="single" w:sz="4" w:space="0" w:color="auto"/>
            </w:tcBorders>
            <w:vAlign w:val="center"/>
          </w:tcPr>
          <w:p/>
        </w:tc>
      </w:tr>
      <w:tr>
        <w:trPr>
          <w:trHeight w:val="480"/>
        </w:trPr>
        <w:tc>
          <w:tcPr>
            <w:tcW w:w="1021"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6</w:t>
            </w:r>
          </w:p>
        </w:tc>
        <w:tc>
          <w:tcPr>
            <w:tcW w:w="2402"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拟派的团队构成情况</w:t>
            </w: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1、项目负责人具有注册会计师证书或高级会计师证书，得5分。</w:t>
            </w:r>
          </w:p>
        </w:tc>
        <w:tc>
          <w:tcPr>
            <w:tcW w:w="864" w:type="dxa"/>
            <w:vMerge w:val="restart"/>
            <w:tcBorders>
              <w:top w:val="nil"/>
              <w:left w:val="single" w:sz="4" w:space="0" w:color="auto"/>
              <w:bottom w:val="single" w:sz="4" w:space="0" w:color="000000"/>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20</w:t>
            </w:r>
          </w:p>
        </w:tc>
      </w:tr>
      <w:tr>
        <w:trPr>
          <w:trHeight w:val="855"/>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2、2022年至今项目负责人主持过市级（含）以上政府部门委托的一般公共服务支出项目相关领域的绩效评价同类业绩经验的，每一个得1分，共5分；</w:t>
            </w:r>
          </w:p>
        </w:tc>
        <w:tc>
          <w:tcPr>
            <w:tcW w:w="864" w:type="dxa"/>
            <w:vMerge/>
            <w:tcBorders>
              <w:top w:val="nil"/>
              <w:left w:val="single" w:sz="4" w:space="0" w:color="auto"/>
              <w:bottom w:val="single" w:sz="4" w:space="0" w:color="000000"/>
              <w:right w:val="single" w:sz="4" w:space="0" w:color="auto"/>
            </w:tcBorders>
            <w:vAlign w:val="center"/>
          </w:tcPr>
          <w:p/>
        </w:tc>
      </w:tr>
      <w:tr>
        <w:trPr>
          <w:trHeight w:val="1140"/>
        </w:trPr>
        <w:tc>
          <w:tcPr>
            <w:tcW w:w="1021" w:type="dxa"/>
            <w:vMerge/>
            <w:tcBorders>
              <w:top w:val="nil"/>
              <w:left w:val="single" w:sz="4" w:space="0" w:color="auto"/>
              <w:bottom w:val="single" w:sz="4" w:space="0" w:color="000000"/>
              <w:right w:val="single" w:sz="4" w:space="0" w:color="auto"/>
            </w:tcBorders>
            <w:vAlign w:val="center"/>
          </w:tcPr>
          <w:p/>
        </w:tc>
        <w:tc>
          <w:tcPr>
            <w:tcW w:w="2402" w:type="dxa"/>
            <w:vMerge/>
            <w:tcBorders>
              <w:top w:val="nil"/>
              <w:left w:val="single" w:sz="4" w:space="0" w:color="auto"/>
              <w:bottom w:val="single" w:sz="4" w:space="0" w:color="000000"/>
              <w:right w:val="single" w:sz="4" w:space="0" w:color="auto"/>
            </w:tcBorders>
            <w:vAlign w:val="center"/>
          </w:tcPr>
          <w:p/>
        </w:tc>
        <w:tc>
          <w:tcPr>
            <w:tcW w:w="4395" w:type="dxa"/>
            <w:tcBorders>
              <w:top w:val="nil"/>
              <w:left w:val="nil"/>
              <w:bottom w:val="single" w:sz="4" w:space="0" w:color="auto"/>
              <w:right w:val="single" w:sz="4" w:space="0" w:color="auto"/>
            </w:tcBorders>
            <w:shd w:val="clear" w:color="auto" w:fill="auto"/>
            <w:vAlign w:val="center"/>
          </w:tcPr>
          <w:p>
            <w:pPr>
              <w:widowControl/>
              <w:jc w:val="left"/>
              <w:rPr>
                <w:rFonts w:ascii="宋体" w:cs="宋体"/>
                <w:kern w:val="0"/>
                <w:sz w:val="24"/>
              </w:rPr>
            </w:pPr>
            <w:r>
              <w:rPr>
                <w:rFonts w:ascii="宋体" w:cs="宋体" w:hint="eastAsia"/>
                <w:kern w:val="0"/>
                <w:sz w:val="24"/>
              </w:rPr>
              <w:t xml:space="preserve"> 3、2022年至今有同类项目工作经验的服务人员，具有硕士研究生的每一个得3分，本科学历的每一个得2分，最高得10分（注：以上人数不含项目负责人，提供人员的相关学历复印件，工作经验以供应商单位承诺或提供相关证明材料并加盖公章为准）。</w:t>
            </w:r>
          </w:p>
        </w:tc>
        <w:tc>
          <w:tcPr>
            <w:tcW w:w="864" w:type="dxa"/>
            <w:vMerge/>
            <w:tcBorders>
              <w:top w:val="nil"/>
              <w:left w:val="single" w:sz="4" w:space="0" w:color="auto"/>
              <w:bottom w:val="single" w:sz="4" w:space="0" w:color="000000"/>
              <w:right w:val="single" w:sz="4" w:space="0" w:color="auto"/>
            </w:tcBorders>
            <w:vAlign w:val="center"/>
          </w:tcPr>
          <w:p/>
        </w:tc>
      </w:tr>
      <w:tr>
        <w:trPr>
          <w:trHeight w:val="603"/>
        </w:trPr>
        <w:tc>
          <w:tcPr>
            <w:tcW w:w="1021" w:type="dxa"/>
            <w:tcBorders>
              <w:top w:val="nil"/>
              <w:left w:val="single" w:sz="4" w:space="0" w:color="auto"/>
              <w:bottom w:val="single" w:sz="4" w:space="0" w:color="auto"/>
              <w:right w:val="single" w:sz="4" w:space="0" w:color="auto"/>
            </w:tcBorders>
            <w:shd w:val="clear" w:color="auto" w:fill="auto"/>
            <w:noWrap/>
            <w:vAlign w:val="center"/>
          </w:tcPr>
          <w:p>
            <w:pPr>
              <w:widowControl/>
              <w:jc w:val="left"/>
              <w:rPr>
                <w:rFonts w:ascii="宋体" w:cs="宋体"/>
                <w:kern w:val="0"/>
                <w:sz w:val="24"/>
              </w:rPr>
            </w:pPr>
            <w:r>
              <w:rPr>
                <w:rFonts w:ascii="宋体" w:cs="宋体" w:hint="eastAsia"/>
                <w:kern w:val="0"/>
                <w:sz w:val="24"/>
              </w:rPr>
              <w:t>合计</w:t>
            </w:r>
          </w:p>
        </w:tc>
        <w:tc>
          <w:tcPr>
            <w:tcW w:w="2402" w:type="dxa"/>
            <w:tcBorders>
              <w:top w:val="nil"/>
              <w:left w:val="nil"/>
              <w:bottom w:val="single" w:sz="4" w:space="0" w:color="auto"/>
              <w:right w:val="single" w:sz="4" w:space="0" w:color="auto"/>
            </w:tcBorders>
            <w:shd w:val="clear" w:color="auto" w:fill="auto"/>
            <w:noWrap/>
            <w:vAlign w:val="center"/>
          </w:tcPr>
          <w:p>
            <w:pPr>
              <w:widowControl/>
              <w:jc w:val="left"/>
              <w:rPr>
                <w:rFonts w:ascii="宋体" w:cs="宋体"/>
                <w:kern w:val="0"/>
                <w:sz w:val="24"/>
              </w:rPr>
            </w:pPr>
            <w:r>
              <w:rPr>
                <w:rFonts w:ascii="宋体" w:cs="宋体" w:hint="eastAsia"/>
                <w:kern w:val="0"/>
                <w:sz w:val="24"/>
              </w:rPr>
              <w:t>　</w:t>
            </w:r>
          </w:p>
        </w:tc>
        <w:tc>
          <w:tcPr>
            <w:tcW w:w="4395" w:type="dxa"/>
            <w:tcBorders>
              <w:top w:val="nil"/>
              <w:left w:val="nil"/>
              <w:bottom w:val="single" w:sz="4" w:space="0" w:color="auto"/>
              <w:right w:val="single" w:sz="4" w:space="0" w:color="auto"/>
            </w:tcBorders>
            <w:shd w:val="clear" w:color="auto" w:fill="auto"/>
            <w:noWrap/>
            <w:vAlign w:val="center"/>
          </w:tcPr>
          <w:p>
            <w:pPr>
              <w:widowControl/>
              <w:jc w:val="left"/>
              <w:rPr>
                <w:rFonts w:ascii="宋体" w:cs="宋体"/>
                <w:kern w:val="0"/>
                <w:sz w:val="24"/>
              </w:rPr>
            </w:pPr>
            <w:r>
              <w:rPr>
                <w:rFonts w:ascii="宋体" w:cs="宋体" w:hint="eastAsia"/>
                <w:kern w:val="0"/>
                <w:sz w:val="24"/>
              </w:rPr>
              <w:t>　</w:t>
            </w:r>
          </w:p>
        </w:tc>
        <w:tc>
          <w:tcPr>
            <w:tcW w:w="864" w:type="dxa"/>
            <w:tcBorders>
              <w:top w:val="nil"/>
              <w:left w:val="nil"/>
              <w:bottom w:val="single" w:sz="4" w:space="0" w:color="auto"/>
              <w:right w:val="single" w:sz="4" w:space="0" w:color="auto"/>
            </w:tcBorders>
            <w:shd w:val="clear" w:color="auto" w:fill="auto"/>
            <w:noWrap/>
            <w:vAlign w:val="center"/>
          </w:tcPr>
          <w:p>
            <w:pPr>
              <w:widowControl/>
              <w:jc w:val="center"/>
              <w:rPr>
                <w:rFonts w:ascii="宋体" w:cs="宋体"/>
                <w:kern w:val="0"/>
                <w:sz w:val="24"/>
              </w:rPr>
            </w:pPr>
            <w:r>
              <w:rPr>
                <w:rFonts w:ascii="宋体" w:cs="宋体" w:hint="eastAsia"/>
                <w:kern w:val="0"/>
                <w:sz w:val="24"/>
              </w:rPr>
              <w:t>90</w:t>
            </w:r>
          </w:p>
        </w:tc>
      </w:tr>
    </w:tbl>
    <w:p>
      <w:pPr>
        <w:adjustRightInd w:val="0"/>
        <w:spacing w:beforeLines="100" w:before="312" w:line="500" w:lineRule="exact"/>
        <w:ind w:right="958"/>
        <w:textAlignment w:val="baseline"/>
        <w:outlineLvl w:val="0"/>
      </w:pPr>
    </w:p>
    <w:p>
      <w:pPr>
        <w:rPr>
          <w:rFonts w:ascii="宋体" w:eastAsia="宋体" w:cs="宋体"/>
        </w:rPr>
      </w:pPr>
    </w:p>
    <w:sectPr>
      <w:footerReference w:type="default" r:id="rId2"/>
      <w:footerReference w:type="even" r:id="rId3"/>
      <w:pgSz w:w="11906" w:h="16838"/>
      <w:pgMar w:top="1440" w:right="1800" w:bottom="1440" w:left="1800"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黑体">
    <w:altName w:val="Arial Unicode MS"/>
    <w:panose1 w:val="02010609060101010101"/>
    <w:charset w:val="86"/>
    <w:family w:val="modern"/>
    <w:pitch w:val="variable"/>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20"/>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46"/>
      </w:rPr>
      <w:fldChar w:fldCharType="begin"/>
    </w:r>
    <w:r>
      <w:rPr>
        <w:rStyle w:val="46"/>
      </w:rPr>
      <w:instrText>Page</w:instrText>
    </w:r>
    <w:r>
      <w:rPr>
        <w:rStyle w:val="46"/>
      </w:rPr>
      <w:fldChar w:fldCharType="separate"/>
    </w:r>
    <w:r>
      <w:rPr>
        <w:rStyle w:val="46"/>
      </w:rPr>
      <w:t>1</w:t>
    </w:r>
    <w:r>
      <w:rPr>
        <w:rStyle w:val="46"/>
      </w:rPr>
      <w:fldChar w:fldCharType="end"/>
    </w:r>
  </w:p>
  <w:p>
    <w:pPr>
      <w:pStyle w:val="20"/>
      <w:tabs>
        <w:tab w:val="center" w:pos="4153"/>
        <w:tab w:val="right" w:pos="8306"/>
      </w:tabs>
      <w:ind w:right="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20"/>
      <w:framePr w:w="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46"/>
      </w:rPr>
      <w:fldChar w:fldCharType="begin"/>
    </w:r>
    <w:r>
      <w:rPr>
        <w:rStyle w:val="46"/>
      </w:rPr>
      <w:instrText>Page</w:instrText>
    </w:r>
    <w:r>
      <w:rPr>
        <w:rStyle w:val="46"/>
      </w:rPr>
      <w:fldChar w:fldCharType="separate"/>
    </w:r>
    <w:r>
      <w:rPr>
        <w:rStyle w:val="46"/>
      </w:rPr>
      <w:t>1</w:t>
    </w:r>
    <w:r>
      <w:rPr>
        <w:rStyle w:val="46"/>
      </w:rPr>
      <w:fldChar w:fldCharType="end"/>
    </w:r>
  </w:p>
  <w:p>
    <w:pPr>
      <w:pStyle w:val="20"/>
      <w:tabs>
        <w:tab w:val="center" w:pos="4153"/>
        <w:tab w:val="right" w:pos="8306"/>
      </w:tabs>
      <w:ind w:right="360"/>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14"/>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黑体" w:hAnsi="Calibri"/>
      <w:kern w:val="2"/>
      <w:sz w:val="21"/>
      <w:szCs w:val="24"/>
      <w:lang w:val="en-US" w:eastAsia="zh-CN" w:bidi="ar-SA"/>
    </w:rPr>
  </w:style>
  <w:style w:type="paragraph" w:styleId="1">
    <w:name w:val="heading 1"/>
    <w:basedOn w:val="0"/>
    <w:next w:val="0"/>
    <w:pPr>
      <w:keepNext/>
      <w:keepLines/>
      <w:widowControl w:val="0"/>
      <w:adjustRightInd w:val="0"/>
      <w:snapToGrid w:val="0"/>
      <w:spacing w:line="360" w:lineRule="auto"/>
      <w:outlineLvl w:val="0"/>
    </w:pPr>
    <w:rPr>
      <w:rFonts w:ascii="Calibri" w:eastAsia="宋体" w:hAnsi="Calibri"/>
      <w:b/>
      <w:kern w:val="44"/>
      <w:sz w:val="32"/>
    </w:rPr>
  </w:style>
  <w:style w:type="paragraph" w:styleId="2">
    <w:name w:val="heading 2"/>
    <w:basedOn w:val="0"/>
    <w:next w:val="0"/>
    <w:pPr>
      <w:keepNext/>
      <w:keepLines/>
      <w:widowControl w:val="0"/>
      <w:spacing w:line="360" w:lineRule="auto"/>
      <w:outlineLvl w:val="1"/>
    </w:pPr>
    <w:rPr>
      <w:rFonts w:ascii="Arial" w:hAnsi="Arial"/>
      <w:b/>
      <w:sz w:val="28"/>
    </w:rPr>
  </w:style>
  <w:style w:type="paragraph" w:styleId="3">
    <w:name w:val="heading 3"/>
    <w:basedOn w:val="0"/>
    <w:next w:val="0"/>
    <w:pPr>
      <w:keepNext/>
      <w:keepLines/>
      <w:widowControl w:val="0"/>
      <w:autoSpaceDE w:val="0"/>
      <w:autoSpaceDN w:val="0"/>
      <w:adjustRightInd w:val="0"/>
      <w:snapToGrid w:val="0"/>
      <w:spacing w:line="360" w:lineRule="auto"/>
      <w:jc w:val="left"/>
      <w:outlineLvl w:val="2"/>
    </w:pPr>
    <w:rPr>
      <w:rFonts w:ascii="宋体"/>
      <w:b/>
      <w:kern w:val="0"/>
      <w:szCs w:val="20"/>
    </w:rPr>
  </w:style>
  <w:style w:type="paragraph" w:styleId="4">
    <w:name w:val="heading 4"/>
    <w:basedOn w:val="0"/>
    <w:next w:val="0"/>
    <w:pPr>
      <w:keepNext/>
      <w:keepLines/>
      <w:widowControl w:val="0"/>
      <w:adjustRightInd w:val="0"/>
      <w:spacing w:before="280" w:after="290" w:line="376" w:lineRule="atLeast"/>
      <w:textAlignment w:val="baseline"/>
      <w:outlineLvl w:val="3"/>
    </w:pPr>
    <w:rPr>
      <w:rFonts w:ascii="宋体" w:cs="宋体"/>
      <w:b/>
      <w:bCs/>
      <w:kern w:val="0"/>
      <w:sz w:val="28"/>
      <w:szCs w:val="28"/>
    </w:rPr>
  </w:style>
  <w:style w:type="paragraph" w:styleId="5">
    <w:name w:val="heading 5"/>
    <w:basedOn w:val="0"/>
    <w:next w:val="0"/>
    <w:pPr>
      <w:keepNext/>
      <w:keepLines/>
      <w:widowControl w:val="0"/>
      <w:adjustRightInd w:val="0"/>
      <w:spacing w:before="200" w:after="200" w:line="200" w:lineRule="atLeast"/>
      <w:textAlignment w:val="baseline"/>
      <w:outlineLvl w:val="4"/>
    </w:pPr>
    <w:rPr>
      <w:rFonts w:ascii="Times New Roman" w:hAnsi="Times New Roman"/>
      <w:b/>
      <w:kern w:val="0"/>
      <w:sz w:val="28"/>
      <w:szCs w:val="20"/>
    </w:rPr>
  </w:style>
  <w:style w:type="character" w:default="1" w:styleId="10">
    <w:name w:val="Default Paragraph Font"/>
  </w:style>
  <w:style w:type="paragraph" w:styleId="15">
    <w:name w:val="toa heading"/>
    <w:basedOn w:val="0"/>
    <w:next w:val="0"/>
    <w:rPr>
      <w:rFonts w:ascii="Arial" w:hAnsi="Arial"/>
      <w:sz w:val="24"/>
    </w:rPr>
  </w:style>
  <w:style w:type="paragraph" w:customStyle="1" w:styleId="16">
    <w:name w:val="样式 22 10 磅"/>
    <w:pPr>
      <w:widowControl w:val="0"/>
      <w:jc w:val="both"/>
    </w:pPr>
    <w:rPr>
      <w:rFonts w:ascii="Times New Roman" w:eastAsia="宋体" w:cs="Times New Roman" w:hAnsi="Times New Roman"/>
      <w:kern w:val="2"/>
      <w:sz w:val="21"/>
      <w:szCs w:val="24"/>
      <w:lang w:val="en-US" w:eastAsia="zh-CN" w:bidi="ar-SA"/>
    </w:rPr>
  </w:style>
  <w:style w:type="paragraph" w:customStyle="1" w:styleId="17">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18">
    <w:name w:val="样式 23 10 磅"/>
    <w:pPr>
      <w:widowControl w:val="0"/>
      <w:jc w:val="both"/>
    </w:pPr>
    <w:rPr>
      <w:rFonts w:ascii="Times New Roman" w:eastAsia="宋体" w:cs="Times New Roman" w:hAnsi="Times New Roman"/>
      <w:kern w:val="2"/>
      <w:sz w:val="21"/>
      <w:szCs w:val="24"/>
      <w:lang w:val="en-US" w:eastAsia="zh-CN" w:bidi="ar-SA"/>
    </w:rPr>
  </w:style>
  <w:style w:type="paragraph" w:styleId="19">
    <w:name w:val="header"/>
    <w:basedOn w:val="0"/>
    <w:pPr>
      <w:pBdr>
        <w:bottom w:val="single" w:sz="6" w:space="1" w:color="auto"/>
      </w:pBdr>
      <w:tabs>
        <w:tab w:val="center" w:pos="4153"/>
        <w:tab w:val="right" w:pos="8306"/>
      </w:tabs>
      <w:snapToGrid w:val="0"/>
      <w:jc w:val="center"/>
    </w:pPr>
    <w:rPr>
      <w:sz w:val="18"/>
      <w:szCs w:val="18"/>
    </w:rPr>
  </w:style>
  <w:style w:type="paragraph" w:styleId="20">
    <w:name w:val="footer"/>
    <w:basedOn w:val="0"/>
    <w:pPr>
      <w:tabs>
        <w:tab w:val="center" w:pos="4153"/>
        <w:tab w:val="right" w:pos="8306"/>
      </w:tabs>
      <w:snapToGrid w:val="0"/>
      <w:jc w:val="left"/>
    </w:pPr>
    <w:rPr>
      <w:sz w:val="18"/>
      <w:szCs w:val="18"/>
    </w:rPr>
  </w:style>
  <w:style w:type="character" w:styleId="46">
    <w:name w:val="page number"/>
    <w:basedOn w:val="10"/>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59</TotalTime>
  <Application>Yozo_Office</Application>
  <Pages>3</Pages>
  <Words>1324</Words>
  <Characters>1360</Characters>
  <Lines>129</Lines>
  <Paragraphs>68</Paragraphs>
  <CharactersWithSpaces>1366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WPS_1559619801</dc:creator>
  <cp:lastModifiedBy>郁风</cp:lastModifiedBy>
  <cp:revision>7</cp:revision>
  <dcterms:created xsi:type="dcterms:W3CDTF">2025-05-06T05:48:00Z</dcterms:created>
  <dcterms:modified xsi:type="dcterms:W3CDTF">2026-04-02T07:19:49Z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2052-12.1.0.21171</vt:lpwstr>
  </property>
  <property fmtid="{D5CDD505-2E9C-101B-9397-08002B2CF9AE}" pid="3" name="ICV">
    <vt:lpwstr>AF2789C35ACF4DBCA29DA85906969C10_13</vt:lpwstr>
  </property>
  <property fmtid="{D5CDD505-2E9C-101B-9397-08002B2CF9AE}" pid="4" name="KSOTemplateDocerSaveRecord">
    <vt:lpwstr>eyJoZGlkIjoiMDg1YzQyYzE4MjQ5YTNjZmI3ZWJlMThkNjJhZjAxNjkiLCJ1c2VySWQiOiI1NzExNDMwNjYifQ==</vt:lpwstr>
  </property>
</Properties>
</file>