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方正小标宋_GBK" w:eastAsia="方正小标宋_GBK" w:hint="eastAsia"/>
        </w:rPr>
      </w:pPr>
      <w:r>
        <w:rPr>
          <w:rFonts w:ascii="方正小标宋_GBK" w:eastAsia="方正小标宋_GBK" w:hint="eastAsia"/>
        </w:rPr>
        <w:t>大连海关办公楼院内绿化服务内容及技术要求</w:t>
      </w:r>
    </w:p>
    <w:p>
      <w:pPr>
        <w:jc w:val="left"/>
      </w:pPr>
      <w:r>
        <w:t>一、项目概况及服务内容</w:t>
      </w:r>
    </w:p>
    <w:p>
      <w:pPr>
        <w:jc w:val="left"/>
      </w:pPr>
      <w:r>
        <w:t>（一）项目概况</w:t>
      </w:r>
    </w:p>
    <w:p>
      <w:pPr>
        <w:ind w:firstLineChars="200" w:firstLine="632"/>
        <w:jc w:val="left"/>
      </w:pPr>
      <w:r>
        <w:t>大连海关办公区及金普新区大窑湾缉私局院内绿地、苗木、花卉养护。养护面积共13000平方米。其中大连海关总关办公楼院内约9000平方米，金普新区大窑湾缉私局院内约4000平方米。</w:t>
      </w:r>
    </w:p>
    <w:p>
      <w:pPr>
        <w:jc w:val="left"/>
      </w:pPr>
      <w:r>
        <w:t>（二）服务内容</w:t>
      </w:r>
    </w:p>
    <w:p>
      <w:pPr>
        <w:jc w:val="left"/>
      </w:pPr>
      <w:r>
        <w:t>1.制定绿化养护方案。</w:t>
      </w:r>
    </w:p>
    <w:p>
      <w:pPr>
        <w:jc w:val="left"/>
      </w:pPr>
      <w:r>
        <w:t>2.提供绿地除杂草、绿地浇水施肥、树木枝叶修剪、草坪灌木修剪、树木松土放盘、病虫害防治打药、冬季树木防冻等养护工作。</w:t>
      </w:r>
    </w:p>
    <w:p>
      <w:pPr>
        <w:jc w:val="left"/>
      </w:pPr>
      <w:r>
        <w:t>3.中标人工作人员遵守采购人的规章制度，未经许可不得进入与养护业务无关的区域，不得从事与养护无关的事项。</w:t>
      </w:r>
    </w:p>
    <w:p>
      <w:pPr>
        <w:jc w:val="left"/>
      </w:pPr>
      <w:r>
        <w:t>4.中标人的日常养护的作业时间段务必服从采购人的要求，不能影响正常办公环境秩序。在树木、草坪日常维护及摆放植物时应注意安全，不得损坏采购人设施，保持现场清洁卫生，做到人走场净。</w:t>
      </w:r>
    </w:p>
    <w:p>
      <w:pPr>
        <w:jc w:val="left"/>
      </w:pPr>
      <w:r>
        <w:t>（三）园林绿化标准</w:t>
      </w:r>
    </w:p>
    <w:p>
      <w:pPr>
        <w:ind w:firstLineChars="200" w:firstLine="632"/>
        <w:jc w:val="left"/>
      </w:pPr>
      <w:r>
        <w:t>院内绿化养护按大连市二级绿地养护标准；管理到位，配备专职管理人员；院内绿化区域做到干净整洁、无杂物。</w:t>
      </w:r>
    </w:p>
    <w:p>
      <w:pPr>
        <w:jc w:val="left"/>
      </w:pPr>
      <w:r>
        <w:t>（四）养护职责</w:t>
      </w:r>
    </w:p>
    <w:p>
      <w:pPr>
        <w:jc w:val="left"/>
      </w:pPr>
      <w:r>
        <w:t>1.养护期限内，中标人应设项目负责人1人，项目负责人须具有园林绿化专业中级及以上技术职称或二级及以上建造师。</w:t>
      </w:r>
    </w:p>
    <w:p>
      <w:pPr>
        <w:jc w:val="left"/>
      </w:pPr>
      <w:r>
        <w:t>2.中标人应按照园林绿化养护操作规程及园林绿化养护质量标准，合理组织，精心养护，保质保量完成管理任务。</w:t>
      </w:r>
    </w:p>
    <w:p>
      <w:pPr>
        <w:jc w:val="left"/>
      </w:pPr>
      <w:r>
        <w:t>3.绿化设施及主要养护内容</w:t>
      </w:r>
    </w:p>
    <w:p>
      <w:pPr>
        <w:jc w:val="left"/>
      </w:pPr>
      <w:r>
        <w:t>（1）修剪：根据各类植物的生长特点、立地环境、景观要求，按照操作规程适时进行。</w:t>
      </w:r>
    </w:p>
    <w:p>
      <w:pPr>
        <w:jc w:val="left"/>
      </w:pPr>
      <w:r>
        <w:t>（2）施肥：依植物生长特点施肥，每年不得少于2次；新种植物，依生长情况适时适量施肥，以保持各类植物的生长旺盛达到一定景观效果。</w:t>
      </w:r>
    </w:p>
    <w:p>
      <w:pPr>
        <w:jc w:val="left"/>
      </w:pPr>
      <w:r>
        <w:t>（3）除草：各类绿地、树穴、绿带要及时清理各类杂草。</w:t>
      </w:r>
    </w:p>
    <w:p>
      <w:pPr>
        <w:jc w:val="left"/>
      </w:pPr>
      <w:r>
        <w:t>（4）抹芽：对不定芽要及时清除，以保持树木骨架清晰，促使生长形态美观，营养集中。</w:t>
      </w:r>
    </w:p>
    <w:p>
      <w:pPr>
        <w:jc w:val="left"/>
      </w:pPr>
      <w:r>
        <w:t>（5）病虫害防治：是园林植物养护中重要手段和内容，要根据种类植物的寄生对象及时做好预测预报，及时采取措施防治。</w:t>
      </w:r>
    </w:p>
    <w:p>
      <w:pPr>
        <w:jc w:val="left"/>
      </w:pPr>
      <w:r>
        <w:t>（6）抗旱、抗台、抗涝：旱季及新种植物要及时进行灌溉，防止植物因脱水而造成枯死。台汛期间要做好加固、排涝抢险工作，防止植物受损。</w:t>
      </w:r>
    </w:p>
    <w:p>
      <w:pPr>
        <w:jc w:val="left"/>
      </w:pPr>
      <w:r>
        <w:t>4.对本项目实施养护管理所用的一切劳动力、材料设备、肥料、药物和服务由中标人自行组织，由此产生的一切费用由中标人承担。</w:t>
      </w:r>
    </w:p>
    <w:p>
      <w:pPr>
        <w:jc w:val="left"/>
      </w:pPr>
      <w:r>
        <w:t>5.中标人应定期向采购人汇报养护管理计划及有关措施。</w:t>
      </w:r>
    </w:p>
    <w:p>
      <w:pPr>
        <w:jc w:val="left"/>
      </w:pPr>
      <w:r>
        <w:t>6.中标人必须重视安全生产，确保不出安全责任事故。养护期间，养护工人由于操作不规范等造成安全责任事故，由中标人承担一功责任及损失。</w:t>
      </w:r>
    </w:p>
    <w:p>
      <w:pPr>
        <w:jc w:val="left"/>
      </w:pPr>
      <w:r>
        <w:t>（五）植物维保情况</w:t>
      </w:r>
    </w:p>
    <w:p>
      <w:pPr>
        <w:ind w:firstLineChars="200" w:firstLine="632"/>
        <w:jc w:val="left"/>
      </w:pPr>
      <w:r>
        <w:t>绿化养护面积约13000平方米。</w:t>
      </w:r>
    </w:p>
    <w:p>
      <w:pPr>
        <w:jc w:val="left"/>
      </w:pPr>
      <w:r>
        <w:t>二、养护管理规范及要求</w:t>
      </w:r>
    </w:p>
    <w:p>
      <w:pPr>
        <w:jc w:val="left"/>
      </w:pPr>
      <w:r>
        <w:t>（一）养护管理规范</w:t>
      </w:r>
    </w:p>
    <w:p>
      <w:pPr>
        <w:ind w:firstLineChars="200" w:firstLine="632"/>
        <w:jc w:val="left"/>
      </w:pPr>
      <w:r>
        <w:t>乙方应按照大连市二级绿地养护标准，合理组织、精心养护、保质保量完成养护管理任务。</w:t>
      </w:r>
    </w:p>
    <w:p>
      <w:pPr>
        <w:jc w:val="left"/>
      </w:pPr>
      <w:r>
        <w:t>（二）养护管理要求</w:t>
      </w:r>
    </w:p>
    <w:p>
      <w:pPr>
        <w:jc w:val="left"/>
      </w:pPr>
      <w:r>
        <w:t>1.乔木：单株生长旺盛，树形自然，修剪及时，病虫危害程度控制在5%以下，存活率达95%以上。</w:t>
      </w:r>
    </w:p>
    <w:p>
      <w:pPr>
        <w:jc w:val="left"/>
      </w:pPr>
      <w:r>
        <w:t>2.花灌木：生长均匀，符合几何图案要求，冠面无缺损，立面整齐，平面无断档，枯死株及时补植，存活率达95%以上，无明显病虫害，地面清洁。</w:t>
      </w:r>
    </w:p>
    <w:p>
      <w:pPr>
        <w:jc w:val="left"/>
      </w:pPr>
      <w:r>
        <w:t>3.绿篱类：生长均匀，修剪要符合几何图案要求，具有高低起伏的层次感，景观效果较好，冠面无缺损，立面整齐，平面无断档，枯死株及时补植，存活率达95%以上，无明显病虫害，地面清洁。</w:t>
      </w:r>
    </w:p>
    <w:p>
      <w:pPr>
        <w:jc w:val="left"/>
      </w:pPr>
      <w:r>
        <w:t>4.草坪：草坪郁闭度良好，生长整齐，边角规整，修剪及时，高度适宜，无明显色差，墒情较好，坪面基本无杂草（新栽植草坪）、污物，基本无病虫害。</w:t>
      </w:r>
    </w:p>
    <w:p>
      <w:pPr>
        <w:jc w:val="left"/>
      </w:pPr>
      <w:r>
        <w:t>5.地被、草花：生长正常，密度、高度适宜，基本无断垄、缺株现象，基本无杂草。</w:t>
      </w:r>
    </w:p>
    <w:p>
      <w:pPr>
        <w:jc w:val="left"/>
      </w:pPr>
      <w:r>
        <w:t>三、其他要求</w:t>
      </w:r>
    </w:p>
    <w:p>
      <w:pPr>
        <w:jc w:val="left"/>
      </w:pPr>
      <w:r>
        <w:t>1.保密要求：中标人对采购人提供的文字及图片资料未经许可不得泄露给第三方。</w:t>
      </w:r>
    </w:p>
    <w:p>
      <w:pPr>
        <w:jc w:val="left"/>
      </w:pPr>
      <w:r>
        <w:t>2.中标人要明确职责，工作中应加强与采购人联系，认真做好服务保障工作。</w:t>
      </w:r>
    </w:p>
    <w:p>
      <w:pPr>
        <w:jc w:val="left"/>
      </w:pPr>
      <w:r>
        <w:t>3.提供免费技术指导和培训。</w:t>
      </w:r>
    </w:p>
    <w:p>
      <w:pPr>
        <w:jc w:val="left"/>
      </w:pPr>
      <w:r>
        <w:t>4.未尽事宜由采购人和中标人协商解决。</w:t>
      </w:r>
    </w:p>
    <w:p>
      <w:pPr>
        <w:jc w:val="left"/>
      </w:pPr>
      <w:r>
        <w:t>5.履行合同期间内，所有意外事件发生等涉及的责任和事故赔偿由投标人承担。</w:t>
      </w:r>
    </w:p>
    <w:p>
      <w:pPr>
        <w:jc w:val="left"/>
      </w:pPr>
      <w:r>
        <w:t>6.投标人的报价必须包括完成本次招标范围内的全部项目，如有报价中没有明确提出不包括在预算内的项目，将被视为在中标人的报价中已包含。</w:t>
      </w:r>
    </w:p>
    <w:p>
      <w:pPr>
        <w:jc w:val="left"/>
      </w:pPr>
      <w:r>
        <w:t>7.中标人在合同期内未达到采购人要求，给采购人造成工作影响的，采购人有权终止合同。</w:t>
      </w:r>
    </w:p>
    <w:p>
      <w:pPr>
        <w:jc w:val="left"/>
      </w:pPr>
      <w:r>
        <w:t>8.包含一切园林绿化服务、特殊部件、标准备件、专用园林绿化工具使用、肥料、药剂等费用，采购人不再支付额外费用。</w:t>
      </w:r>
    </w:p>
    <w:p>
      <w:pPr>
        <w:jc w:val="left"/>
      </w:pPr>
      <w:r>
        <w:t>四、养护期限</w:t>
      </w:r>
    </w:p>
    <w:p>
      <w:pPr>
        <w:ind w:firstLineChars="200" w:firstLine="632"/>
        <w:jc w:val="left"/>
      </w:pPr>
      <w:r>
        <w:t>自合同签订之日起至2026年12月31日，4/7/10月做集中养护（根据病虫害发生期进行调整），日常进行巡检，对病虫害及植物涨势进行养护服务。</w:t>
      </w:r>
    </w:p>
    <w:p>
      <w:pPr>
        <w:jc w:val="left"/>
      </w:pPr>
      <w:r>
        <w:t>五、付款方式</w:t>
      </w:r>
    </w:p>
    <w:p>
      <w:pPr>
        <w:ind w:firstLineChars="200" w:firstLine="632"/>
        <w:jc w:val="left"/>
      </w:pPr>
      <w:r>
        <w:t>自合同签订之日起，分三次养护，三次绿化服务结束并经采购人验收合格后，采购人一次性支付全部合同价款。</w:t>
      </w:r>
      <w:bookmarkStart w:id="0" w:name="_GoBack"/>
      <w:bookmarkEnd w:id="0"/>
    </w:p>
    <w:p>
      <w:pPr>
        <w:ind w:firstLineChars="200" w:firstLine="632"/>
        <w:jc w:val="left"/>
      </w:pPr>
      <w:r>
        <w:t>注：甲方付款前，乙方应按甲方要求提供等额、真实、合法有效的增值税普通发票，否则甲方有权拒绝付款，由此产生的一切后果由乙方负全责，造成甲方损失的，乙方应负责赔偿。如因乙方提交虚假发票或因该发票存在其他瑕疵而使甲方被税务机关处罚，或受到其他损失的，甲方有权向乙方追偿。</w:t>
      </w:r>
    </w:p>
    <w:p>
      <w:pPr>
        <w:jc w:val="left"/>
      </w:pPr>
    </w:p>
    <w:sectPr>
      <w:pgSz w:w="11907" w:h="16840"/>
      <w:pgMar w:top="2098" w:right="1474" w:bottom="1985" w:left="1588" w:header="1814" w:footer="1474" w:gutter="0"/>
      <w:pgNumType w:start="0"/>
      <w:titlePg/>
      <w:docGrid w:type="linesAndChars" w:linePitch="580" w:charSpace="-841"/>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方正仿宋_GBK">
    <w:altName w:val="Arial Unicode MS"/>
    <w:panose1 w:val="03000509000000000000"/>
    <w:charset w:val="86"/>
    <w:family w:val="script"/>
    <w:pitch w:val="variable"/>
    <w:sig w:usb0="00000001" w:usb1="080E0000" w:usb2="00000000" w:usb3="00000000" w:csb0="00040000" w:csb1="0000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方正仿宋_GBK" w:cs="Times New Roman" w:hAnsi="Times New Roman"/>
      <w:kern w:val="2"/>
      <w:sz w:val="32"/>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7"/>
      </w:tabs>
      <w:snapToGrid w:val="0"/>
      <w:jc w:val="center"/>
    </w:pPr>
    <w:rPr>
      <w:sz w:val="18"/>
    </w:rPr>
  </w:style>
  <w:style w:type="paragraph" w:styleId="16">
    <w:name w:val="footer"/>
    <w:basedOn w:val="0"/>
    <w:pPr>
      <w:tabs>
        <w:tab w:val="center" w:pos="4153"/>
        <w:tab w:val="right" w:pos="8307"/>
      </w:tabs>
      <w:snapToGrid w:val="0"/>
      <w:jc w:val="left"/>
    </w:pPr>
    <w:rPr>
      <w:sz w:val="18"/>
    </w:rPr>
  </w:style>
  <w:style w:type="paragraph" w:customStyle="1" w:styleId="17">
    <w:name w:val="样式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styleId="18">
    <w:name w:val="footnote text"/>
    <w:basedOn w:val="0"/>
    <w:pPr>
      <w:snapToGrid w:val="0"/>
      <w:jc w:val="left"/>
    </w:pPr>
    <w:rPr>
      <w:sz w:val="18"/>
    </w:rPr>
  </w:style>
  <w:style w:type="paragraph" w:customStyle="1" w:styleId="19">
    <w:name w:val="样式 12 三号"/>
    <w:next w:val="18"/>
    <w:pPr>
      <w:widowControl w:val="0"/>
      <w:jc w:val="both"/>
    </w:pPr>
    <w:rPr>
      <w:rFonts w:ascii="Times New Roman" w:eastAsia="方正仿宋_GBK" w:cs="Times New Roman" w:hAnsi="Times New Roman"/>
      <w:kern w:val="2"/>
      <w:sz w:val="32"/>
      <w:lang w:val="en-US" w:eastAsia="zh-CN" w:bidi="ar-SA"/>
    </w:rPr>
  </w:style>
  <w:style w:type="paragraph" w:customStyle="1" w:styleId="20">
    <w:name w:val="样式 1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21">
    <w:name w:val="样式 2 三号"/>
    <w:pPr>
      <w:widowControl w:val="0"/>
      <w:spacing w:line="240" w:lineRule="auto"/>
      <w:jc w:val="both"/>
    </w:pPr>
    <w:rPr>
      <w:rFonts w:ascii="Times New Roman" w:eastAsia="方正仿宋_GBK" w:cs="Times New Roman" w:hAnsi="Times New Roman"/>
      <w:kern w:val="2"/>
      <w:sz w:val="3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120</TotalTime>
  <Application>Yozo_Office</Application>
  <Pages>5</Pages>
  <Words>1883</Words>
  <Characters>1937</Characters>
  <Lines>93</Lines>
  <Paragraphs>49</Paragraphs>
  <CharactersWithSpaces>1937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郑勇</dc:creator>
  <cp:lastModifiedBy>栾莎莎</cp:lastModifiedBy>
  <cp:revision>1</cp:revision>
  <dcterms:created xsi:type="dcterms:W3CDTF">2026-04-03T06:45:37Z</dcterms:created>
  <dcterms:modified xsi:type="dcterms:W3CDTF">2026-04-15T07:46:33Z</dcterms:modified>
</cp:coreProperties>
</file>