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方正黑体_GBK" w:eastAsia="方正黑体_GBK" w:cs="方正黑体_GBK"/>
          <w:b/>
          <w:bCs w:val="0"/>
          <w:i w:val="0"/>
          <w:iCs w:val="0"/>
          <w:caps w:val="0"/>
          <w:smallCaps w:val="0"/>
          <w:color w:val="000000"/>
          <w:spacing w:val="0"/>
          <w:sz w:val="36"/>
          <w:szCs w:val="36"/>
          <w:shd w:val="clear" w:color="auto" w:fill="FFFFFF"/>
        </w:rPr>
      </w:pPr>
      <w:r>
        <w:rPr>
          <w:rFonts w:ascii="方正黑体_GBK" w:eastAsia="方正黑体_GBK" w:cs="方正黑体_GBK" w:hint="eastAsia"/>
          <w:b/>
          <w:bCs w:val="0"/>
          <w:i w:val="0"/>
          <w:iCs w:val="0"/>
          <w:caps w:val="0"/>
          <w:smallCaps w:val="0"/>
          <w:color w:val="000000"/>
          <w:spacing w:val="0"/>
          <w:sz w:val="36"/>
          <w:szCs w:val="36"/>
          <w:shd w:val="clear" w:color="auto" w:fill="FFFFFF"/>
        </w:rPr>
        <w:t>大连海关主机房不间断电源配件更换及维修服务</w:t>
      </w:r>
    </w:p>
    <w:p>
      <w:pPr>
        <w:jc w:val="center"/>
        <w:rPr>
          <w:rFonts w:ascii="方正黑体_GBK" w:eastAsia="方正黑体_GBK" w:cs="方正黑体_GBK" w:hint="eastAsia"/>
          <w:b/>
          <w:color w:val="000000"/>
          <w:sz w:val="36"/>
          <w:szCs w:val="36"/>
          <w:shd w:val="clear" w:color="auto" w:fill="FFFFFF"/>
        </w:rPr>
      </w:pPr>
      <w:r>
        <w:rPr>
          <w:rFonts w:ascii="方正黑体_GBK" w:eastAsia="方正黑体_GBK" w:cs="方正黑体_GBK" w:hint="eastAsia"/>
          <w:b/>
          <w:bCs w:val="0"/>
          <w:i w:val="0"/>
          <w:iCs w:val="0"/>
          <w:caps w:val="0"/>
          <w:smallCaps w:val="0"/>
          <w:color w:val="000000"/>
          <w:spacing w:val="0"/>
          <w:sz w:val="36"/>
          <w:szCs w:val="36"/>
          <w:shd w:val="clear" w:color="auto" w:fill="FFFFFF"/>
        </w:rPr>
        <w:t>采购需求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一、背景说明</w:t>
      </w:r>
    </w:p>
    <w:p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大连海关主机房使用4台施耐德UPS，配电方式为2（N+1）双母线形式。目前，其中一台Galaxy VM200KVA</w:t>
      </w:r>
      <w:r>
        <w:rPr>
          <w:rFonts w:ascii="Segoe UI" w:cs="Segoe UI" w:hAnsi="Segoe UI"/>
          <w:color w:val="374151"/>
          <w:sz w:val="24"/>
          <w:szCs w:val="24"/>
          <w:shd w:val="clear" w:color="auto" w:fill="FFFFFF"/>
        </w:rPr>
        <w:t>因硬件</w:t>
      </w:r>
      <w:r>
        <w:rPr>
          <w:rFonts w:hint="eastAsia"/>
          <w:sz w:val="24"/>
          <w:szCs w:val="24"/>
        </w:rPr>
        <w:t>故障停机，初步</w:t>
      </w:r>
      <w:r>
        <w:rPr>
          <w:sz w:val="24"/>
          <w:szCs w:val="24"/>
        </w:rPr>
        <w:t>诊断故障原因为</w:t>
      </w:r>
      <w:r>
        <w:rPr>
          <w:rFonts w:hint="eastAsia"/>
          <w:sz w:val="24"/>
          <w:szCs w:val="24"/>
        </w:rPr>
        <w:t>功率模块</w:t>
      </w:r>
      <w:r>
        <w:rPr>
          <w:sz w:val="24"/>
          <w:szCs w:val="24"/>
        </w:rPr>
        <w:t>及电源板</w:t>
      </w:r>
      <w:r>
        <w:rPr>
          <w:rFonts w:hint="eastAsia"/>
          <w:sz w:val="24"/>
          <w:szCs w:val="24"/>
        </w:rPr>
        <w:t>故障</w:t>
      </w:r>
      <w:r>
        <w:rPr>
          <w:sz w:val="24"/>
          <w:szCs w:val="24"/>
        </w:rPr>
        <w:t>，需紧急维修、更换配件以确保机房电力系统高可用性，避免单母线运行风险。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二、采购内容</w:t>
      </w:r>
    </w:p>
    <w:p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1、故障诊断：详细检测诊断，确定故障原因及解决方案。</w:t>
      </w:r>
    </w:p>
    <w:p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2、</w:t>
      </w:r>
      <w:r>
        <w:rPr>
          <w:rFonts w:hint="eastAsia"/>
          <w:sz w:val="24"/>
          <w:szCs w:val="24"/>
        </w:rPr>
        <w:t>硬件</w:t>
      </w:r>
      <w:r>
        <w:rPr>
          <w:sz w:val="24"/>
          <w:szCs w:val="24"/>
        </w:rPr>
        <w:t>配件更换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移除故障配件，安装全新配件。其中：</w:t>
      </w:r>
    </w:p>
    <w:p>
      <w:pPr>
        <w:spacing w:line="360" w:lineRule="auto"/>
        <w:ind w:firstLineChars="200" w:firstLine="480"/>
        <w:rPr>
          <w:sz w:val="24"/>
          <w:szCs w:val="24"/>
        </w:rPr>
      </w:pPr>
      <w:r>
        <w:rPr>
          <w:b/>
          <w:bCs/>
          <w:sz w:val="24"/>
          <w:szCs w:val="24"/>
        </w:rPr>
        <w:t>功率模块x1</w:t>
      </w:r>
      <w:r>
        <w:rPr>
          <w:sz w:val="24"/>
          <w:szCs w:val="24"/>
        </w:rPr>
        <w:t>：</w:t>
      </w:r>
      <w:r>
        <w:rPr>
          <w:rFonts w:hint="eastAsia"/>
          <w:sz w:val="24"/>
          <w:szCs w:val="24"/>
        </w:rPr>
        <w:t>容量27Kva</w:t>
      </w:r>
      <w:r>
        <w:rPr>
          <w:sz w:val="24"/>
          <w:szCs w:val="24"/>
        </w:rPr>
        <w:t>；</w:t>
      </w:r>
      <w:r>
        <w:rPr>
          <w:rFonts w:hint="eastAsia"/>
          <w:sz w:val="24"/>
          <w:szCs w:val="24"/>
        </w:rPr>
        <w:t>输入电压范围250–600V</w:t>
      </w:r>
      <w:r>
        <w:rPr>
          <w:sz w:val="24"/>
          <w:szCs w:val="24"/>
        </w:rPr>
        <w:t>；</w:t>
      </w:r>
      <w:r>
        <w:rPr>
          <w:rFonts w:hint="eastAsia"/>
          <w:sz w:val="24"/>
          <w:szCs w:val="24"/>
        </w:rPr>
        <w:t>频率40–70Hz</w:t>
      </w:r>
      <w:r>
        <w:rPr>
          <w:sz w:val="24"/>
          <w:szCs w:val="24"/>
        </w:rPr>
        <w:t>；</w:t>
      </w:r>
      <w:r>
        <w:rPr>
          <w:rFonts w:hint="eastAsia"/>
          <w:sz w:val="24"/>
          <w:szCs w:val="24"/>
        </w:rPr>
        <w:t>输入功率因数0.99</w:t>
      </w:r>
      <w:r>
        <w:rPr>
          <w:sz w:val="24"/>
          <w:szCs w:val="24"/>
        </w:rPr>
        <w:t>；</w:t>
      </w:r>
      <w:r>
        <w:rPr>
          <w:rFonts w:hint="eastAsia"/>
          <w:sz w:val="24"/>
          <w:szCs w:val="24"/>
        </w:rPr>
        <w:t>输入电流谐波失真度THDI &lt; 3%</w:t>
      </w:r>
      <w:r>
        <w:rPr>
          <w:sz w:val="24"/>
          <w:szCs w:val="24"/>
        </w:rPr>
        <w:t>；</w:t>
      </w:r>
      <w:r>
        <w:rPr>
          <w:rFonts w:hint="eastAsia"/>
          <w:sz w:val="24"/>
          <w:szCs w:val="24"/>
        </w:rPr>
        <w:t>频率50或60Hz</w:t>
      </w:r>
      <w:r>
        <w:rPr>
          <w:sz w:val="24"/>
          <w:szCs w:val="24"/>
        </w:rPr>
        <w:t>；</w:t>
      </w:r>
      <w:r>
        <w:rPr>
          <w:rFonts w:hint="eastAsia"/>
          <w:sz w:val="24"/>
          <w:szCs w:val="24"/>
        </w:rPr>
        <w:t>输出线电压380</w:t>
      </w:r>
      <w:r>
        <w:rPr>
          <w:sz w:val="24"/>
          <w:szCs w:val="24"/>
        </w:rPr>
        <w:t>\</w:t>
      </w:r>
      <w:r>
        <w:rPr>
          <w:rFonts w:hint="eastAsia"/>
          <w:sz w:val="24"/>
          <w:szCs w:val="24"/>
        </w:rPr>
        <w:t>400</w:t>
      </w:r>
      <w:r>
        <w:rPr>
          <w:sz w:val="24"/>
          <w:szCs w:val="24"/>
        </w:rPr>
        <w:t>\</w:t>
      </w:r>
      <w:r>
        <w:rPr>
          <w:rFonts w:hint="eastAsia"/>
          <w:sz w:val="24"/>
          <w:szCs w:val="24"/>
        </w:rPr>
        <w:t>415V</w:t>
      </w:r>
      <w:r>
        <w:rPr>
          <w:sz w:val="24"/>
          <w:szCs w:val="24"/>
        </w:rPr>
        <w:t>；</w:t>
      </w:r>
      <w:r>
        <w:rPr>
          <w:rFonts w:hint="eastAsia"/>
          <w:sz w:val="24"/>
          <w:szCs w:val="24"/>
        </w:rPr>
        <w:t>输出功率因数0.9</w:t>
      </w:r>
      <w:r>
        <w:rPr>
          <w:sz w:val="24"/>
          <w:szCs w:val="24"/>
        </w:rPr>
        <w:t>；</w:t>
      </w:r>
      <w:r>
        <w:rPr>
          <w:rFonts w:hint="eastAsia"/>
          <w:sz w:val="24"/>
          <w:szCs w:val="24"/>
        </w:rPr>
        <w:t>频率精度50/60Hz±0.1%</w:t>
      </w:r>
      <w:r>
        <w:rPr>
          <w:sz w:val="24"/>
          <w:szCs w:val="24"/>
        </w:rPr>
        <w:t>；</w:t>
      </w:r>
      <w:r>
        <w:rPr>
          <w:rFonts w:hint="eastAsia"/>
          <w:sz w:val="24"/>
          <w:szCs w:val="24"/>
        </w:rPr>
        <w:t>电压精度±1%</w:t>
      </w:r>
    </w:p>
    <w:p>
      <w:pPr>
        <w:spacing w:line="360" w:lineRule="auto"/>
        <w:ind w:firstLineChars="200" w:firstLine="48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电源板</w:t>
      </w:r>
      <w:r>
        <w:rPr>
          <w:b/>
          <w:bCs/>
          <w:sz w:val="24"/>
          <w:szCs w:val="24"/>
        </w:rPr>
        <w:t>x2:</w:t>
      </w:r>
      <w:r>
        <w:rPr>
          <w:rFonts w:hint="eastAsia"/>
          <w:sz w:val="24"/>
          <w:szCs w:val="24"/>
        </w:rPr>
        <w:t>输入源</w:t>
      </w:r>
      <w:r>
        <w:rPr>
          <w:sz w:val="24"/>
          <w:szCs w:val="24"/>
        </w:rPr>
        <w:t>为</w:t>
      </w:r>
      <w:r>
        <w:rPr>
          <w:rFonts w:hint="eastAsia"/>
          <w:sz w:val="24"/>
          <w:szCs w:val="24"/>
        </w:rPr>
        <w:t>UPS 内部 DC 总线（约480V）或旁路 AC</w:t>
      </w:r>
      <w:r>
        <w:rPr>
          <w:sz w:val="24"/>
          <w:szCs w:val="24"/>
        </w:rPr>
        <w:t>；</w:t>
      </w:r>
      <w:r>
        <w:rPr>
          <w:rFonts w:hint="eastAsia"/>
          <w:sz w:val="24"/>
          <w:szCs w:val="24"/>
        </w:rPr>
        <w:t>输出电压</w:t>
      </w:r>
      <w:r>
        <w:rPr>
          <w:sz w:val="24"/>
          <w:szCs w:val="24"/>
        </w:rPr>
        <w:t>为</w:t>
      </w:r>
      <w:r>
        <w:rPr>
          <w:rFonts w:hint="eastAsia"/>
          <w:sz w:val="24"/>
          <w:szCs w:val="24"/>
        </w:rPr>
        <w:t>多路低压直流（如±12V、+24V、+5V）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用于逻辑电路和继电器</w:t>
      </w:r>
      <w:r>
        <w:rPr>
          <w:sz w:val="24"/>
          <w:szCs w:val="24"/>
        </w:rPr>
        <w:t>；</w:t>
      </w:r>
      <w:r>
        <w:rPr>
          <w:rFonts w:hint="eastAsia"/>
          <w:sz w:val="24"/>
          <w:szCs w:val="24"/>
        </w:rPr>
        <w:t>额定功率</w:t>
      </w:r>
      <w:r>
        <w:rPr>
          <w:sz w:val="24"/>
          <w:szCs w:val="24"/>
        </w:rPr>
        <w:t>在</w:t>
      </w:r>
      <w:r>
        <w:rPr>
          <w:rFonts w:hint="eastAsia"/>
          <w:sz w:val="24"/>
          <w:szCs w:val="24"/>
        </w:rPr>
        <w:t>200–500W范围内</w:t>
      </w:r>
      <w:r>
        <w:rPr>
          <w:sz w:val="24"/>
          <w:szCs w:val="24"/>
        </w:rPr>
        <w:t>。</w:t>
      </w:r>
    </w:p>
    <w:p>
      <w:pPr>
        <w:pStyle w:val="19"/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3、测试验证：配件更换完毕后，对</w:t>
      </w:r>
      <w:r>
        <w:rPr>
          <w:rFonts w:hint="eastAsia"/>
          <w:sz w:val="24"/>
          <w:szCs w:val="24"/>
        </w:rPr>
        <w:t>UPS进行</w:t>
      </w:r>
      <w:r>
        <w:rPr>
          <w:sz w:val="24"/>
          <w:szCs w:val="24"/>
        </w:rPr>
        <w:t>断电切换测试，确保</w:t>
      </w:r>
      <w:r>
        <w:rPr>
          <w:rFonts w:hint="eastAsia"/>
          <w:sz w:val="24"/>
          <w:szCs w:val="24"/>
        </w:rPr>
        <w:t>UPS</w:t>
      </w:r>
      <w:r>
        <w:rPr>
          <w:sz w:val="24"/>
          <w:szCs w:val="24"/>
        </w:rPr>
        <w:t>供电正常，设备兼容性与性能达标。</w:t>
      </w:r>
    </w:p>
    <w:p>
      <w:pPr>
        <w:spacing w:line="360" w:lineRule="auto"/>
        <w:rPr>
          <w:color w:val="FF0000"/>
          <w:sz w:val="24"/>
          <w:szCs w:val="24"/>
        </w:rPr>
      </w:pPr>
      <w:r>
        <w:rPr>
          <w:rFonts w:hint="eastAsia"/>
          <w:sz w:val="24"/>
          <w:szCs w:val="24"/>
        </w:rPr>
        <w:t>三、项目预算：6万元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四、资质要求：</w:t>
      </w:r>
    </w:p>
    <w:p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1. 提供UPS厂家原厂服务证明</w:t>
      </w:r>
      <w:r>
        <w:rPr>
          <w:sz w:val="24"/>
          <w:szCs w:val="24"/>
        </w:rPr>
        <w:t>（随报价提供）</w:t>
      </w:r>
      <w:r>
        <w:rPr>
          <w:rFonts w:hint="eastAsia"/>
          <w:sz w:val="24"/>
          <w:szCs w:val="24"/>
        </w:rPr>
        <w:t>，使用原厂</w:t>
      </w:r>
      <w:r>
        <w:rPr>
          <w:sz w:val="24"/>
          <w:szCs w:val="24"/>
        </w:rPr>
        <w:t>配件</w:t>
      </w:r>
      <w:r>
        <w:rPr>
          <w:rFonts w:hint="eastAsia"/>
          <w:sz w:val="24"/>
          <w:szCs w:val="24"/>
        </w:rPr>
        <w:t>维修。</w:t>
      </w:r>
    </w:p>
    <w:p>
      <w:pPr>
        <w:spacing w:line="360" w:lineRule="auto"/>
        <w:ind w:firstLineChars="200" w:firstLine="480"/>
        <w:rPr>
          <w:rFonts w:ascii="宋体" w:eastAsia="宋体" w:cs="宋体"/>
          <w:color w:val="333333"/>
          <w:kern w:val="0"/>
          <w:sz w:val="24"/>
          <w:szCs w:val="24"/>
        </w:rPr>
      </w:pPr>
      <w:r>
        <w:rPr>
          <w:sz w:val="24"/>
          <w:szCs w:val="24"/>
        </w:rPr>
        <w:t>2</w:t>
      </w:r>
      <w:bookmarkStart w:id="0" w:name="_GoBack"/>
      <w:bookmarkEnd w:id="0"/>
      <w:r>
        <w:rPr>
          <w:rFonts w:hint="eastAsia"/>
          <w:sz w:val="24"/>
          <w:szCs w:val="24"/>
        </w:rPr>
        <w:t>. 工程师应具</w:t>
      </w:r>
      <w:r>
        <w:rPr>
          <w:rFonts w:ascii="宋体" w:eastAsia="宋体" w:cs="宋体" w:hint="eastAsia"/>
          <w:color w:val="333333"/>
          <w:kern w:val="0"/>
          <w:sz w:val="24"/>
          <w:szCs w:val="24"/>
        </w:rPr>
        <w:t>有低压电工作业特种作业人员证</w:t>
      </w:r>
      <w:r>
        <w:rPr>
          <w:rFonts w:ascii="宋体" w:eastAsia="宋体" w:cs="宋体"/>
          <w:color w:val="333333"/>
          <w:kern w:val="0"/>
          <w:sz w:val="24"/>
          <w:szCs w:val="24"/>
        </w:rPr>
        <w:t>（进场时检查），作业时遵守大连海关主机房管理规定，并做好防静电等必要的防护措施</w:t>
      </w:r>
      <w:r>
        <w:rPr>
          <w:rFonts w:ascii="宋体" w:eastAsia="宋体" w:cs="宋体" w:hint="eastAsia"/>
          <w:color w:val="333333"/>
          <w:kern w:val="0"/>
          <w:sz w:val="24"/>
          <w:szCs w:val="24"/>
        </w:rPr>
        <w:t>。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五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服务</w:t>
      </w:r>
      <w:r>
        <w:rPr>
          <w:rFonts w:hint="eastAsia"/>
          <w:sz w:val="24"/>
          <w:szCs w:val="24"/>
        </w:rPr>
        <w:t>时间</w:t>
      </w:r>
    </w:p>
    <w:p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合同签订后3周内</w:t>
      </w:r>
      <w:r>
        <w:rPr>
          <w:sz w:val="24"/>
          <w:szCs w:val="24"/>
        </w:rPr>
        <w:t>完成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六</w:t>
      </w:r>
      <w:r>
        <w:rPr>
          <w:rFonts w:hint="eastAsia"/>
          <w:sz w:val="24"/>
          <w:szCs w:val="24"/>
        </w:rPr>
        <w:t>、保修</w:t>
      </w:r>
    </w:p>
    <w:p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更换</w:t>
      </w:r>
      <w:r>
        <w:rPr>
          <w:sz w:val="24"/>
          <w:szCs w:val="24"/>
        </w:rPr>
        <w:t>配</w:t>
      </w:r>
      <w:r>
        <w:rPr>
          <w:rFonts w:hint="eastAsia"/>
          <w:sz w:val="24"/>
          <w:szCs w:val="24"/>
        </w:rPr>
        <w:t>件调试合格后，保修六个月。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Segoe UI">
    <w:altName w:val="DejaVu Sans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altName w:val="Times New Roman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7">
    <w:name w:val="样式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8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242</TotalTime>
  <Application>Yozo_Office</Application>
  <Pages>1</Pages>
  <Words>521</Words>
  <Characters>621</Characters>
  <Lines>27</Lines>
  <Paragraphs>18</Paragraphs>
  <CharactersWithSpaces>630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ha'ha</dc:creator>
  <cp:lastModifiedBy>郁风</cp:lastModifiedBy>
  <cp:revision>15</cp:revision>
  <dcterms:created xsi:type="dcterms:W3CDTF">2025-05-21T12:22:00Z</dcterms:created>
  <dcterms:modified xsi:type="dcterms:W3CDTF">2026-04-22T01:30:43Z</dcterms:modified>
</cp:coreProperties>
</file>