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jc w:val="center"/>
        <w:rPr>
          <w:rFonts w:ascii="方正小标宋_GBK" w:eastAsia="方正小标宋_GBK" w:cs="方正小标宋_GBK"/>
          <w:sz w:val="44"/>
          <w:szCs w:val="44"/>
        </w:rPr>
      </w:pPr>
      <w:r>
        <w:rPr>
          <w:rFonts w:ascii="方正小标宋_GBK" w:eastAsia="方正小标宋_GBK" w:cs="方正小标宋_GBK" w:hint="eastAsia"/>
          <w:sz w:val="44"/>
          <w:szCs w:val="44"/>
        </w:rPr>
        <w:t>大连海关主机房线缆维护服务</w:t>
      </w:r>
      <w:r>
        <w:rPr>
          <w:rFonts w:ascii="方正小标宋_GBK" w:eastAsia="方正小标宋_GBK" w:cs="方正小标宋_GBK"/>
          <w:sz w:val="44"/>
          <w:szCs w:val="44"/>
        </w:rPr>
        <w:t>采购需求</w:t>
      </w:r>
      <w:bookmarkStart w:id="0" w:name="_GoBack"/>
      <w:bookmarkEnd w:id="0"/>
    </w:p>
    <w:p>
      <w:pPr>
        <w:pStyle w:val="16"/>
        <w:ind w:firstLineChars="200" w:firstLine="624"/>
      </w:pPr>
      <w:r>
        <w:rPr>
          <w:rFonts w:ascii="方正黑体_GBK" w:eastAsia="方正黑体_GBK" w:cs="方正黑体_GBK" w:hint="eastAsia"/>
          <w:color w:val="000000"/>
        </w:rPr>
        <w:t>一、</w:t>
      </w:r>
      <w:r>
        <w:rPr>
          <w:rFonts w:ascii="方正黑体_GBK" w:eastAsia="方正黑体_GBK" w:cs="方正黑体_GBK"/>
          <w:color w:val="000000"/>
        </w:rPr>
        <w:t>背景说明</w:t>
      </w:r>
    </w:p>
    <w:p>
      <w:pPr>
        <w:pStyle w:val="16"/>
        <w:ind w:firstLineChars="200" w:firstLine="624"/>
      </w:pPr>
      <w:r>
        <w:t>大连海关金马路办公楼计算机主机房2011年投入使用至今，各列头机柜内配线架跳线与交换机及下属机柜网络跳线因使用年限较长、插拔更改较多，已存在线路标签模糊不清、路由关系混乱等问题，影响主机房整体运维效率，并带来潜在的网络故障风险，对机房承载的信息系统安稳定运行构成隐患。</w:t>
      </w:r>
    </w:p>
    <w:p>
      <w:pPr>
        <w:pStyle w:val="16"/>
        <w:ind w:firstLineChars="200" w:firstLine="624"/>
        <w:rPr>
          <w:rFonts w:ascii="方正黑体_GBK" w:eastAsia="方正黑体_GBK" w:cs="方正黑体_GBK"/>
          <w:color w:val="000000"/>
        </w:rPr>
      </w:pPr>
      <w:r>
        <w:rPr>
          <w:rFonts w:ascii="方正黑体_GBK" w:eastAsia="方正黑体_GBK" w:cs="方正黑体_GBK"/>
          <w:color w:val="000000"/>
        </w:rPr>
        <w:t>二</w:t>
      </w:r>
      <w:r>
        <w:rPr>
          <w:rFonts w:ascii="方正黑体_GBK" w:eastAsia="方正黑体_GBK" w:cs="方正黑体_GBK" w:hint="eastAsia"/>
          <w:color w:val="000000"/>
        </w:rPr>
        <w:t>、</w:t>
      </w:r>
      <w:r>
        <w:rPr>
          <w:rFonts w:ascii="方正黑体_GBK" w:eastAsia="方正黑体_GBK" w:cs="方正黑体_GBK"/>
          <w:color w:val="000000"/>
        </w:rPr>
        <w:t>工作目标</w:t>
      </w:r>
    </w:p>
    <w:p>
      <w:pPr>
        <w:pStyle w:val="16"/>
        <w:ind w:firstLineChars="200" w:firstLine="624"/>
      </w:pPr>
      <w:r>
        <w:t>1.全面清理机房列头柜及下属机柜内冗余、废弃线缆，优化线缆布局，实现线缆排列整齐、规范有序。</w:t>
      </w:r>
    </w:p>
    <w:p>
      <w:pPr>
        <w:pStyle w:val="16"/>
        <w:ind w:firstLineChars="200" w:firstLine="624"/>
      </w:pPr>
      <w:r>
        <w:t>2.明确列头柜内交换机与配线架、下属机柜服务器端口与列头柜交换机端口之间的逻辑关联，确保路由关系清晰可追溯。</w:t>
      </w:r>
    </w:p>
    <w:p>
      <w:pPr>
        <w:pStyle w:val="16"/>
        <w:ind w:firstLineChars="200" w:firstLine="624"/>
      </w:pPr>
      <w:r>
        <w:t>3.更换老化、性能不达标的网络跳线，更新全部线缆标签，提升线缆辨识度和运维便捷性。</w:t>
      </w:r>
    </w:p>
    <w:p>
      <w:pPr>
        <w:pStyle w:val="16"/>
        <w:ind w:firstLineChars="200" w:firstLine="624"/>
      </w:pPr>
      <w:r>
        <w:t>4.基于优化线缆布局后的机柜环境，为下一步新增服务器上架及虚拟化平台迁移做好充分准备。</w:t>
      </w:r>
    </w:p>
    <w:p>
      <w:pPr>
        <w:pStyle w:val="20"/>
        <w:ind w:firstLineChars="200" w:firstLine="624"/>
        <w:rPr>
          <w:rFonts w:ascii="方正黑体_GBK" w:eastAsia="方正黑体_GBK" w:cs="方正黑体_GBK"/>
          <w:color w:val="000000"/>
        </w:rPr>
      </w:pPr>
      <w:r>
        <w:rPr>
          <w:rFonts w:ascii="方正黑体_GBK" w:eastAsia="方正黑体_GBK" w:cs="方正黑体_GBK"/>
          <w:color w:val="000000"/>
        </w:rPr>
        <w:t>三</w:t>
      </w:r>
      <w:r>
        <w:rPr>
          <w:rFonts w:ascii="方正黑体_GBK" w:eastAsia="方正黑体_GBK" w:cs="方正黑体_GBK" w:hint="eastAsia"/>
          <w:color w:val="000000"/>
        </w:rPr>
        <w:t>、</w:t>
      </w:r>
      <w:r>
        <w:rPr>
          <w:rFonts w:ascii="方正黑体_GBK" w:eastAsia="方正黑体_GBK" w:cs="方正黑体_GBK"/>
          <w:color w:val="000000"/>
        </w:rPr>
        <w:t>实施步骤</w:t>
      </w:r>
    </w:p>
    <w:p>
      <w:pPr>
        <w:pStyle w:val="17"/>
        <w:ind w:firstLineChars="200" w:firstLine="624"/>
        <w:rPr>
          <w:rFonts w:ascii="方正楷体_GBK" w:eastAsia="方正楷体_GBK" w:cs="方正楷体_GBK"/>
          <w:b/>
          <w:bCs/>
        </w:rPr>
      </w:pPr>
      <w:r>
        <w:rPr>
          <w:rFonts w:ascii="方正楷体_GBK" w:eastAsia="方正楷体_GBK" w:cs="方正楷体_GBK" w:hint="eastAsia"/>
          <w:b/>
          <w:bCs/>
        </w:rPr>
        <w:t>（一）前期准备阶段</w:t>
      </w:r>
    </w:p>
    <w:p>
      <w:pPr>
        <w:pStyle w:val="17"/>
        <w:ind w:firstLineChars="200" w:firstLine="624"/>
      </w:pPr>
      <w:r>
        <w:rPr>
          <w:rFonts w:hint="eastAsia"/>
        </w:rPr>
        <w:t>1</w:t>
      </w:r>
      <w:r>
        <w:t>.</w:t>
      </w:r>
      <w:r>
        <w:rPr>
          <w:rFonts w:hint="eastAsia"/>
        </w:rPr>
        <w:t>对 8 个列头柜</w:t>
      </w:r>
      <w:r>
        <w:t>（</w:t>
      </w:r>
      <w:r>
        <w:rPr>
          <w:rFonts w:hint="eastAsia"/>
        </w:rPr>
        <w:t>R1-R8</w:t>
      </w:r>
      <w:r>
        <w:t>）</w:t>
      </w:r>
      <w:r>
        <w:rPr>
          <w:rFonts w:hint="eastAsia"/>
        </w:rPr>
        <w:t>及对应下属机柜进行全面勘查，核对 63 个 24 口配线架</w:t>
      </w:r>
      <w:r>
        <w:t>（</w:t>
      </w:r>
      <w:r>
        <w:rPr>
          <w:rFonts w:hint="eastAsia"/>
        </w:rPr>
        <w:t>合计1512</w:t>
      </w:r>
      <w:r>
        <w:t>个</w:t>
      </w:r>
      <w:r>
        <w:rPr>
          <w:rFonts w:hint="eastAsia"/>
        </w:rPr>
        <w:t>端口</w:t>
      </w:r>
      <w:r>
        <w:t>）</w:t>
      </w:r>
      <w:r>
        <w:rPr>
          <w:rFonts w:hint="eastAsia"/>
        </w:rPr>
        <w:t>与对端服务器机柜1512</w:t>
      </w:r>
      <w:r>
        <w:t>个</w:t>
      </w:r>
      <w:r>
        <w:rPr>
          <w:rFonts w:hint="eastAsia"/>
        </w:rPr>
        <w:t>端口的连接现状</w:t>
      </w:r>
      <w:r>
        <w:t>，</w:t>
      </w:r>
      <w:r>
        <w:rPr>
          <w:rFonts w:hint="eastAsia"/>
        </w:rPr>
        <w:t>确认当前线缆使用情况、路由走向及存在的问题</w:t>
      </w:r>
      <w:r>
        <w:t>，</w:t>
      </w:r>
      <w:r>
        <w:rPr>
          <w:rFonts w:hint="eastAsia"/>
        </w:rPr>
        <w:t>形成详细勘查报告。</w:t>
      </w:r>
    </w:p>
    <w:p>
      <w:pPr>
        <w:pStyle w:val="17"/>
        <w:ind w:firstLineChars="200" w:firstLine="624"/>
      </w:pPr>
      <w:r>
        <w:rPr>
          <w:rFonts w:hint="eastAsia"/>
        </w:rPr>
        <w:t>2</w:t>
      </w:r>
      <w:r>
        <w:t>.</w:t>
      </w:r>
      <w:r>
        <w:rPr>
          <w:rFonts w:hint="eastAsia"/>
        </w:rPr>
        <w:t>依据勘查结果，制定详细计划</w:t>
      </w:r>
      <w:r>
        <w:t>，</w:t>
      </w:r>
      <w:r>
        <w:rPr>
          <w:rFonts w:hint="eastAsia"/>
        </w:rPr>
        <w:t>明确工作分工、</w:t>
      </w:r>
      <w:r>
        <w:t>服务器机柜和线缆调整</w:t>
      </w:r>
      <w:r>
        <w:rPr>
          <w:rFonts w:hint="eastAsia"/>
        </w:rPr>
        <w:t>顺序、关键节点及安全注意事项。同时，准备充足的</w:t>
      </w:r>
      <w:r>
        <w:t>线缆耗材，</w:t>
      </w:r>
      <w:r>
        <w:rPr>
          <w:rFonts w:hint="eastAsia"/>
        </w:rPr>
        <w:t>包括6类非屏蔽超细网络跳线、</w:t>
      </w:r>
      <w:r>
        <w:t>光纤</w:t>
      </w:r>
      <w:r>
        <w:rPr>
          <w:rFonts w:hint="eastAsia"/>
        </w:rPr>
        <w:t>跳线</w:t>
      </w:r>
      <w:r>
        <w:t>，</w:t>
      </w:r>
      <w:r>
        <w:rPr>
          <w:rFonts w:hint="eastAsia"/>
        </w:rPr>
        <w:t>以及旗帜型标签、色带、扎带等辅材</w:t>
      </w:r>
      <w:r>
        <w:t>，</w:t>
      </w:r>
      <w:r>
        <w:rPr>
          <w:rFonts w:hint="eastAsia"/>
        </w:rPr>
        <w:t>确保材料质量符合行业标准及项目要求。</w:t>
      </w:r>
    </w:p>
    <w:p>
      <w:pPr>
        <w:pStyle w:val="17"/>
        <w:ind w:firstLineChars="200" w:firstLine="624"/>
      </w:pPr>
      <w:r>
        <w:rPr>
          <w:rFonts w:hint="eastAsia"/>
        </w:rPr>
        <w:t>3</w:t>
      </w:r>
      <w:r>
        <w:t>.</w:t>
      </w:r>
      <w:r>
        <w:rPr>
          <w:rFonts w:hint="eastAsia"/>
        </w:rPr>
        <w:t>组织</w:t>
      </w:r>
      <w:r>
        <w:t>供应商服务</w:t>
      </w:r>
      <w:r>
        <w:rPr>
          <w:rFonts w:hint="eastAsia"/>
        </w:rPr>
        <w:t>人员进行岗前培训，重点讲解</w:t>
      </w:r>
      <w:r>
        <w:t>工作</w:t>
      </w:r>
      <w:r>
        <w:rPr>
          <w:rFonts w:hint="eastAsia"/>
        </w:rPr>
        <w:t>流程、难点应对方案、安全操作规范及海关机房相关管理规定</w:t>
      </w:r>
      <w:r>
        <w:t>，</w:t>
      </w:r>
      <w:r>
        <w:rPr>
          <w:rFonts w:hint="eastAsia"/>
        </w:rPr>
        <w:t>确保</w:t>
      </w:r>
      <w:r>
        <w:t>服务</w:t>
      </w:r>
      <w:r>
        <w:rPr>
          <w:rFonts w:hint="eastAsia"/>
        </w:rPr>
        <w:t>人员熟悉工作内容</w:t>
      </w:r>
      <w:r>
        <w:t>，</w:t>
      </w:r>
      <w:r>
        <w:rPr>
          <w:rFonts w:hint="eastAsia"/>
        </w:rPr>
        <w:t>具备相应的操作技能和安全意识。</w:t>
      </w:r>
    </w:p>
    <w:p>
      <w:pPr>
        <w:pStyle w:val="17"/>
        <w:ind w:firstLineChars="200" w:firstLine="624"/>
      </w:pPr>
      <w:r>
        <w:rPr>
          <w:rFonts w:hint="eastAsia"/>
        </w:rPr>
        <w:t>4</w:t>
      </w:r>
      <w:r>
        <w:t>.</w:t>
      </w:r>
      <w:r>
        <w:rPr>
          <w:rFonts w:hint="eastAsia"/>
        </w:rPr>
        <w:t>提前与</w:t>
      </w:r>
      <w:r>
        <w:t>业务部门</w:t>
      </w:r>
      <w:r>
        <w:rPr>
          <w:rFonts w:hint="eastAsia"/>
        </w:rPr>
        <w:t>及</w:t>
      </w:r>
      <w:r>
        <w:t>相关信息系统开发运维单位</w:t>
      </w:r>
      <w:r>
        <w:rPr>
          <w:rFonts w:hint="eastAsia"/>
        </w:rPr>
        <w:t>沟通协调</w:t>
      </w:r>
      <w:r>
        <w:t>，确定</w:t>
      </w:r>
      <w:r>
        <w:rPr>
          <w:rFonts w:hint="eastAsia"/>
        </w:rPr>
        <w:t>业务中断时间窗口、应急处理流程及人员配合要求，避免</w:t>
      </w:r>
      <w:r>
        <w:t>线缆维护</w:t>
      </w:r>
      <w:r>
        <w:rPr>
          <w:rFonts w:hint="eastAsia"/>
        </w:rPr>
        <w:t>对正常业务造成不必要的影响。</w:t>
      </w:r>
    </w:p>
    <w:p>
      <w:pPr>
        <w:pStyle w:val="17"/>
        <w:ind w:firstLineChars="200" w:firstLine="624"/>
        <w:rPr>
          <w:rFonts w:ascii="方正楷体_GBK" w:eastAsia="方正楷体_GBK" w:cs="方正楷体_GBK"/>
          <w:b/>
          <w:bCs/>
        </w:rPr>
      </w:pPr>
      <w:r>
        <w:rPr>
          <w:rFonts w:ascii="方正楷体_GBK" w:eastAsia="方正楷体_GBK" w:cs="方正楷体_GBK" w:hint="eastAsia"/>
          <w:b/>
          <w:bCs/>
        </w:rPr>
        <w:t>（二）现场实施阶段</w:t>
      </w:r>
    </w:p>
    <w:p>
      <w:pPr>
        <w:pStyle w:val="17"/>
        <w:ind w:firstLineChars="200" w:firstLine="624"/>
      </w:pPr>
      <w:r>
        <w:rPr>
          <w:rFonts w:hint="eastAsia"/>
        </w:rPr>
        <w:t>1</w:t>
      </w:r>
      <w:r>
        <w:t>.</w:t>
      </w:r>
      <w:r>
        <w:rPr>
          <w:rFonts w:hint="eastAsia"/>
        </w:rPr>
        <w:t>冗余线缆清理</w:t>
      </w:r>
      <w:r>
        <w:t>：</w:t>
      </w:r>
      <w:r>
        <w:rPr>
          <w:rFonts w:hint="eastAsia"/>
        </w:rPr>
        <w:t>逐一排查 8 个列头柜及下属机柜内的线缆，精准识别已下线设备跳线、交换机不亮端口对应的废弃线缆，采用专业工具将其全部清理拔除，避免冗余线缆占用空间、干扰正常线缆运行，同时做好清理记录，确保无遗漏、无误拔。</w:t>
      </w:r>
    </w:p>
    <w:p>
      <w:pPr>
        <w:pStyle w:val="17"/>
        <w:ind w:firstLineChars="200" w:firstLine="624"/>
      </w:pPr>
      <w:r>
        <w:rPr>
          <w:rFonts w:hint="eastAsia"/>
        </w:rPr>
        <w:t>2</w:t>
      </w:r>
      <w:r>
        <w:t>.</w:t>
      </w:r>
      <w:r>
        <w:rPr>
          <w:rFonts w:hint="eastAsia"/>
        </w:rPr>
        <w:t>线缆整理与重新布局：对下属机柜内原有捆扎的线缆进行有序拆解，按照“横平竖直、分类捆扎”的原则重新整理，理顺线缆走向，避免线缆交叉缠绕。针对列头柜与下属机柜之间的连接线缆，根据路由规划进行规范布置，确保线缆弯曲半径符合要求，减少信号衰减。</w:t>
      </w:r>
    </w:p>
    <w:p>
      <w:pPr>
        <w:pStyle w:val="17"/>
        <w:ind w:firstLineChars="200" w:firstLine="624"/>
      </w:pPr>
      <w:r>
        <w:rPr>
          <w:rFonts w:hint="eastAsia"/>
        </w:rPr>
        <w:t>3.网络跳线更换：按计划逐步更换列头柜内交换机与配线架之间的老化网络跳线，统一采用指定规格的6类非屏蔽超细网络跳线，确保跳线连接牢固、接触良好。更换过程中，严格遵循“先连接新跳线、测试正常后再拆除旧跳线”的原则，</w:t>
      </w:r>
      <w:r>
        <w:t>按照业务要求严格控制网络</w:t>
      </w:r>
      <w:r>
        <w:rPr>
          <w:rFonts w:hint="eastAsia"/>
        </w:rPr>
        <w:t>中断时间</w:t>
      </w:r>
      <w:r>
        <w:t>；</w:t>
      </w:r>
      <w:r>
        <w:rPr>
          <w:rFonts w:hint="eastAsia"/>
        </w:rPr>
        <w:t>对于需要手动恢复的业务，及时通知</w:t>
      </w:r>
      <w:r>
        <w:t>系统运维人员</w:t>
      </w:r>
      <w:r>
        <w:rPr>
          <w:rFonts w:hint="eastAsia"/>
        </w:rPr>
        <w:t>配合完成。</w:t>
      </w:r>
    </w:p>
    <w:p>
      <w:pPr>
        <w:pStyle w:val="17"/>
        <w:ind w:firstLineChars="200" w:firstLine="624"/>
      </w:pPr>
      <w:r>
        <w:rPr>
          <w:rFonts w:hint="eastAsia"/>
        </w:rPr>
        <w:t>4</w:t>
      </w:r>
      <w:r>
        <w:t>.</w:t>
      </w:r>
      <w:r>
        <w:rPr>
          <w:rFonts w:hint="eastAsia"/>
        </w:rPr>
        <w:t>标签标记与路由梳理：对列头柜、下属机柜内所有网络线缆进行重新标记，采用旗帜型标签清晰标注线缆两端对应的设备名称、端口编号及路由关系，确保标签粘贴牢固、字迹清晰、不易脱落。同时，梳理并记录列头柜配线架与交换机、下属机柜服务器端口之间的逻辑关联，形成详细的路由关系对照表，便于后续运维管理。</w:t>
      </w:r>
    </w:p>
    <w:p>
      <w:pPr>
        <w:pStyle w:val="17"/>
        <w:ind w:firstLineChars="200" w:firstLine="624"/>
      </w:pPr>
      <w:r>
        <w:t>5.</w:t>
      </w:r>
      <w:r>
        <w:rPr>
          <w:rFonts w:hint="eastAsia"/>
        </w:rPr>
        <w:t>过程质量管控：安排专人对</w:t>
      </w:r>
      <w:r>
        <w:t>服务实施</w:t>
      </w:r>
      <w:r>
        <w:rPr>
          <w:rFonts w:hint="eastAsia"/>
        </w:rPr>
        <w:t>过程进行全程监督，重点检查线缆清理是否彻底、跳线更换是否规范、标签标记是否准确、线缆布局是否合理等，及时发现并纠正</w:t>
      </w:r>
      <w:r>
        <w:t>实施</w:t>
      </w:r>
      <w:r>
        <w:rPr>
          <w:rFonts w:hint="eastAsia"/>
        </w:rPr>
        <w:t>过程中出现的问题，确保</w:t>
      </w:r>
      <w:r>
        <w:t>线缆维护效果</w:t>
      </w:r>
      <w:r>
        <w:rPr>
          <w:rFonts w:hint="eastAsia"/>
        </w:rPr>
        <w:t>符合要求。</w:t>
      </w:r>
    </w:p>
    <w:p>
      <w:pPr>
        <w:pStyle w:val="17"/>
        <w:ind w:firstLineChars="200" w:firstLine="624"/>
        <w:rPr>
          <w:rFonts w:ascii="方正楷体_GBK" w:eastAsia="方正楷体_GBK" w:cs="方正楷体_GBK"/>
          <w:b/>
          <w:bCs/>
        </w:rPr>
      </w:pPr>
      <w:r>
        <w:rPr>
          <w:rFonts w:ascii="方正楷体_GBK" w:eastAsia="方正楷体_GBK" w:cs="方正楷体_GBK" w:hint="eastAsia"/>
          <w:b/>
          <w:bCs/>
        </w:rPr>
        <w:t>（三）收尾验收阶段</w:t>
      </w:r>
    </w:p>
    <w:p>
      <w:pPr>
        <w:pStyle w:val="17"/>
        <w:ind w:firstLineChars="200" w:firstLine="624"/>
      </w:pPr>
      <w:r>
        <w:rPr>
          <w:rFonts w:hint="eastAsia"/>
        </w:rPr>
        <w:t>1</w:t>
      </w:r>
      <w:r>
        <w:t>.</w:t>
      </w:r>
      <w:r>
        <w:rPr>
          <w:rFonts w:hint="eastAsia"/>
        </w:rPr>
        <w:t>全面检测：</w:t>
      </w:r>
      <w:r>
        <w:t>服务实施</w:t>
      </w:r>
      <w:r>
        <w:rPr>
          <w:rFonts w:hint="eastAsia"/>
        </w:rPr>
        <w:t>完成后，</w:t>
      </w:r>
      <w:r>
        <w:t>海关技术人员会同供应商</w:t>
      </w:r>
      <w:r>
        <w:rPr>
          <w:rFonts w:hint="eastAsia"/>
        </w:rPr>
        <w:t>对机房网络进行全面检测，包括网络连通性、带宽性能、信号稳定性等指标，确保所有业务系统正常运行，无网络中断、卡顿等问题。</w:t>
      </w:r>
    </w:p>
    <w:p>
      <w:pPr>
        <w:pStyle w:val="17"/>
        <w:ind w:firstLineChars="200" w:firstLine="624"/>
      </w:pPr>
      <w:r>
        <w:rPr>
          <w:rFonts w:hint="eastAsia"/>
        </w:rPr>
        <w:t>2</w:t>
      </w:r>
      <w:r>
        <w:t>.</w:t>
      </w:r>
      <w:r>
        <w:rPr>
          <w:rFonts w:hint="eastAsia"/>
        </w:rPr>
        <w:t>文档整理：整理并完善相关文档，包括</w:t>
      </w:r>
      <w:r>
        <w:t>工作</w:t>
      </w:r>
      <w:r>
        <w:rPr>
          <w:rFonts w:hint="eastAsia"/>
        </w:rPr>
        <w:t>记录、线缆路由关系对照表、设备端口分布图、材料使用清单等，提交存档，为后续运维工作提供技术支持。</w:t>
      </w:r>
    </w:p>
    <w:p>
      <w:pPr>
        <w:pStyle w:val="17"/>
        <w:ind w:firstLineChars="200" w:firstLine="624"/>
      </w:pPr>
      <w:r>
        <w:rPr>
          <w:rFonts w:hint="eastAsia"/>
        </w:rPr>
        <w:t>3</w:t>
      </w:r>
      <w:r>
        <w:t>.</w:t>
      </w:r>
      <w:r>
        <w:rPr>
          <w:rFonts w:hint="eastAsia"/>
        </w:rPr>
        <w:t>验收交付：组织验收，</w:t>
      </w:r>
      <w:r>
        <w:t>由供应商</w:t>
      </w:r>
      <w:r>
        <w:rPr>
          <w:rFonts w:hint="eastAsia"/>
        </w:rPr>
        <w:t>汇报</w:t>
      </w:r>
      <w:r>
        <w:t>服务实施</w:t>
      </w:r>
      <w:r>
        <w:rPr>
          <w:rFonts w:hint="eastAsia"/>
        </w:rPr>
        <w:t>过程、工作成果及检测情况，解答验收过程中提出的疑问。验收合格后，办理项目交付手续，正式</w:t>
      </w:r>
      <w:r>
        <w:t>向海关</w:t>
      </w:r>
      <w:r>
        <w:rPr>
          <w:rFonts w:hint="eastAsia"/>
        </w:rPr>
        <w:t>移交</w:t>
      </w:r>
      <w:r>
        <w:t>线缆、标签及</w:t>
      </w:r>
      <w:r>
        <w:rPr>
          <w:rFonts w:hint="eastAsia"/>
        </w:rPr>
        <w:t>相关</w:t>
      </w:r>
      <w:r>
        <w:t>文档。</w:t>
      </w:r>
    </w:p>
    <w:p>
      <w:pPr>
        <w:pStyle w:val="21"/>
        <w:ind w:firstLineChars="200" w:firstLine="624"/>
        <w:rPr>
          <w:rFonts w:ascii="方正黑体_GBK" w:eastAsia="方正黑体_GBK" w:cs="方正黑体_GBK"/>
          <w:color w:val="000000"/>
        </w:rPr>
      </w:pPr>
      <w:r>
        <w:rPr>
          <w:rFonts w:ascii="方正黑体_GBK" w:eastAsia="方正黑体_GBK" w:cs="方正黑体_GBK"/>
          <w:color w:val="000000"/>
        </w:rPr>
        <w:t>四</w:t>
      </w:r>
      <w:r>
        <w:rPr>
          <w:rFonts w:ascii="方正黑体_GBK" w:eastAsia="方正黑体_GBK" w:cs="方正黑体_GBK" w:hint="eastAsia"/>
          <w:color w:val="000000"/>
        </w:rPr>
        <w:t>、</w:t>
      </w:r>
      <w:r>
        <w:rPr>
          <w:rFonts w:ascii="方正黑体_GBK" w:eastAsia="方正黑体_GBK" w:cs="方正黑体_GBK"/>
          <w:color w:val="000000"/>
        </w:rPr>
        <w:t>难点应对与风险控制</w:t>
      </w:r>
    </w:p>
    <w:p>
      <w:pPr>
        <w:pStyle w:val="17"/>
        <w:ind w:firstLineChars="200" w:firstLine="624"/>
      </w:pPr>
      <w:r>
        <w:t>1.误碰老化线缆风险：服务实施前对所有线缆进行详细标识,明确在用线缆与废弃线缆的区分；实施过程中要求轻拿轻放，避免野蛮操作；安排网络工程师全程在场，一旦发生误碰导致网络中断，立即启动应急处理预案，快速恢复网络连接。</w:t>
      </w:r>
    </w:p>
    <w:p>
      <w:pPr>
        <w:pStyle w:val="17"/>
        <w:ind w:firstLineChars="200" w:firstLine="624"/>
      </w:pPr>
      <w:r>
        <w:t>2.端口老化接触不良风险：整理下属机柜服务器端口线缆时，提前对端口进行检测，对于存在老化、氧化现象的端口,及时进行清洁或更换；重新捆扎线缆时，避免对端口造成过度拉扯或挤压；服务实施完毕后对所有端口进行连通性测试，确保端口接触良好。</w:t>
      </w:r>
    </w:p>
    <w:p>
      <w:pPr>
        <w:pStyle w:val="17"/>
        <w:ind w:firstLineChars="200" w:firstLine="624"/>
      </w:pPr>
      <w:r>
        <w:t>3.业务中断风险：合理规划服务实施时间，尽量避开业务高峰期；提前与相关业务部门沟通，告知实施计划及可能的业务中断情况，争取理解与配合；更换跳线等关键操作前,做好数据备份及应急准备，确保业务中断后能够快速恢复。</w:t>
      </w:r>
    </w:p>
    <w:p>
      <w:pPr>
        <w:pStyle w:val="17"/>
        <w:ind w:firstLineChars="200" w:firstLine="624"/>
      </w:pPr>
      <w:r>
        <w:t>4.沟通协调风险：建立信息系统业务联系人、软件技术支持工程师和网络工程师、机房监控人员联合工作群，及时反馈工作进展及遇到的问题；对于需要多方配合的工作，提前做好协调安排，确保各项工作衔接顺畅。</w:t>
      </w:r>
    </w:p>
    <w:p>
      <w:pPr>
        <w:pStyle w:val="17"/>
        <w:ind w:firstLineChars="200" w:firstLine="624"/>
      </w:pPr>
      <w:r>
        <w:rPr>
          <w:rFonts w:ascii="方正黑体_GBK" w:eastAsia="方正黑体_GBK" w:cs="方正黑体_GBK"/>
          <w:color w:val="000000"/>
        </w:rPr>
        <w:t>五</w:t>
      </w:r>
      <w:r>
        <w:rPr>
          <w:rFonts w:ascii="方正黑体_GBK" w:eastAsia="方正黑体_GBK" w:cs="方正黑体_GBK" w:hint="eastAsia"/>
          <w:color w:val="000000"/>
        </w:rPr>
        <w:t>、</w:t>
      </w:r>
      <w:r>
        <w:rPr>
          <w:rFonts w:ascii="方正黑体_GBK" w:eastAsia="方正黑体_GBK" w:cs="方正黑体_GBK"/>
          <w:color w:val="000000"/>
        </w:rPr>
        <w:t>项目保障</w:t>
      </w:r>
    </w:p>
    <w:p>
      <w:pPr>
        <w:pStyle w:val="17"/>
        <w:ind w:firstLineChars="200" w:firstLine="624"/>
      </w:pPr>
      <w:r>
        <w:t>1.人员保障：要求服务商组建经验丰富、技术过硬的专业技术团队,配备足够数量的通信线缆弱电专业技术人员及管理人员,明确各岗位职责,确保项目顺利推进。</w:t>
      </w:r>
    </w:p>
    <w:p>
      <w:pPr>
        <w:pStyle w:val="17"/>
        <w:ind w:firstLineChars="200" w:firstLine="624"/>
      </w:pPr>
      <w:r>
        <w:t>2.物资保障:提前准备充足的线缆耗材及工具，严格把控材料质量，确保所有材料符合项目要求；储备额外的备用线缆耗材，应对服务实施过程中出现的突发情况。</w:t>
      </w:r>
    </w:p>
    <w:p>
      <w:pPr>
        <w:pStyle w:val="17"/>
        <w:ind w:firstLineChars="200" w:firstLine="624"/>
      </w:pPr>
      <w:r>
        <w:t>3.技术保障:安排专业的网络工程师、技术顾问提供全程技术支持，解决服务实施过程中遇到的技术难题；制定详细的技术方案及应急处理预案，确保项目技术可行、风险可控。</w:t>
      </w:r>
    </w:p>
    <w:p>
      <w:pPr>
        <w:pStyle w:val="17"/>
        <w:ind w:firstLineChars="200" w:firstLine="624"/>
      </w:pPr>
      <w:r>
        <w:t>4.安全保障:严格遵守海关机房安全管理规定，供应商技术人员进入机房前进行安全培训，佩戴必要的安全防护用品；服务实施过程中严禁触碰与项目无关的设备及线缆,严禁违规操作；做好防火、防静电等安全防护措施，确保机房设备及人员安全。</w:t>
      </w:r>
    </w:p>
    <w:p/>
    <w:sectPr>
      <w:pgSz w:w="11907" w:h="16839"/>
      <w:pgMar w:top="2098" w:right="1474" w:bottom="1985" w:left="1588"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_GBK">
    <w:panose1 w:val="03000509000000000000"/>
    <w:charset w:val="86"/>
    <w:family w:val="script"/>
    <w:pitch w:val="variable"/>
    <w:sig w:usb0="00000001" w:usb1="080E0000" w:usb2="00000010" w:usb3="00000000" w:csb0="00040000" w:csb1="00000000"/>
  </w:font>
  <w:font w:name="方正黑体_GBK">
    <w:panose1 w:val="03000509000000000000"/>
    <w:charset w:val="86"/>
    <w:family w:val="script"/>
    <w:pitch w:val="variable"/>
    <w:sig w:usb0="00000001" w:usb1="080E0000" w:usb2="00000010" w:usb3="00000000" w:csb0="00040000" w:csb1="00000000"/>
  </w:font>
  <w:font w:name="方正楷体_GBK">
    <w:panose1 w:val="03000509000000000000"/>
    <w:charset w:val="86"/>
    <w:family w:val="script"/>
    <w:pitch w:val="variable"/>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Lucida Sans">
    <w:altName w:val="DejaVu Sans"/>
    <w:panose1 w:val="020B0602030504020204"/>
    <w:charset w:val="00"/>
    <w:family w:val="swiss"/>
    <w:pitch w:val="variable"/>
    <w:sig w:usb0="00000003" w:usb1="00000000" w:usb2="00000000" w:usb3="00000000" w:csb0="00000001" w:csb1="00000000"/>
  </w:font>
  <w:font w:name="黑体">
    <w:altName w:val="SimHei"/>
    <w:panose1 w:val="02010609060101010101"/>
    <w:charset w:val="86"/>
    <w:family w:val="modern"/>
    <w:pitch w:val="variable"/>
    <w:sig w:usb0="00000001" w:usb1="080E0000" w:usb2="00000010" w:usb3="00000000" w:csb0="00040000" w:csb1="00000000"/>
  </w:font>
  <w:font w:name="方正仿宋_GBK">
    <w:panose1 w:val="03000509000000000000"/>
    <w:charset w:val="86"/>
    <w:family w:val="script"/>
    <w:pitch w:val="variable"/>
    <w:sig w:usb0="00000001" w:usb1="080E0000" w:usb2="00000010" w:usb3="00000000" w:csb0="00040000"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doNotDisplayPageBoundaries/>
  <w:displayBackgroundShape/>
  <w:bordersDoNotSurroundHeader/>
  <w:bordersDoNotSurroundFooter/>
  <w:defaultTabStop w:val="420"/>
  <w:drawingGridHorizontalSpacing w:val="105"/>
  <w:drawingGridVerticalSpacing w:val="156"/>
  <w:displayHorizontalDrawingGridEvery w:val="0"/>
  <w:displayVerticalDrawingGridEvery w:val="1"/>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Times New Roman" w:eastAsia="宋体" w:cs="Lucida Sans" w:hAnsi="Times New Roman"/>
      <w:kern w:val="2"/>
      <w:sz w:val="21"/>
      <w:szCs w:val="21"/>
      <w:lang w:val="en-US" w:eastAsia="zh-CN" w:bidi="ar-SA"/>
    </w:rPr>
  </w:style>
  <w:style w:type="paragraph" w:styleId="1">
    <w:name w:val="heading 1"/>
    <w:basedOn w:val="0"/>
    <w:next w:val="0"/>
    <w:pPr>
      <w:keepNext/>
      <w:keepLines/>
      <w:widowControl w:val="0"/>
      <w:spacing w:before="340" w:after="330" w:line="578" w:lineRule="auto"/>
      <w:outlineLvl w:val="0"/>
    </w:pPr>
    <w:rPr>
      <w:b/>
      <w:bCs/>
      <w:kern w:val="44"/>
      <w:sz w:val="44"/>
      <w:szCs w:val="44"/>
    </w:rPr>
  </w:style>
  <w:style w:type="paragraph" w:styleId="2">
    <w:name w:val="heading 2"/>
    <w:basedOn w:val="0"/>
    <w:next w:val="0"/>
    <w:pPr>
      <w:keepNext/>
      <w:keepLines/>
      <w:widowControl w:val="0"/>
      <w:spacing w:before="260" w:after="260" w:line="415" w:lineRule="auto"/>
      <w:outlineLvl w:val="1"/>
    </w:pPr>
    <w:rPr>
      <w:rFonts w:eastAsia="黑体"/>
      <w:b/>
      <w:bCs/>
      <w:sz w:val="32"/>
      <w:szCs w:val="32"/>
    </w:rPr>
  </w:style>
  <w:style w:type="paragraph" w:styleId="3">
    <w:name w:val="heading 3"/>
    <w:basedOn w:val="0"/>
    <w:next w:val="0"/>
    <w:pPr>
      <w:keepNext/>
      <w:keepLines/>
      <w:widowControl w:val="0"/>
      <w:spacing w:before="260" w:after="260" w:line="415" w:lineRule="auto"/>
      <w:outlineLvl w:val="2"/>
    </w:pPr>
    <w:rPr>
      <w:b/>
      <w:bCs/>
      <w:sz w:val="32"/>
      <w:szCs w:val="32"/>
    </w:rPr>
  </w:style>
  <w:style w:type="character" w:default="1" w:styleId="10">
    <w:name w:val="Default Paragraph Font"/>
  </w:style>
  <w:style w:type="paragraph" w:styleId="15">
    <w:name w:val="toc 2"/>
    <w:basedOn w:val="0"/>
    <w:autoRedefine/>
    <w:next w:val="0"/>
    <w:pPr>
      <w:ind w:left="420"/>
    </w:pPr>
  </w:style>
  <w:style w:type="paragraph" w:customStyle="1" w:styleId="16">
    <w:name w:val="样式 三号"/>
    <w:pPr>
      <w:widowControl w:val="0"/>
      <w:spacing w:line="560" w:lineRule="exact"/>
      <w:jc w:val="both"/>
    </w:pPr>
    <w:rPr>
      <w:rFonts w:ascii="Times New Roman" w:eastAsia="方正仿宋_GBK" w:cs="Times New Roman" w:hAnsi="Times New Roman"/>
      <w:spacing w:val="-4"/>
      <w:kern w:val="2"/>
      <w:sz w:val="32"/>
      <w:szCs w:val="28"/>
      <w:lang w:val="en-US" w:eastAsia="zh-CN" w:bidi="ar-SA"/>
    </w:rPr>
  </w:style>
  <w:style w:type="paragraph" w:customStyle="1" w:styleId="17">
    <w:name w:val="样式 1 三号"/>
    <w:pPr>
      <w:widowControl w:val="0"/>
      <w:spacing w:line="560" w:lineRule="exact"/>
      <w:jc w:val="both"/>
    </w:pPr>
    <w:rPr>
      <w:rFonts w:ascii="Times New Roman" w:eastAsia="方正仿宋_GBK" w:cs="Times New Roman" w:hAnsi="Times New Roman"/>
      <w:spacing w:val="-4"/>
      <w:kern w:val="2"/>
      <w:sz w:val="32"/>
      <w:szCs w:val="28"/>
      <w:lang w:val="en-US" w:eastAsia="zh-CN" w:bidi="ar-SA"/>
    </w:rPr>
  </w:style>
  <w:style w:type="paragraph" w:customStyle="1" w:styleId="18">
    <w:name w:val="样式 2 三号"/>
    <w:pPr>
      <w:widowControl w:val="0"/>
      <w:spacing w:line="560" w:lineRule="exact"/>
      <w:jc w:val="both"/>
    </w:pPr>
    <w:rPr>
      <w:rFonts w:ascii="Times New Roman" w:eastAsia="方正仿宋_GBK" w:cs="Times New Roman" w:hAnsi="Times New Roman"/>
      <w:spacing w:val="-4"/>
      <w:kern w:val="2"/>
      <w:sz w:val="32"/>
      <w:szCs w:val="28"/>
      <w:lang w:val="en-US" w:eastAsia="zh-CN" w:bidi="ar-SA"/>
    </w:rPr>
  </w:style>
  <w:style w:type="paragraph" w:customStyle="1" w:styleId="19">
    <w:name w:val="样式 3 三号"/>
    <w:pPr>
      <w:widowControl w:val="0"/>
      <w:spacing w:line="560" w:lineRule="exact"/>
      <w:jc w:val="both"/>
    </w:pPr>
    <w:rPr>
      <w:rFonts w:ascii="Times New Roman" w:eastAsia="方正仿宋_GBK" w:cs="Times New Roman" w:hAnsi="Times New Roman"/>
      <w:spacing w:val="-4"/>
      <w:kern w:val="2"/>
      <w:sz w:val="32"/>
      <w:szCs w:val="28"/>
      <w:lang w:val="en-US" w:eastAsia="zh-CN" w:bidi="ar-SA"/>
    </w:rPr>
  </w:style>
  <w:style w:type="paragraph" w:customStyle="1" w:styleId="20">
    <w:name w:val="样式 4 三号"/>
    <w:pPr>
      <w:widowControl w:val="0"/>
      <w:spacing w:line="560" w:lineRule="exact"/>
      <w:jc w:val="both"/>
    </w:pPr>
    <w:rPr>
      <w:rFonts w:ascii="Times New Roman" w:eastAsia="方正仿宋_GBK" w:cs="Times New Roman" w:hAnsi="Times New Roman"/>
      <w:spacing w:val="-4"/>
      <w:kern w:val="2"/>
      <w:sz w:val="32"/>
      <w:szCs w:val="28"/>
      <w:lang w:val="en-US" w:eastAsia="zh-CN" w:bidi="ar-SA"/>
    </w:rPr>
  </w:style>
  <w:style w:type="paragraph" w:customStyle="1" w:styleId="21">
    <w:name w:val="样式 5 三号"/>
    <w:pPr>
      <w:widowControl w:val="0"/>
      <w:spacing w:line="560" w:lineRule="exact"/>
      <w:jc w:val="both"/>
    </w:pPr>
    <w:rPr>
      <w:rFonts w:ascii="Times New Roman" w:eastAsia="方正仿宋_GBK" w:cs="Times New Roman" w:hAnsi="Times New Roman"/>
      <w:spacing w:val="-4"/>
      <w:kern w:val="2"/>
      <w:sz w:val="32"/>
      <w:szCs w:val="28"/>
      <w:lang w:val="en-US" w:eastAsia="zh-CN" w:bidi="ar-SA"/>
    </w:rPr>
  </w:style>
  <w:style w:type="paragraph" w:customStyle="1" w:styleId="22">
    <w:name w:val="样式 6 三号"/>
    <w:pPr>
      <w:widowControl w:val="0"/>
      <w:spacing w:line="560" w:lineRule="exact"/>
      <w:jc w:val="both"/>
    </w:pPr>
    <w:rPr>
      <w:rFonts w:ascii="Times New Roman" w:eastAsia="方正仿宋_GBK" w:cs="Times New Roman" w:hAnsi="Times New Roman"/>
      <w:spacing w:val="-4"/>
      <w:kern w:val="2"/>
      <w:sz w:val="32"/>
      <w:szCs w:val="28"/>
      <w:lang w:val="en-US" w:eastAsia="zh-CN" w:bidi="ar-SA"/>
    </w:rPr>
  </w:style>
  <w:style w:type="paragraph" w:customStyle="1" w:styleId="23">
    <w:name w:val="样式 7 三号"/>
    <w:pPr>
      <w:widowControl w:val="0"/>
      <w:spacing w:line="560" w:lineRule="exact"/>
      <w:jc w:val="both"/>
    </w:pPr>
    <w:rPr>
      <w:rFonts w:ascii="Times New Roman" w:eastAsia="方正仿宋_GBK" w:cs="Times New Roman" w:hAnsi="Times New Roman"/>
      <w:spacing w:val="-4"/>
      <w:kern w:val="2"/>
      <w:sz w:val="32"/>
      <w:szCs w:val="28"/>
      <w:lang w:val="en-US" w:eastAsia="zh-CN" w:bidi="ar-SA"/>
    </w:rPr>
  </w:style>
  <w:style w:type="paragraph" w:styleId="24">
    <w:name w:val="Balloon Text"/>
    <w:basedOn w:val="0"/>
    <w:rPr>
      <w:sz w:val="18"/>
      <w:szCs w:val="1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s>
</file>

<file path=docProps/app.xml><?xml version="1.0" encoding="utf-8"?>
<Properties xmlns="http://schemas.openxmlformats.org/officeDocument/2006/extended-properties">
  <Template>Normal.eit</Template>
  <TotalTime>95</TotalTime>
  <Application>Yozo_Office</Application>
  <Pages>5</Pages>
  <Words>2344</Words>
  <Characters>2383</Characters>
  <Lines>100</Lines>
  <Paragraphs>34</Paragraphs>
  <CharactersWithSpaces>2391</CharactersWithSpaces>
  <Company>微软中国</Company>
</Properties>
</file>

<file path=docProps/core.xml><?xml version="1.0" encoding="utf-8"?>
<cp:coreProperties xmlns:cp="http://schemas.openxmlformats.org/package/2006/metadata/core-properties" xmlns:dc="http://purl.org/dc/elements/1.1/" xmlns:dcterms="http://purl.org/dc/terms/" xmlns:xsi="http://www.w3.org/2001/XMLSchema-instance">
  <dc:creator>robin</dc:creator>
  <cp:lastModifiedBy>郁风</cp:lastModifiedBy>
  <cp:revision>2</cp:revision>
  <dcterms:created xsi:type="dcterms:W3CDTF">2026-04-13T05:34:00Z</dcterms:created>
  <dcterms:modified xsi:type="dcterms:W3CDTF">2026-04-30T00:47:46Z</dcterms:modified>
</cp:coreProperties>
</file>