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adjustRightInd w:val="0"/>
        <w:snapToGrid w:val="0"/>
        <w:spacing w:beforeLines="50" w:before="156" w:line="360" w:lineRule="auto"/>
        <w:rPr>
          <w:rFonts w:ascii="宋体" w:eastAsia="宋体" w:hint="eastAsia"/>
          <w:sz w:val="40"/>
          <w:szCs w:val="40"/>
        </w:rPr>
      </w:pPr>
      <w:bookmarkStart w:id="0" w:name="_Toc104205437"/>
      <w:r>
        <w:rPr>
          <w:rFonts w:ascii="宋体" w:eastAsia="宋体"/>
          <w:sz w:val="40"/>
          <w:szCs w:val="40"/>
        </w:rPr>
        <w:t>采购需求</w:t>
      </w:r>
      <w:r>
        <w:rPr>
          <w:rFonts w:ascii="宋体" w:eastAsia="宋体" w:hint="eastAsia"/>
          <w:sz w:val="40"/>
          <w:szCs w:val="40"/>
        </w:rPr>
        <w:t>书</w:t>
      </w:r>
      <w:bookmarkEnd w:id="0"/>
    </w:p>
    <w:p>
      <w:pPr>
        <w:pStyle w:val="3"/>
        <w:spacing w:line="360" w:lineRule="auto"/>
        <w:rPr>
          <w:rFonts w:hint="eastAsia"/>
          <w:sz w:val="24"/>
          <w:szCs w:val="24"/>
        </w:rPr>
      </w:pPr>
      <w:r>
        <w:rPr>
          <w:rFonts w:hint="eastAsia"/>
          <w:sz w:val="24"/>
          <w:szCs w:val="24"/>
        </w:rPr>
        <w:t>一、服务内容要求：</w:t>
      </w:r>
    </w:p>
    <w:p>
      <w:pPr>
        <w:pStyle w:val="17"/>
        <w:tabs>
          <w:tab w:val="left" w:pos="567"/>
        </w:tabs>
        <w:spacing w:line="360" w:lineRule="auto"/>
        <w:ind w:firstLineChars="200" w:firstLine="480"/>
        <w:jc w:val="left"/>
        <w:rPr>
          <w:rFonts w:hint="eastAsia"/>
          <w:szCs w:val="24"/>
        </w:rPr>
      </w:pPr>
      <w:r>
        <w:rPr>
          <w:rFonts w:hint="eastAsia"/>
          <w:szCs w:val="24"/>
        </w:rPr>
        <w:t>1.项目目标</w:t>
      </w:r>
    </w:p>
    <w:p>
      <w:pPr>
        <w:pStyle w:val="17"/>
        <w:tabs>
          <w:tab w:val="left" w:pos="567"/>
        </w:tabs>
        <w:spacing w:line="360" w:lineRule="auto"/>
        <w:ind w:firstLineChars="200" w:firstLine="480"/>
        <w:jc w:val="left"/>
        <w:rPr>
          <w:rFonts w:hint="eastAsia"/>
          <w:szCs w:val="24"/>
        </w:rPr>
      </w:pPr>
      <w:r>
        <w:rPr>
          <w:rFonts w:hint="eastAsia"/>
          <w:szCs w:val="24"/>
        </w:rPr>
        <w:t xml:space="preserve">为更好地履行维护网络安全、意识形态安全和国家安全的使命，按照网络安全法等相关要求，开展网络安全服务建设工作，全面加强海关网络、信息系统的安全性，保障信息系统的安全稳定运行，提升整体安全防护水平。 </w:t>
      </w:r>
    </w:p>
    <w:p>
      <w:pPr>
        <w:pStyle w:val="17"/>
        <w:tabs>
          <w:tab w:val="left" w:pos="567"/>
        </w:tabs>
        <w:spacing w:line="360" w:lineRule="auto"/>
        <w:ind w:firstLineChars="200" w:firstLine="480"/>
        <w:jc w:val="left"/>
        <w:rPr>
          <w:rFonts w:hint="eastAsia"/>
          <w:szCs w:val="24"/>
        </w:rPr>
      </w:pPr>
      <w:r>
        <w:rPr>
          <w:rFonts w:hint="eastAsia"/>
          <w:szCs w:val="24"/>
        </w:rPr>
        <w:t>2.项目原则</w:t>
      </w:r>
    </w:p>
    <w:p>
      <w:pPr>
        <w:spacing w:line="360" w:lineRule="auto"/>
        <w:ind w:firstLineChars="200" w:firstLine="480"/>
        <w:jc w:val="left"/>
        <w:rPr>
          <w:rFonts w:hint="eastAsia"/>
          <w:sz w:val="24"/>
          <w:szCs w:val="24"/>
        </w:rPr>
      </w:pPr>
      <w:r>
        <w:rPr>
          <w:rFonts w:hint="eastAsia"/>
          <w:sz w:val="24"/>
          <w:szCs w:val="24"/>
        </w:rPr>
        <w:t>本项目在执行过程中，应遵循以下原则：</w:t>
      </w:r>
    </w:p>
    <w:p>
      <w:pPr>
        <w:spacing w:line="360" w:lineRule="auto"/>
        <w:ind w:firstLineChars="200" w:firstLine="480"/>
        <w:jc w:val="left"/>
        <w:rPr>
          <w:rFonts w:hint="eastAsia"/>
          <w:sz w:val="24"/>
          <w:szCs w:val="24"/>
        </w:rPr>
      </w:pPr>
      <w:r>
        <w:rPr>
          <w:rFonts w:hint="eastAsia"/>
          <w:sz w:val="24"/>
          <w:szCs w:val="24"/>
        </w:rPr>
        <w:t>1）最小影响原则：涉及本次服务的工作内容不应影响系统和网络的正常运行，不能对现网的运行和业务的正常提供产生影响；</w:t>
      </w:r>
    </w:p>
    <w:p>
      <w:pPr>
        <w:spacing w:line="360" w:lineRule="auto"/>
        <w:ind w:firstLineChars="200" w:firstLine="480"/>
        <w:jc w:val="left"/>
        <w:rPr>
          <w:rFonts w:hint="eastAsia"/>
          <w:sz w:val="24"/>
          <w:szCs w:val="24"/>
        </w:rPr>
      </w:pPr>
      <w:r>
        <w:rPr>
          <w:rFonts w:hint="eastAsia"/>
          <w:sz w:val="24"/>
          <w:szCs w:val="24"/>
        </w:rPr>
        <w:t>2）针对性原则：根据评估报告，有针对性地加以解决；</w:t>
      </w:r>
    </w:p>
    <w:p>
      <w:pPr>
        <w:spacing w:line="360" w:lineRule="auto"/>
        <w:ind w:firstLineChars="200" w:firstLine="480"/>
        <w:jc w:val="left"/>
        <w:rPr>
          <w:rFonts w:hint="eastAsia"/>
          <w:sz w:val="24"/>
          <w:szCs w:val="24"/>
        </w:rPr>
      </w:pPr>
      <w:r>
        <w:rPr>
          <w:rFonts w:hint="eastAsia"/>
          <w:sz w:val="24"/>
          <w:szCs w:val="24"/>
        </w:rPr>
        <w:t>3） 标准性原则：服务方案的设计与实施应依据国内或国际的相关标准进行；</w:t>
      </w:r>
    </w:p>
    <w:p>
      <w:pPr>
        <w:spacing w:line="360" w:lineRule="auto"/>
        <w:ind w:firstLineChars="200" w:firstLine="480"/>
        <w:jc w:val="left"/>
        <w:rPr>
          <w:rFonts w:hint="eastAsia"/>
          <w:sz w:val="24"/>
          <w:szCs w:val="24"/>
        </w:rPr>
      </w:pPr>
      <w:r>
        <w:rPr>
          <w:rFonts w:hint="eastAsia"/>
          <w:sz w:val="24"/>
          <w:szCs w:val="24"/>
        </w:rPr>
        <w:t>4）规范性原则：服务提供商的工作中的过程和文档，具有很好的规范性，可以便于项目的跟踪和控制；</w:t>
      </w:r>
    </w:p>
    <w:p>
      <w:pPr>
        <w:spacing w:line="360" w:lineRule="auto"/>
        <w:ind w:firstLineChars="200" w:firstLine="480"/>
        <w:jc w:val="left"/>
        <w:rPr>
          <w:rFonts w:hint="eastAsia"/>
          <w:sz w:val="24"/>
          <w:szCs w:val="24"/>
        </w:rPr>
      </w:pPr>
      <w:r>
        <w:rPr>
          <w:rFonts w:hint="eastAsia"/>
          <w:sz w:val="24"/>
          <w:szCs w:val="24"/>
        </w:rPr>
        <w:t>5）可控性原则：方法和过程要在双方认可的范围之内，安全服务的进度要按照进度表进度的安排，保证甲方对于服务工作的可控性；</w:t>
      </w:r>
    </w:p>
    <w:p>
      <w:pPr>
        <w:spacing w:line="360" w:lineRule="auto"/>
        <w:ind w:firstLineChars="200" w:firstLine="480"/>
        <w:jc w:val="left"/>
        <w:rPr>
          <w:rFonts w:hint="eastAsia"/>
          <w:sz w:val="24"/>
          <w:szCs w:val="24"/>
        </w:rPr>
      </w:pPr>
      <w:r>
        <w:rPr>
          <w:rFonts w:hint="eastAsia"/>
          <w:sz w:val="24"/>
          <w:szCs w:val="24"/>
        </w:rPr>
        <w:t>6）整体性原则： 服务内容应当整体全面，包括安全涉及的各个层面，避免由于遗漏造成未来的安全隐患；</w:t>
      </w:r>
    </w:p>
    <w:p>
      <w:pPr>
        <w:pStyle w:val="17"/>
        <w:tabs>
          <w:tab w:val="left" w:pos="567"/>
        </w:tabs>
        <w:spacing w:line="360" w:lineRule="auto"/>
        <w:ind w:firstLineChars="200" w:firstLine="480"/>
        <w:jc w:val="left"/>
        <w:rPr>
          <w:rFonts w:hint="eastAsia"/>
          <w:szCs w:val="24"/>
        </w:rPr>
      </w:pPr>
      <w:r>
        <w:rPr>
          <w:rFonts w:hint="eastAsia"/>
          <w:szCs w:val="24"/>
        </w:rPr>
        <w:t>7）保密原则：对过程数据和结果数据严格保密，未经授权不得泄露给任何单位和个人，不得利用此数据进行任何侵害甲方的行为，否则甲方有权追究乙方的责任。甲方有权要求乙方在服务结束之后销毁所有和本项目有关的数据和文档。</w:t>
      </w:r>
    </w:p>
    <w:p>
      <w:pPr>
        <w:pStyle w:val="17"/>
        <w:tabs>
          <w:tab w:val="left" w:pos="567"/>
        </w:tabs>
        <w:spacing w:line="360" w:lineRule="auto"/>
        <w:ind w:firstLineChars="200" w:firstLine="480"/>
        <w:jc w:val="left"/>
        <w:rPr>
          <w:rFonts w:hint="eastAsia"/>
          <w:szCs w:val="24"/>
        </w:rPr>
      </w:pPr>
      <w:r>
        <w:rPr>
          <w:rFonts w:hint="eastAsia"/>
          <w:szCs w:val="24"/>
        </w:rPr>
        <w:t>3.项目服务范围</w:t>
      </w:r>
    </w:p>
    <w:p>
      <w:pPr>
        <w:pStyle w:val="17"/>
        <w:tabs>
          <w:tab w:val="left" w:pos="567"/>
        </w:tabs>
        <w:spacing w:line="360" w:lineRule="auto"/>
        <w:ind w:firstLineChars="200" w:firstLine="480"/>
        <w:jc w:val="left"/>
        <w:rPr>
          <w:rFonts w:hint="eastAsia"/>
          <w:szCs w:val="24"/>
        </w:rPr>
      </w:pPr>
      <w:r>
        <w:rPr>
          <w:rFonts w:hint="eastAsia"/>
          <w:szCs w:val="24"/>
        </w:rPr>
        <w:t>本项目实施范围为大连海关网络和信息系统。服务周期为2026年7月1日至2027年6月30日。</w:t>
      </w:r>
    </w:p>
    <w:p>
      <w:pPr>
        <w:pStyle w:val="17"/>
        <w:numPr>
          <w:ilvl w:val="0"/>
          <w:numId w:val="1"/>
        </w:numPr>
        <w:tabs>
          <w:tab w:val="clear" w:pos="312"/>
          <w:tab w:val="left" w:pos="567"/>
        </w:tabs>
        <w:spacing w:line="360" w:lineRule="auto"/>
        <w:ind w:left="0" w:firstLineChars="200" w:firstLine="480"/>
        <w:jc w:val="left"/>
        <w:rPr>
          <w:rFonts w:hint="eastAsia"/>
          <w:szCs w:val="24"/>
        </w:rPr>
      </w:pPr>
      <w:r>
        <w:rPr>
          <w:rFonts w:hint="eastAsia"/>
          <w:szCs w:val="24"/>
        </w:rPr>
        <w:t>项目服务内容</w:t>
      </w:r>
    </w:p>
    <w:p>
      <w:pPr>
        <w:spacing w:line="360" w:lineRule="auto"/>
        <w:ind w:firstLine="420"/>
        <w:rPr>
          <w:rFonts w:hint="eastAsia"/>
          <w:b/>
          <w:bCs/>
          <w:sz w:val="24"/>
          <w:szCs w:val="24"/>
        </w:rPr>
      </w:pPr>
      <w:r>
        <w:rPr>
          <w:rFonts w:hint="eastAsia"/>
          <w:b/>
          <w:bCs/>
          <w:sz w:val="24"/>
          <w:szCs w:val="24"/>
        </w:rPr>
        <w:t>（一）互联网暴露面梳理</w:t>
      </w:r>
    </w:p>
    <w:p>
      <w:pPr>
        <w:spacing w:line="360" w:lineRule="auto"/>
        <w:ind w:firstLine="420"/>
        <w:rPr>
          <w:rFonts w:hint="eastAsia"/>
          <w:sz w:val="24"/>
          <w:szCs w:val="24"/>
        </w:rPr>
      </w:pPr>
      <w:r>
        <w:rPr>
          <w:rFonts w:hint="eastAsia"/>
          <w:sz w:val="24"/>
          <w:szCs w:val="24"/>
        </w:rPr>
        <w:t>每月一次，12次/年。</w:t>
      </w:r>
    </w:p>
    <w:p>
      <w:pPr>
        <w:spacing w:line="360" w:lineRule="auto"/>
        <w:ind w:firstLine="420"/>
        <w:rPr>
          <w:rFonts w:hint="eastAsia"/>
          <w:sz w:val="24"/>
          <w:szCs w:val="24"/>
        </w:rPr>
      </w:pPr>
      <w:r>
        <w:rPr>
          <w:rFonts w:hint="eastAsia"/>
          <w:sz w:val="24"/>
          <w:szCs w:val="24"/>
        </w:rPr>
        <w:t>针对互联网暴露资产进行域名信息收集、IP信息收集、关键词信息收集。其中域名信息收集主要包括：站点信息收集、子域名收集、开发公司收集、旁站信息收集IP信息收集主要包括C段和端口信息收集以及真实IP信息收集。主要目的是探测站点所在C段是否还存在相关的站点，相关IP地址开放的端口情况，IP的C段信息以及端口开放情况可以利用工具进行收集；关键词信息收集主要通过暗网信息、社工库信息、网盘、小程序信息、公众号信息、APP信息、旧漏洞点信息、代码平台信息、搜索引擎、AW信息、威胁平台信息获取。</w:t>
      </w:r>
    </w:p>
    <w:p>
      <w:pPr>
        <w:spacing w:line="360" w:lineRule="auto"/>
        <w:ind w:firstLine="420"/>
        <w:rPr>
          <w:rFonts w:hint="eastAsia"/>
          <w:b/>
          <w:bCs/>
          <w:sz w:val="24"/>
          <w:szCs w:val="24"/>
        </w:rPr>
      </w:pPr>
      <w:r>
        <w:rPr>
          <w:rFonts w:hint="eastAsia"/>
          <w:b/>
          <w:bCs/>
          <w:sz w:val="24"/>
          <w:szCs w:val="24"/>
        </w:rPr>
        <w:t>（二）服务器基线核查服务</w:t>
      </w:r>
    </w:p>
    <w:p>
      <w:pPr>
        <w:spacing w:line="360" w:lineRule="auto"/>
        <w:ind w:firstLine="420"/>
        <w:rPr>
          <w:rFonts w:hint="eastAsia"/>
          <w:sz w:val="24"/>
          <w:szCs w:val="24"/>
        </w:rPr>
      </w:pPr>
      <w:r>
        <w:rPr>
          <w:rFonts w:hint="eastAsia"/>
          <w:sz w:val="24"/>
          <w:szCs w:val="24"/>
        </w:rPr>
        <w:t>每季度一次，4次/年。</w:t>
      </w:r>
    </w:p>
    <w:p>
      <w:pPr>
        <w:spacing w:line="360" w:lineRule="auto"/>
        <w:ind w:firstLine="420"/>
        <w:rPr>
          <w:rFonts w:hint="eastAsia"/>
          <w:sz w:val="24"/>
          <w:szCs w:val="24"/>
        </w:rPr>
      </w:pPr>
      <w:r>
        <w:rPr>
          <w:rFonts w:hint="eastAsia"/>
          <w:sz w:val="24"/>
          <w:szCs w:val="24"/>
        </w:rPr>
        <w:t>结合国家和行业标准要求，通过自有工具辅助+人工现场验证的方式，针对网络层、系统层、数据层、应用层方面对信息系统的资产进行安全基线合规性核查与分析，有效识别，网络设备、安全设备、服务器操作系统、数据库系统、应用中间件和安全管理全方位，多层次的风险点，针对存在的风险给出整改建议。</w:t>
      </w:r>
    </w:p>
    <w:p>
      <w:pPr>
        <w:spacing w:line="360" w:lineRule="auto"/>
        <w:ind w:firstLine="420"/>
        <w:rPr>
          <w:rFonts w:hint="eastAsia"/>
          <w:b/>
          <w:bCs/>
          <w:sz w:val="24"/>
          <w:szCs w:val="24"/>
        </w:rPr>
      </w:pPr>
      <w:r>
        <w:rPr>
          <w:rFonts w:hint="eastAsia"/>
          <w:b/>
          <w:bCs/>
          <w:sz w:val="24"/>
          <w:szCs w:val="24"/>
        </w:rPr>
        <w:t>（三）系统漏洞扫描服务</w:t>
      </w:r>
    </w:p>
    <w:p>
      <w:pPr>
        <w:spacing w:line="360" w:lineRule="auto"/>
        <w:ind w:firstLine="420"/>
        <w:rPr>
          <w:rFonts w:hint="eastAsia"/>
          <w:sz w:val="24"/>
          <w:szCs w:val="24"/>
        </w:rPr>
      </w:pPr>
      <w:r>
        <w:rPr>
          <w:rFonts w:hint="eastAsia"/>
          <w:sz w:val="24"/>
          <w:szCs w:val="24"/>
        </w:rPr>
        <w:t>每月一次，12次/年。</w:t>
      </w:r>
    </w:p>
    <w:p>
      <w:pPr>
        <w:spacing w:line="360" w:lineRule="auto"/>
        <w:ind w:firstLine="420"/>
        <w:rPr>
          <w:rFonts w:hint="eastAsia"/>
          <w:sz w:val="24"/>
          <w:szCs w:val="24"/>
        </w:rPr>
      </w:pPr>
      <w:r>
        <w:rPr>
          <w:rFonts w:hint="eastAsia"/>
          <w:sz w:val="24"/>
          <w:szCs w:val="24"/>
        </w:rPr>
        <w:t>使用业界专业漏洞扫描工具，根据已有的安全漏洞知识库，模拟黑客的攻击方法，检测主机操作系统存在的安全隐患和漏洞，针对发现的安全漏洞问题给出合理的整改建议，并且能实施整改。</w:t>
      </w:r>
    </w:p>
    <w:p>
      <w:pPr>
        <w:spacing w:line="360" w:lineRule="auto"/>
        <w:ind w:firstLine="420"/>
        <w:rPr>
          <w:rFonts w:hint="eastAsia"/>
          <w:b/>
          <w:bCs/>
          <w:sz w:val="24"/>
          <w:szCs w:val="24"/>
        </w:rPr>
      </w:pPr>
      <w:r>
        <w:rPr>
          <w:rFonts w:hint="eastAsia"/>
          <w:b/>
          <w:bCs/>
          <w:sz w:val="24"/>
          <w:szCs w:val="24"/>
        </w:rPr>
        <w:t>（四）安全风险加固服务</w:t>
      </w:r>
    </w:p>
    <w:p>
      <w:pPr>
        <w:spacing w:line="360" w:lineRule="auto"/>
        <w:ind w:firstLine="420"/>
        <w:rPr>
          <w:rFonts w:hint="eastAsia"/>
          <w:sz w:val="24"/>
          <w:szCs w:val="24"/>
        </w:rPr>
      </w:pPr>
      <w:r>
        <w:rPr>
          <w:rFonts w:hint="eastAsia"/>
          <w:sz w:val="24"/>
          <w:szCs w:val="24"/>
        </w:rPr>
        <w:t>每季度一次，4次/年。</w:t>
      </w:r>
    </w:p>
    <w:p>
      <w:pPr>
        <w:spacing w:line="360" w:lineRule="auto"/>
        <w:ind w:firstLine="420"/>
        <w:rPr>
          <w:rFonts w:hint="eastAsia"/>
          <w:sz w:val="24"/>
          <w:szCs w:val="24"/>
        </w:rPr>
      </w:pPr>
      <w:r>
        <w:rPr>
          <w:rFonts w:hint="eastAsia"/>
          <w:sz w:val="24"/>
          <w:szCs w:val="24"/>
        </w:rPr>
        <w:t>针对安全评估过程中发现得安全漏洞问题提供加固建议，以及加固实施服务，通过在模拟环境的加固实验，验证漏洞加固有效性，并且了解加固风险。加固操作实施时，提供详细的加固流程，制定有效的安全加固风险控制措施，在出现问题时及时回退。</w:t>
      </w:r>
    </w:p>
    <w:p>
      <w:pPr>
        <w:spacing w:line="360" w:lineRule="auto"/>
        <w:ind w:firstLine="420"/>
        <w:rPr>
          <w:rFonts w:hint="eastAsia"/>
          <w:b/>
          <w:bCs/>
          <w:sz w:val="24"/>
          <w:szCs w:val="24"/>
        </w:rPr>
      </w:pPr>
      <w:r>
        <w:rPr>
          <w:rFonts w:hint="eastAsia"/>
          <w:b/>
          <w:bCs/>
          <w:sz w:val="24"/>
          <w:szCs w:val="24"/>
        </w:rPr>
        <w:t>（五）应急响应服务</w:t>
      </w:r>
    </w:p>
    <w:p>
      <w:pPr>
        <w:spacing w:line="360" w:lineRule="auto"/>
        <w:ind w:firstLine="420"/>
        <w:rPr>
          <w:rFonts w:hint="eastAsia"/>
          <w:sz w:val="24"/>
          <w:szCs w:val="24"/>
        </w:rPr>
      </w:pPr>
      <w:r>
        <w:rPr>
          <w:rFonts w:hint="eastAsia"/>
          <w:sz w:val="24"/>
          <w:szCs w:val="24"/>
        </w:rPr>
        <w:t>全年按需提供。</w:t>
      </w:r>
    </w:p>
    <w:p>
      <w:pPr>
        <w:spacing w:line="360" w:lineRule="auto"/>
        <w:ind w:firstLine="420"/>
        <w:rPr>
          <w:rFonts w:hint="eastAsia"/>
          <w:sz w:val="24"/>
          <w:szCs w:val="24"/>
        </w:rPr>
      </w:pPr>
      <w:r>
        <w:rPr>
          <w:rFonts w:hint="eastAsia"/>
          <w:sz w:val="24"/>
          <w:szCs w:val="24"/>
        </w:rPr>
        <w:t>常规应急响应服务包括：在网络攻防演练和敏感时期提供安全设备的应急使用服务；在发生重大网络与信息安全事件时，提供7×24小时远程或现场支持。</w:t>
      </w:r>
    </w:p>
    <w:p>
      <w:pPr>
        <w:spacing w:line="360" w:lineRule="auto"/>
        <w:ind w:firstLine="420"/>
        <w:rPr>
          <w:rFonts w:hint="eastAsia"/>
          <w:b/>
          <w:bCs/>
          <w:sz w:val="24"/>
          <w:szCs w:val="24"/>
        </w:rPr>
      </w:pPr>
      <w:r>
        <w:rPr>
          <w:rFonts w:hint="eastAsia"/>
          <w:b/>
          <w:bCs/>
          <w:sz w:val="24"/>
          <w:szCs w:val="24"/>
        </w:rPr>
        <w:t>（六）安全意识支持服务</w:t>
      </w:r>
    </w:p>
    <w:p>
      <w:pPr>
        <w:spacing w:line="360" w:lineRule="auto"/>
        <w:ind w:firstLine="420"/>
        <w:rPr>
          <w:rFonts w:hint="eastAsia"/>
          <w:sz w:val="24"/>
          <w:szCs w:val="24"/>
        </w:rPr>
      </w:pPr>
      <w:r>
        <w:rPr>
          <w:rFonts w:hint="eastAsia"/>
          <w:sz w:val="24"/>
          <w:szCs w:val="24"/>
        </w:rPr>
        <w:t>全年按需提供。</w:t>
      </w:r>
    </w:p>
    <w:p>
      <w:pPr>
        <w:spacing w:line="360" w:lineRule="auto"/>
        <w:ind w:firstLine="420"/>
        <w:rPr>
          <w:rFonts w:hint="eastAsia"/>
          <w:sz w:val="24"/>
          <w:szCs w:val="24"/>
        </w:rPr>
      </w:pPr>
      <w:r>
        <w:rPr>
          <w:rFonts w:hint="eastAsia"/>
          <w:sz w:val="24"/>
          <w:szCs w:val="24"/>
        </w:rPr>
        <w:t>围绕当前主流网络安全技术，系统开展基础知识普及，内容涵盖渗透测试基础原理、设备运行监控、风险预警研判、隐患分析判别等核心环节，同步增强全员协同配合能力。同时，在网络安全宣传周、重大敏感时段等关键节点，专项实施安全知识宣贯、风险提示及规范落地等支撑举措，全面筑牢整体安全防线。</w:t>
      </w:r>
    </w:p>
    <w:p>
      <w:pPr>
        <w:spacing w:line="360" w:lineRule="auto"/>
        <w:ind w:firstLine="420"/>
        <w:rPr>
          <w:rFonts w:hint="eastAsia"/>
          <w:b/>
          <w:bCs/>
          <w:sz w:val="24"/>
          <w:szCs w:val="24"/>
        </w:rPr>
      </w:pPr>
      <w:r>
        <w:rPr>
          <w:rFonts w:hint="eastAsia"/>
          <w:b/>
          <w:bCs/>
          <w:sz w:val="24"/>
          <w:szCs w:val="24"/>
        </w:rPr>
        <w:t>（七）网络安全驻场服务</w:t>
      </w:r>
    </w:p>
    <w:p>
      <w:pPr>
        <w:spacing w:line="360" w:lineRule="auto"/>
        <w:ind w:firstLine="420"/>
        <w:rPr>
          <w:rFonts w:hint="eastAsia"/>
          <w:sz w:val="24"/>
          <w:szCs w:val="24"/>
        </w:rPr>
      </w:pPr>
      <w:r>
        <w:rPr>
          <w:rFonts w:hint="eastAsia"/>
          <w:sz w:val="24"/>
          <w:szCs w:val="24"/>
        </w:rPr>
        <w:t>全年驻场人员一名，二线支持人员按需提供。提供服务包括日常安全设备、系统运维、日志分析系统、数据库审计、准入系统、流量回溯系统、IDS、IPS、WAF等，对高危告警上报、处置；病毒、木马汇总、分析等处置。</w:t>
      </w:r>
    </w:p>
    <w:p>
      <w:pPr>
        <w:spacing w:line="360" w:lineRule="auto"/>
        <w:ind w:firstLine="420"/>
        <w:rPr>
          <w:rFonts w:hint="eastAsia"/>
          <w:b/>
          <w:bCs/>
          <w:sz w:val="24"/>
          <w:szCs w:val="24"/>
        </w:rPr>
      </w:pPr>
      <w:r>
        <w:rPr>
          <w:rFonts w:hint="eastAsia"/>
          <w:b/>
          <w:bCs/>
          <w:sz w:val="24"/>
          <w:szCs w:val="24"/>
        </w:rPr>
        <w:t>（八）防火墙维保服务</w:t>
      </w:r>
    </w:p>
    <w:p>
      <w:pPr>
        <w:spacing w:line="360" w:lineRule="auto"/>
        <w:ind w:firstLine="420"/>
        <w:rPr>
          <w:rFonts w:hint="eastAsia"/>
          <w:sz w:val="24"/>
          <w:szCs w:val="24"/>
        </w:rPr>
      </w:pPr>
      <w:r>
        <w:rPr>
          <w:rFonts w:hint="eastAsia"/>
          <w:sz w:val="24"/>
          <w:szCs w:val="24"/>
        </w:rPr>
        <w:t>为对外接入局域网防火墙提供维护维保1年。保障设备持续同步最新的攻击特征库、病毒库及威胁情报，有效抵御各类新型网络攻击、漏洞扫描和渗透入侵，同时可正常接收厂商固件升级与漏洞补丁修复，消除设备自身安全隐患，依托原厂专业技术运维支撑，能够及时处置设备故障与网络异常问题，保障入侵防御、威胁溯源等核心安全功能稳定运行，切实满足网络安全等级保护及各类安全检查合规要求。</w:t>
      </w:r>
    </w:p>
    <w:p>
      <w:pPr>
        <w:spacing w:line="360" w:lineRule="auto"/>
        <w:ind w:firstLine="420"/>
        <w:rPr>
          <w:rFonts w:hint="eastAsia"/>
          <w:b/>
          <w:bCs/>
          <w:sz w:val="24"/>
          <w:szCs w:val="24"/>
        </w:rPr>
      </w:pPr>
      <w:r>
        <w:rPr>
          <w:rFonts w:hint="eastAsia"/>
          <w:b/>
          <w:bCs/>
          <w:sz w:val="24"/>
          <w:szCs w:val="24"/>
        </w:rPr>
        <w:t>（九）终端威胁防御维保服务</w:t>
      </w:r>
    </w:p>
    <w:p>
      <w:pPr>
        <w:spacing w:line="360" w:lineRule="auto"/>
        <w:ind w:firstLine="420"/>
        <w:rPr>
          <w:rFonts w:hint="eastAsia"/>
          <w:sz w:val="24"/>
          <w:szCs w:val="24"/>
        </w:rPr>
      </w:pPr>
      <w:r>
        <w:rPr>
          <w:rFonts w:hint="eastAsia"/>
          <w:sz w:val="24"/>
          <w:szCs w:val="24"/>
        </w:rPr>
        <w:t>为总关互联网终端与实验室专网终端提供威胁防御维保服务1年。实时监测进程、文件、网络、注册表等全维度行为，可主动发现木马、勒索病毒、恶意攻击与异常操作，具备威胁告警、实时拦截、病毒查杀、攻击溯源、终端隔离及一键处置能力，弥补传统杀毒防护短板，有效抵御终端入侵与横向渗透，满足合规安全管控需求。</w:t>
      </w:r>
    </w:p>
    <w:p>
      <w:pPr>
        <w:spacing w:line="360" w:lineRule="auto"/>
        <w:ind w:firstLine="420"/>
        <w:rPr>
          <w:rFonts w:hint="eastAsia"/>
          <w:b/>
          <w:bCs/>
          <w:sz w:val="24"/>
          <w:szCs w:val="24"/>
        </w:rPr>
      </w:pPr>
      <w:r>
        <w:rPr>
          <w:rFonts w:hint="eastAsia"/>
          <w:b/>
          <w:bCs/>
          <w:sz w:val="24"/>
          <w:szCs w:val="24"/>
        </w:rPr>
        <w:t>（十）防病毒网关维保服务</w:t>
      </w:r>
    </w:p>
    <w:p>
      <w:pPr>
        <w:spacing w:line="360" w:lineRule="auto"/>
        <w:ind w:firstLine="420"/>
        <w:rPr>
          <w:rFonts w:hint="eastAsia"/>
          <w:sz w:val="24"/>
          <w:szCs w:val="24"/>
        </w:rPr>
      </w:pPr>
      <w:r>
        <w:rPr>
          <w:rFonts w:hint="eastAsia"/>
          <w:sz w:val="24"/>
          <w:szCs w:val="24"/>
        </w:rPr>
        <w:t>为对外接入局域网与互联网之间的防病毒网关（一主一备）提供维护维保1年。防病毒网关是网络安全检查和等级保护测评的必要项，能够保障网络边界及内网整体安全稳定，有效抵御病毒、木马、勒索软件等恶意代码入侵，作用是对网页、文件传输等全网流量进行深度检测与查杀，在网络入口提前拦截各类网络威胁，防止恶意程序在内网横向扩散，保障终端设备、业务系统和重要数据安全，同时规范网络访问行为，满足网络安全等保合规要求，筑牢网络安全第一道防护屏障。</w:t>
      </w:r>
    </w:p>
    <w:p>
      <w:pPr>
        <w:spacing w:line="360" w:lineRule="auto"/>
        <w:ind w:firstLineChars="200" w:firstLine="480"/>
        <w:jc w:val="left"/>
        <w:rPr>
          <w:rFonts w:hint="eastAsia"/>
          <w:b/>
          <w:sz w:val="24"/>
          <w:szCs w:val="24"/>
        </w:rPr>
      </w:pPr>
      <w:r>
        <w:rPr>
          <w:rFonts w:hint="eastAsia"/>
          <w:b/>
          <w:sz w:val="24"/>
          <w:szCs w:val="24"/>
        </w:rPr>
        <w:t>服务交付</w:t>
      </w:r>
    </w:p>
    <w:p>
      <w:pPr>
        <w:spacing w:line="360" w:lineRule="auto"/>
        <w:rPr>
          <w:rFonts w:hint="eastAsia"/>
          <w:sz w:val="24"/>
          <w:szCs w:val="24"/>
        </w:rPr>
      </w:pPr>
      <w:r>
        <w:rPr>
          <w:rFonts w:hint="eastAsia"/>
          <w:sz w:val="24"/>
          <w:szCs w:val="24"/>
        </w:rPr>
        <w:t>包括但不局限于以下相关内容：</w:t>
      </w:r>
    </w:p>
    <w:p>
      <w:pPr>
        <w:spacing w:line="360" w:lineRule="auto"/>
        <w:ind w:firstLine="420"/>
        <w:rPr>
          <w:rFonts w:hint="eastAsia"/>
          <w:sz w:val="24"/>
          <w:szCs w:val="24"/>
        </w:rPr>
      </w:pPr>
      <w:r>
        <w:rPr>
          <w:rFonts w:hint="eastAsia"/>
          <w:sz w:val="24"/>
          <w:szCs w:val="24"/>
        </w:rPr>
        <w:t>《互联网暴露面梳理报告》</w:t>
      </w:r>
    </w:p>
    <w:p>
      <w:pPr>
        <w:spacing w:line="360" w:lineRule="auto"/>
        <w:ind w:firstLine="420"/>
        <w:rPr>
          <w:rFonts w:hint="eastAsia"/>
          <w:sz w:val="24"/>
          <w:szCs w:val="24"/>
        </w:rPr>
      </w:pPr>
      <w:r>
        <w:rPr>
          <w:rFonts w:hint="eastAsia"/>
          <w:sz w:val="24"/>
          <w:szCs w:val="24"/>
        </w:rPr>
        <w:t>《漏洞扫描报告》</w:t>
      </w:r>
    </w:p>
    <w:p>
      <w:pPr>
        <w:spacing w:line="360" w:lineRule="auto"/>
        <w:ind w:firstLine="420"/>
        <w:rPr>
          <w:rFonts w:hint="eastAsia"/>
          <w:sz w:val="24"/>
          <w:szCs w:val="24"/>
        </w:rPr>
      </w:pPr>
      <w:r>
        <w:rPr>
          <w:rFonts w:hint="eastAsia"/>
          <w:sz w:val="24"/>
          <w:szCs w:val="24"/>
        </w:rPr>
        <w:t>《基线核查报告》</w:t>
      </w:r>
    </w:p>
    <w:p>
      <w:pPr>
        <w:spacing w:line="360" w:lineRule="auto"/>
        <w:ind w:firstLine="420"/>
        <w:rPr>
          <w:rFonts w:hint="eastAsia"/>
          <w:sz w:val="24"/>
          <w:szCs w:val="24"/>
        </w:rPr>
      </w:pPr>
      <w:r>
        <w:rPr>
          <w:rFonts w:hint="eastAsia"/>
          <w:sz w:val="24"/>
          <w:szCs w:val="24"/>
        </w:rPr>
        <w:t>《安全加固服务报告》</w:t>
      </w:r>
    </w:p>
    <w:p>
      <w:pPr>
        <w:spacing w:line="360" w:lineRule="auto"/>
        <w:ind w:firstLine="420"/>
        <w:rPr>
          <w:rFonts w:hint="eastAsia"/>
          <w:sz w:val="24"/>
          <w:szCs w:val="24"/>
        </w:rPr>
      </w:pPr>
      <w:r>
        <w:rPr>
          <w:rFonts w:hint="eastAsia"/>
          <w:sz w:val="24"/>
          <w:szCs w:val="24"/>
        </w:rPr>
        <w:t>《应急响应服务报告》</w:t>
      </w:r>
    </w:p>
    <w:p>
      <w:pPr>
        <w:spacing w:line="360" w:lineRule="auto"/>
        <w:ind w:firstLine="420"/>
        <w:rPr>
          <w:rFonts w:hint="eastAsia"/>
          <w:sz w:val="24"/>
          <w:szCs w:val="24"/>
        </w:rPr>
      </w:pPr>
      <w:r>
        <w:rPr>
          <w:rFonts w:hint="eastAsia"/>
          <w:sz w:val="24"/>
          <w:szCs w:val="24"/>
        </w:rPr>
        <w:t>《驻场安全服务总结报告》</w:t>
      </w:r>
    </w:p>
    <w:p>
      <w:pPr>
        <w:pStyle w:val="3"/>
        <w:spacing w:line="360" w:lineRule="auto"/>
        <w:rPr>
          <w:rFonts w:hint="eastAsia"/>
          <w:sz w:val="24"/>
          <w:szCs w:val="24"/>
        </w:rPr>
      </w:pPr>
      <w:r>
        <w:rPr>
          <w:rFonts w:hint="eastAsia"/>
          <w:sz w:val="24"/>
          <w:szCs w:val="24"/>
        </w:rPr>
        <w:t>二、项目管理要求：</w:t>
      </w:r>
    </w:p>
    <w:p>
      <w:pPr>
        <w:pStyle w:val="17"/>
        <w:tabs>
          <w:tab w:val="left" w:pos="567"/>
        </w:tabs>
        <w:spacing w:line="360" w:lineRule="auto"/>
        <w:ind w:firstLineChars="200" w:firstLine="480"/>
        <w:jc w:val="left"/>
        <w:rPr>
          <w:rFonts w:hint="eastAsia"/>
          <w:szCs w:val="24"/>
        </w:rPr>
      </w:pPr>
      <w:r>
        <w:rPr>
          <w:rFonts w:hint="eastAsia"/>
          <w:szCs w:val="24"/>
        </w:rPr>
        <w:t>（1）项目实施计划</w:t>
      </w:r>
    </w:p>
    <w:p>
      <w:pPr>
        <w:pStyle w:val="17"/>
        <w:tabs>
          <w:tab w:val="left" w:pos="567"/>
        </w:tabs>
        <w:spacing w:line="360" w:lineRule="auto"/>
        <w:ind w:firstLineChars="200" w:firstLine="480"/>
        <w:jc w:val="left"/>
        <w:rPr>
          <w:rFonts w:hint="eastAsia"/>
          <w:szCs w:val="24"/>
        </w:rPr>
      </w:pPr>
      <w:r>
        <w:rPr>
          <w:rFonts w:hint="eastAsia"/>
          <w:szCs w:val="24"/>
        </w:rPr>
        <w:t>乙方应针对本项目提供完整、详细的项目组织实施计划。计划包括项目进度表、人员配备，实施说明等。</w:t>
      </w:r>
    </w:p>
    <w:p>
      <w:pPr>
        <w:pStyle w:val="17"/>
        <w:tabs>
          <w:tab w:val="left" w:pos="567"/>
        </w:tabs>
        <w:spacing w:line="360" w:lineRule="auto"/>
        <w:ind w:firstLineChars="200" w:firstLine="480"/>
        <w:jc w:val="left"/>
        <w:rPr>
          <w:rFonts w:hint="eastAsia"/>
          <w:szCs w:val="24"/>
        </w:rPr>
      </w:pPr>
      <w:r>
        <w:rPr>
          <w:rFonts w:hint="eastAsia"/>
          <w:szCs w:val="24"/>
        </w:rPr>
        <w:t>（2）项目管理方案</w:t>
      </w:r>
    </w:p>
    <w:p>
      <w:pPr>
        <w:pStyle w:val="17"/>
        <w:tabs>
          <w:tab w:val="left" w:pos="567"/>
        </w:tabs>
        <w:spacing w:line="360" w:lineRule="auto"/>
        <w:ind w:firstLineChars="200" w:firstLine="480"/>
        <w:jc w:val="left"/>
        <w:rPr>
          <w:rFonts w:hint="eastAsia"/>
          <w:szCs w:val="24"/>
        </w:rPr>
      </w:pPr>
      <w:r>
        <w:rPr>
          <w:rFonts w:hint="eastAsia"/>
          <w:szCs w:val="24"/>
        </w:rPr>
        <w:t>乙方应针对本项目提供完整、详细的项目管理控制文档，明确项目工作流程与责任，以确保项目的顺利开展。</w:t>
      </w:r>
    </w:p>
    <w:p>
      <w:pPr>
        <w:pStyle w:val="17"/>
        <w:tabs>
          <w:tab w:val="left" w:pos="567"/>
        </w:tabs>
        <w:spacing w:line="360" w:lineRule="auto"/>
        <w:ind w:firstLineChars="200" w:firstLine="480"/>
        <w:jc w:val="left"/>
        <w:rPr>
          <w:rFonts w:hint="eastAsia"/>
          <w:szCs w:val="24"/>
        </w:rPr>
      </w:pPr>
      <w:r>
        <w:rPr>
          <w:rFonts w:hint="eastAsia"/>
          <w:szCs w:val="24"/>
        </w:rPr>
        <w:t>（3）项目沟通机制</w:t>
      </w:r>
    </w:p>
    <w:p>
      <w:pPr>
        <w:pStyle w:val="17"/>
        <w:tabs>
          <w:tab w:val="left" w:pos="567"/>
        </w:tabs>
        <w:spacing w:line="360" w:lineRule="auto"/>
        <w:ind w:firstLineChars="200" w:firstLine="480"/>
        <w:jc w:val="left"/>
        <w:rPr>
          <w:rFonts w:hint="eastAsia"/>
          <w:szCs w:val="24"/>
        </w:rPr>
      </w:pPr>
      <w:r>
        <w:rPr>
          <w:rFonts w:hint="eastAsia"/>
          <w:szCs w:val="24"/>
        </w:rPr>
        <w:t>乙方应针对本项目提供完善的沟通机制，以确保合作的顺畅无阻。沟通方式包括定期项目例会、各类安全报告、工作进展汇报、下一步工作计划安排等。及时完成相关经验的交流和知识传递工作。具体时间根据甲方工作安排调整。</w:t>
      </w:r>
    </w:p>
    <w:p>
      <w:pPr>
        <w:spacing w:line="360" w:lineRule="auto"/>
        <w:ind w:firstLineChars="200" w:firstLine="480"/>
        <w:jc w:val="left"/>
        <w:rPr>
          <w:rFonts w:hint="eastAsia"/>
          <w:sz w:val="24"/>
          <w:szCs w:val="24"/>
        </w:rPr>
      </w:pPr>
      <w:r>
        <w:rPr>
          <w:rFonts w:hint="eastAsia"/>
          <w:sz w:val="24"/>
          <w:szCs w:val="24"/>
        </w:rPr>
        <w:t>（4）质量保障措施</w:t>
      </w:r>
    </w:p>
    <w:p>
      <w:pPr>
        <w:spacing w:line="360" w:lineRule="auto"/>
        <w:ind w:firstLine="420"/>
        <w:jc w:val="left"/>
        <w:rPr>
          <w:rFonts w:hint="eastAsia"/>
          <w:sz w:val="24"/>
          <w:szCs w:val="24"/>
        </w:rPr>
      </w:pPr>
      <w:r>
        <w:rPr>
          <w:rFonts w:hint="eastAsia"/>
          <w:sz w:val="24"/>
          <w:szCs w:val="24"/>
        </w:rPr>
        <w:t>乙方为甲方制定项目服务质量评估标准，并针对质量保障措施提供相应方案，质量保障措施方案需内容全面、措施有力，使项目整体服务质量方面能够得到有效的保证。</w:t>
      </w:r>
      <w:bookmarkStart w:id="1" w:name="_GoBack"/>
      <w:bookmarkEnd w:id="1"/>
    </w:p>
    <w:p>
      <w:pPr>
        <w:pStyle w:val="3"/>
        <w:spacing w:line="360" w:lineRule="auto"/>
        <w:rPr>
          <w:rFonts w:hint="eastAsia"/>
          <w:sz w:val="24"/>
          <w:szCs w:val="24"/>
        </w:rPr>
      </w:pPr>
      <w:r>
        <w:rPr>
          <w:rFonts w:hint="eastAsia"/>
          <w:sz w:val="24"/>
          <w:szCs w:val="24"/>
        </w:rPr>
        <w:t>三、公司资质要求：</w:t>
      </w:r>
    </w:p>
    <w:p>
      <w:pPr>
        <w:spacing w:line="360" w:lineRule="auto"/>
        <w:ind w:firstLine="420"/>
        <w:rPr>
          <w:rFonts w:hint="eastAsia"/>
          <w:sz w:val="24"/>
          <w:szCs w:val="24"/>
        </w:rPr>
      </w:pPr>
      <w:r>
        <w:rPr>
          <w:rFonts w:hint="eastAsia"/>
          <w:sz w:val="24"/>
          <w:szCs w:val="24"/>
        </w:rPr>
        <w:t>1、服务</w:t>
      </w:r>
      <w:r>
        <w:rPr>
          <w:sz w:val="24"/>
          <w:szCs w:val="24"/>
        </w:rPr>
        <w:t>厂商具有CSA CS-CMMI</w:t>
      </w:r>
      <w:r>
        <w:rPr>
          <w:rFonts w:hint="eastAsia"/>
          <w:sz w:val="24"/>
          <w:szCs w:val="24"/>
        </w:rPr>
        <w:t>云能力成熟度模型五级认证，需提供认证证书复印件并加盖公章。</w:t>
      </w:r>
    </w:p>
    <w:p>
      <w:pPr>
        <w:spacing w:line="360" w:lineRule="auto"/>
        <w:ind w:firstLine="420"/>
        <w:rPr>
          <w:rFonts w:hint="eastAsia"/>
          <w:sz w:val="24"/>
          <w:szCs w:val="24"/>
        </w:rPr>
      </w:pPr>
      <w:r>
        <w:rPr>
          <w:rFonts w:hint="eastAsia"/>
          <w:sz w:val="24"/>
          <w:szCs w:val="24"/>
        </w:rPr>
        <w:t>2、服务</w:t>
      </w:r>
      <w:r>
        <w:rPr>
          <w:sz w:val="24"/>
          <w:szCs w:val="24"/>
        </w:rPr>
        <w:t>厂商具有ITSS云计算服务能力符合性评估（</w:t>
      </w:r>
      <w:r>
        <w:rPr>
          <w:rFonts w:hint="eastAsia"/>
          <w:sz w:val="24"/>
          <w:szCs w:val="24"/>
        </w:rPr>
        <w:t>laaS服务能力认证（私有云）</w:t>
      </w:r>
      <w:r>
        <w:rPr>
          <w:sz w:val="24"/>
          <w:szCs w:val="24"/>
        </w:rPr>
        <w:t>）</w:t>
      </w:r>
      <w:r>
        <w:rPr>
          <w:rFonts w:hint="eastAsia"/>
          <w:sz w:val="24"/>
          <w:szCs w:val="24"/>
        </w:rPr>
        <w:t>二级及以上，需提供认证证书复印件并加盖公章。</w:t>
      </w:r>
    </w:p>
    <w:p>
      <w:pPr>
        <w:spacing w:line="360" w:lineRule="auto"/>
        <w:ind w:firstLine="420"/>
        <w:rPr>
          <w:rFonts w:hint="eastAsia"/>
          <w:sz w:val="24"/>
          <w:szCs w:val="24"/>
        </w:rPr>
      </w:pPr>
      <w:r>
        <w:rPr>
          <w:rFonts w:hint="eastAsia"/>
          <w:sz w:val="24"/>
          <w:szCs w:val="24"/>
        </w:rPr>
        <w:t>3、服务</w:t>
      </w:r>
      <w:r>
        <w:rPr>
          <w:sz w:val="24"/>
          <w:szCs w:val="24"/>
        </w:rPr>
        <w:t>厂商具有</w:t>
      </w:r>
      <w:r>
        <w:rPr>
          <w:rFonts w:hint="eastAsia"/>
          <w:sz w:val="24"/>
          <w:szCs w:val="24"/>
        </w:rPr>
        <w:t>工信部CAPPVD漏洞库二星及以上技术支撑单位，需提供官网查询截图。</w:t>
      </w:r>
    </w:p>
    <w:p>
      <w:pPr>
        <w:spacing w:line="360" w:lineRule="auto"/>
        <w:ind w:firstLine="420"/>
        <w:rPr>
          <w:rFonts w:hint="eastAsia"/>
          <w:sz w:val="24"/>
          <w:szCs w:val="24"/>
        </w:rPr>
      </w:pPr>
      <w:r>
        <w:rPr>
          <w:rFonts w:hint="eastAsia"/>
          <w:sz w:val="24"/>
          <w:szCs w:val="24"/>
        </w:rPr>
        <w:t>4、服务</w:t>
      </w:r>
      <w:r>
        <w:rPr>
          <w:sz w:val="24"/>
          <w:szCs w:val="24"/>
        </w:rPr>
        <w:t>厂商连续十届获得国家互联网应急中心颁发的网络安全应急服务支撑单位证书</w:t>
      </w:r>
      <w:r>
        <w:rPr>
          <w:rFonts w:hint="eastAsia"/>
          <w:sz w:val="24"/>
          <w:szCs w:val="24"/>
        </w:rPr>
        <w:t>，需提供认证证书复印件并加盖公章。</w:t>
      </w:r>
    </w:p>
    <w:p>
      <w:pPr>
        <w:pStyle w:val="3"/>
        <w:spacing w:line="360" w:lineRule="auto"/>
        <w:rPr>
          <w:rFonts w:hint="eastAsia"/>
          <w:sz w:val="24"/>
          <w:szCs w:val="24"/>
        </w:rPr>
      </w:pPr>
      <w:r>
        <w:rPr>
          <w:rFonts w:hint="eastAsia"/>
          <w:sz w:val="24"/>
          <w:szCs w:val="24"/>
        </w:rPr>
        <w:t>四、服务工具要求:</w:t>
      </w:r>
    </w:p>
    <w:p>
      <w:pPr>
        <w:spacing w:line="360" w:lineRule="auto"/>
        <w:rPr>
          <w:rFonts w:hint="eastAsia"/>
          <w:b/>
          <w:bCs/>
          <w:sz w:val="24"/>
          <w:szCs w:val="24"/>
        </w:rPr>
      </w:pPr>
      <w:r>
        <w:rPr>
          <w:rFonts w:hint="eastAsia"/>
          <w:b/>
          <w:bCs/>
          <w:sz w:val="24"/>
          <w:szCs w:val="24"/>
        </w:rPr>
        <w:t>分布式管理平台</w:t>
      </w:r>
    </w:p>
    <w:p>
      <w:pPr>
        <w:spacing w:line="360" w:lineRule="auto"/>
        <w:ind w:firstLine="420"/>
        <w:rPr>
          <w:rFonts w:hint="eastAsia"/>
          <w:sz w:val="24"/>
          <w:szCs w:val="24"/>
        </w:rPr>
      </w:pPr>
      <w:r>
        <w:rPr>
          <w:rFonts w:hint="eastAsia"/>
          <w:sz w:val="24"/>
          <w:szCs w:val="24"/>
        </w:rPr>
        <w:t>具备以下功能：</w:t>
      </w:r>
    </w:p>
    <w:p>
      <w:pPr>
        <w:spacing w:line="360" w:lineRule="auto"/>
        <w:ind w:firstLine="420"/>
        <w:rPr>
          <w:rFonts w:hint="eastAsia"/>
          <w:sz w:val="24"/>
          <w:szCs w:val="24"/>
        </w:rPr>
      </w:pPr>
      <w:r>
        <w:rPr>
          <w:rFonts w:hint="eastAsia"/>
          <w:sz w:val="24"/>
          <w:szCs w:val="24"/>
        </w:rPr>
        <w:t>(1)查看主机状态及系统状态，展示主机异常及修复时间；并通过邮件发送异常及修复状态；</w:t>
      </w:r>
    </w:p>
    <w:p>
      <w:pPr>
        <w:spacing w:line="360" w:lineRule="auto"/>
        <w:ind w:firstLine="420"/>
        <w:rPr>
          <w:rFonts w:hint="eastAsia"/>
          <w:sz w:val="24"/>
          <w:szCs w:val="24"/>
        </w:rPr>
      </w:pPr>
      <w:r>
        <w:rPr>
          <w:rFonts w:hint="eastAsia"/>
          <w:sz w:val="24"/>
          <w:szCs w:val="24"/>
        </w:rPr>
        <w:t>(2)实时动态监控终端、服务器端口状态，能够对服务端口异常进行告警；</w:t>
      </w:r>
    </w:p>
    <w:p>
      <w:pPr>
        <w:spacing w:line="360" w:lineRule="auto"/>
        <w:ind w:firstLine="420"/>
        <w:rPr>
          <w:rFonts w:hint="eastAsia"/>
          <w:sz w:val="24"/>
          <w:szCs w:val="24"/>
        </w:rPr>
      </w:pPr>
      <w:r>
        <w:rPr>
          <w:rFonts w:hint="eastAsia"/>
          <w:sz w:val="24"/>
          <w:szCs w:val="24"/>
        </w:rPr>
        <w:t>(3)实时动态监控终端、主机、服务器总进程数量及正在运行的进程数量。剩余磁盘空间剩余、CPU、内存使用情况，根据自身需求添加告警阈值；</w:t>
      </w:r>
    </w:p>
    <w:p>
      <w:pPr>
        <w:spacing w:line="360" w:lineRule="auto"/>
        <w:ind w:firstLine="420"/>
        <w:rPr>
          <w:rFonts w:hint="eastAsia"/>
          <w:sz w:val="24"/>
          <w:szCs w:val="24"/>
        </w:rPr>
      </w:pPr>
      <w:r>
        <w:rPr>
          <w:rFonts w:hint="eastAsia"/>
          <w:sz w:val="24"/>
          <w:szCs w:val="24"/>
        </w:rPr>
        <w:t>(4)登录用户数量监测，根据自身需求添加告警阈值；</w:t>
      </w:r>
    </w:p>
    <w:p>
      <w:pPr>
        <w:spacing w:line="360" w:lineRule="auto"/>
        <w:ind w:firstLine="420"/>
        <w:rPr>
          <w:rFonts w:hint="eastAsia"/>
          <w:sz w:val="24"/>
          <w:szCs w:val="24"/>
        </w:rPr>
      </w:pPr>
      <w:r>
        <w:rPr>
          <w:rFonts w:hint="eastAsia"/>
          <w:sz w:val="24"/>
          <w:szCs w:val="24"/>
        </w:rPr>
        <w:t>(5)网络流量监控，根据自身需求添加告警阈值；</w:t>
      </w:r>
    </w:p>
    <w:p>
      <w:pPr>
        <w:spacing w:line="360" w:lineRule="auto"/>
        <w:ind w:firstLine="420"/>
        <w:rPr>
          <w:rFonts w:hint="eastAsia"/>
          <w:sz w:val="24"/>
          <w:szCs w:val="24"/>
        </w:rPr>
      </w:pPr>
      <w:r>
        <w:rPr>
          <w:rFonts w:hint="eastAsia"/>
          <w:sz w:val="24"/>
          <w:szCs w:val="24"/>
        </w:rPr>
        <w:t>(6)具备报告报表导出功能，可自定义输出内容，导出格式为pdf；</w:t>
      </w:r>
    </w:p>
    <w:p>
      <w:pPr>
        <w:spacing w:line="360" w:lineRule="auto"/>
        <w:ind w:firstLine="420"/>
        <w:rPr>
          <w:rFonts w:hint="eastAsia"/>
          <w:sz w:val="24"/>
          <w:szCs w:val="24"/>
        </w:rPr>
      </w:pPr>
      <w:r>
        <w:rPr>
          <w:rFonts w:hint="eastAsia"/>
          <w:sz w:val="24"/>
          <w:szCs w:val="24"/>
        </w:rPr>
        <w:t>（需对以上功能进行说明并提供截图及演示DEMO）</w:t>
      </w:r>
    </w:p>
    <w:p>
      <w:pPr>
        <w:spacing w:line="360" w:lineRule="auto"/>
        <w:rPr>
          <w:rFonts w:hint="eastAsia"/>
          <w:b/>
          <w:bCs/>
          <w:sz w:val="24"/>
          <w:szCs w:val="24"/>
        </w:rPr>
      </w:pPr>
      <w:r>
        <w:rPr>
          <w:rFonts w:hint="eastAsia"/>
          <w:b/>
          <w:bCs/>
          <w:sz w:val="24"/>
          <w:szCs w:val="24"/>
        </w:rPr>
        <w:t>应急响应平台</w:t>
      </w:r>
    </w:p>
    <w:p>
      <w:pPr>
        <w:spacing w:line="360" w:lineRule="auto"/>
        <w:ind w:firstLine="420"/>
        <w:rPr>
          <w:rFonts w:hint="eastAsia"/>
          <w:sz w:val="24"/>
          <w:szCs w:val="24"/>
        </w:rPr>
      </w:pPr>
      <w:r>
        <w:rPr>
          <w:rFonts w:hint="eastAsia"/>
          <w:sz w:val="24"/>
          <w:szCs w:val="24"/>
        </w:rPr>
        <w:t>具备以下功能：</w:t>
      </w:r>
    </w:p>
    <w:p>
      <w:pPr>
        <w:spacing w:line="360" w:lineRule="auto"/>
        <w:ind w:firstLine="420"/>
        <w:rPr>
          <w:rFonts w:hint="eastAsia"/>
          <w:sz w:val="24"/>
          <w:szCs w:val="24"/>
        </w:rPr>
      </w:pPr>
      <w:r>
        <w:rPr>
          <w:rFonts w:hint="eastAsia"/>
          <w:sz w:val="24"/>
          <w:szCs w:val="24"/>
        </w:rPr>
        <w:t>(1)勒索病毒引擎：平台应能帮助客户提高勒索病毒事件的处理速度，应内置勒索病毒规则及解决办法。勒索病毒规则数在800及以上，需提供平台截图以及勒索病毒数据库截图证明。</w:t>
      </w:r>
    </w:p>
    <w:p>
      <w:pPr>
        <w:spacing w:line="360" w:lineRule="auto"/>
        <w:ind w:firstLine="420"/>
        <w:rPr>
          <w:rFonts w:hint="eastAsia"/>
          <w:sz w:val="24"/>
          <w:szCs w:val="24"/>
        </w:rPr>
      </w:pPr>
      <w:r>
        <w:rPr>
          <w:rFonts w:hint="eastAsia"/>
          <w:sz w:val="24"/>
          <w:szCs w:val="24"/>
        </w:rPr>
        <w:t>(2)应急响应事件处理能力：平台应具备对应急响应事件集中管理的功能，应处理过应急响应事件，应急事件处理记录在400条以及上事件的，需提供平台历史事件截图及平台数据库总量证明。</w:t>
      </w:r>
    </w:p>
    <w:p>
      <w:pPr>
        <w:spacing w:line="360" w:lineRule="auto"/>
        <w:ind w:firstLine="420"/>
        <w:rPr>
          <w:rFonts w:hint="eastAsia"/>
          <w:sz w:val="24"/>
          <w:szCs w:val="24"/>
        </w:rPr>
      </w:pPr>
      <w:r>
        <w:rPr>
          <w:rFonts w:hint="eastAsia"/>
          <w:sz w:val="24"/>
          <w:szCs w:val="24"/>
        </w:rPr>
        <w:t>(3)自动化应用日志分析：平台应支持对收集的应用日志进行分析，可分析攻击行为至少包括webshell，sql注入，xss，反序列化，扫描攻击等。能够分析上述所有攻击行为，需提供平台截图。</w:t>
      </w:r>
    </w:p>
    <w:p>
      <w:pPr>
        <w:spacing w:line="360" w:lineRule="auto"/>
        <w:ind w:firstLine="420"/>
        <w:rPr>
          <w:rFonts w:hint="eastAsia"/>
          <w:sz w:val="24"/>
          <w:szCs w:val="24"/>
        </w:rPr>
      </w:pPr>
      <w:r>
        <w:rPr>
          <w:rFonts w:hint="eastAsia"/>
          <w:sz w:val="24"/>
          <w:szCs w:val="24"/>
        </w:rPr>
        <w:t>(4)自动化系统分析：平台支持对主机信息，主机文件，历史操作，主机进程，主机后门，webs hell，java内存马等进行检查。需提供截图证明。</w:t>
      </w:r>
    </w:p>
    <w:p>
      <w:pPr>
        <w:spacing w:line="360" w:lineRule="auto"/>
        <w:ind w:firstLine="420"/>
        <w:rPr>
          <w:rFonts w:hint="eastAsia"/>
          <w:sz w:val="24"/>
          <w:szCs w:val="24"/>
        </w:rPr>
      </w:pPr>
      <w:r>
        <w:rPr>
          <w:rFonts w:hint="eastAsia"/>
          <w:sz w:val="24"/>
          <w:szCs w:val="24"/>
        </w:rPr>
        <w:t>(5)该工具为自主研发的应急响应工具，需提供计算机软件著作权登记证书。</w:t>
      </w:r>
    </w:p>
    <w:p>
      <w:pPr>
        <w:spacing w:line="360" w:lineRule="auto"/>
        <w:ind w:firstLine="420"/>
        <w:rPr>
          <w:rFonts w:hint="eastAsia"/>
          <w:sz w:val="24"/>
          <w:szCs w:val="24"/>
        </w:rPr>
      </w:pPr>
      <w:r>
        <w:rPr>
          <w:rFonts w:hint="eastAsia"/>
          <w:sz w:val="24"/>
          <w:szCs w:val="24"/>
        </w:rPr>
        <w:t>（需提供应急响应平台相关截图证明。）</w:t>
      </w:r>
    </w:p>
    <w:p>
      <w:pPr>
        <w:pStyle w:val="3"/>
        <w:numPr>
          <w:ilvl w:val="0"/>
          <w:numId w:val="2"/>
        </w:numPr>
        <w:spacing w:line="360" w:lineRule="auto"/>
        <w:rPr>
          <w:rFonts w:hint="eastAsia"/>
          <w:sz w:val="24"/>
          <w:szCs w:val="24"/>
        </w:rPr>
      </w:pPr>
      <w:r>
        <w:rPr>
          <w:rFonts w:hint="eastAsia"/>
          <w:sz w:val="24"/>
          <w:szCs w:val="24"/>
        </w:rPr>
        <w:t>服务团队要求：</w:t>
      </w:r>
    </w:p>
    <w:p>
      <w:pPr>
        <w:spacing w:line="360" w:lineRule="auto"/>
        <w:jc w:val="left"/>
        <w:rPr>
          <w:rFonts w:hint="eastAsia"/>
          <w:b/>
          <w:bCs/>
          <w:sz w:val="24"/>
          <w:szCs w:val="24"/>
        </w:rPr>
      </w:pPr>
      <w:r>
        <w:rPr>
          <w:rFonts w:hint="eastAsia"/>
          <w:b/>
          <w:bCs/>
          <w:sz w:val="24"/>
          <w:szCs w:val="24"/>
        </w:rPr>
        <w:t>项目经理1名要求：</w:t>
      </w:r>
    </w:p>
    <w:p>
      <w:pPr>
        <w:spacing w:line="360" w:lineRule="auto"/>
        <w:ind w:firstLine="420"/>
        <w:jc w:val="left"/>
        <w:rPr>
          <w:rFonts w:hint="eastAsia"/>
          <w:sz w:val="24"/>
          <w:szCs w:val="24"/>
        </w:rPr>
      </w:pPr>
      <w:r>
        <w:rPr>
          <w:rFonts w:hint="eastAsia"/>
          <w:sz w:val="24"/>
          <w:szCs w:val="24"/>
        </w:rPr>
        <w:t>承担本项目的项目经理需具有硕士学位，需有8年以上的信息安全工作经验，具备1.CISP（注册信息安全工程师)证书，2.信息系统项目管理师（软考高级）证书，3.CDPSE（数据隐私解决方案工程师）证书。需提供近连续六个月社保证明材料、硕士学位证书、简历、身份证复印件、证书复印件。</w:t>
      </w:r>
    </w:p>
    <w:p>
      <w:pPr>
        <w:spacing w:line="360" w:lineRule="auto"/>
        <w:ind w:firstLine="420"/>
        <w:jc w:val="left"/>
        <w:rPr>
          <w:rFonts w:hint="eastAsia"/>
          <w:sz w:val="24"/>
          <w:szCs w:val="24"/>
        </w:rPr>
      </w:pPr>
    </w:p>
    <w:p>
      <w:pPr>
        <w:spacing w:line="360" w:lineRule="auto"/>
        <w:jc w:val="left"/>
        <w:rPr>
          <w:rFonts w:hint="eastAsia"/>
          <w:b/>
          <w:bCs/>
          <w:sz w:val="24"/>
          <w:szCs w:val="24"/>
        </w:rPr>
      </w:pPr>
      <w:r>
        <w:rPr>
          <w:rFonts w:hint="eastAsia"/>
          <w:b/>
          <w:bCs/>
          <w:sz w:val="24"/>
          <w:szCs w:val="24"/>
        </w:rPr>
        <w:t>技术负责人1名，要求：</w:t>
      </w:r>
    </w:p>
    <w:p>
      <w:pPr>
        <w:spacing w:line="360" w:lineRule="auto"/>
        <w:ind w:firstLine="420"/>
        <w:jc w:val="left"/>
        <w:rPr>
          <w:rFonts w:hint="eastAsia"/>
          <w:sz w:val="24"/>
          <w:szCs w:val="24"/>
        </w:rPr>
      </w:pPr>
      <w:r>
        <w:rPr>
          <w:rFonts w:hint="eastAsia"/>
          <w:sz w:val="24"/>
          <w:szCs w:val="24"/>
        </w:rPr>
        <w:t>本项目驻场运维服务技术专家需具备研究生学历，具备1.PMP（项目管理专业人士），2.CCSK（云计算安全知识认证）。具备丰富的项目实施经验，专业的安全评估，渗透测试等技术服务技能。需提供近连续六个月社保证明材料、毕业证书、简历、身份证复印件、证书复印件。</w:t>
      </w:r>
    </w:p>
    <w:p>
      <w:pPr>
        <w:spacing w:line="360" w:lineRule="auto"/>
        <w:ind w:firstLineChars="200" w:firstLine="480"/>
        <w:jc w:val="left"/>
        <w:rPr>
          <w:rFonts w:hint="eastAsia"/>
          <w:sz w:val="24"/>
          <w:szCs w:val="24"/>
        </w:rPr>
      </w:pPr>
    </w:p>
    <w:p>
      <w:pPr>
        <w:spacing w:line="360" w:lineRule="auto"/>
        <w:jc w:val="left"/>
        <w:rPr>
          <w:rFonts w:hint="eastAsia"/>
          <w:b/>
          <w:bCs/>
          <w:sz w:val="24"/>
          <w:szCs w:val="24"/>
        </w:rPr>
      </w:pPr>
      <w:r>
        <w:rPr>
          <w:rFonts w:hint="eastAsia"/>
          <w:b/>
          <w:bCs/>
          <w:sz w:val="24"/>
          <w:szCs w:val="24"/>
        </w:rPr>
        <w:t>驻场服务人员1名：</w:t>
      </w:r>
    </w:p>
    <w:p>
      <w:pPr>
        <w:spacing w:line="360" w:lineRule="auto"/>
        <w:ind w:firstLineChars="200" w:firstLine="480"/>
        <w:jc w:val="left"/>
        <w:rPr>
          <w:rFonts w:hint="eastAsia"/>
          <w:sz w:val="24"/>
          <w:szCs w:val="24"/>
        </w:rPr>
      </w:pPr>
      <w:r>
        <w:rPr>
          <w:rFonts w:hint="eastAsia"/>
          <w:sz w:val="24"/>
          <w:szCs w:val="24"/>
        </w:rPr>
        <w:t>本项目驻场服务工程师需</w:t>
      </w:r>
      <w:r>
        <w:rPr>
          <w:sz w:val="24"/>
          <w:szCs w:val="24"/>
        </w:rPr>
        <w:t>具备</w:t>
      </w:r>
      <w:r>
        <w:rPr>
          <w:rFonts w:hint="eastAsia"/>
          <w:sz w:val="24"/>
          <w:szCs w:val="24"/>
          <w:lang w:val="en-US" w:eastAsia="zh-CN"/>
        </w:rPr>
        <w:t>大专</w:t>
      </w:r>
      <w:r>
        <w:rPr>
          <w:sz w:val="24"/>
          <w:szCs w:val="24"/>
        </w:rPr>
        <w:t>及以上学历，计算机相关专业，</w:t>
      </w:r>
      <w:r>
        <w:rPr>
          <w:rFonts w:hint="eastAsia"/>
          <w:sz w:val="24"/>
          <w:szCs w:val="24"/>
        </w:rPr>
        <w:t>10</w:t>
      </w:r>
      <w:r>
        <w:rPr>
          <w:sz w:val="24"/>
          <w:szCs w:val="24"/>
        </w:rPr>
        <w:t>年以上网络安全行业工作经验，</w:t>
      </w:r>
      <w:r>
        <w:rPr>
          <w:rFonts w:hint="eastAsia"/>
          <w:sz w:val="24"/>
          <w:szCs w:val="24"/>
        </w:rPr>
        <w:t>具备1.PMP（项目管理专业人士）2.cisaw</w:t>
      </w:r>
      <w:r>
        <w:rPr>
          <w:sz w:val="24"/>
          <w:szCs w:val="24"/>
        </w:rPr>
        <w:t>信息安全保障人员认证证书</w:t>
      </w:r>
      <w:r>
        <w:rPr>
          <w:rFonts w:hint="eastAsia"/>
          <w:sz w:val="24"/>
          <w:szCs w:val="24"/>
        </w:rPr>
        <w:t>（应急方向）证书，2，拥有海关行业</w:t>
      </w:r>
      <w:r>
        <w:rPr>
          <w:sz w:val="24"/>
          <w:szCs w:val="24"/>
        </w:rPr>
        <w:t>重要时期安全保障</w:t>
      </w:r>
      <w:r>
        <w:rPr>
          <w:rFonts w:hint="eastAsia"/>
          <w:sz w:val="24"/>
          <w:szCs w:val="24"/>
        </w:rPr>
        <w:t>、攻防演习</w:t>
      </w:r>
      <w:r>
        <w:rPr>
          <w:sz w:val="24"/>
          <w:szCs w:val="24"/>
        </w:rPr>
        <w:t>支撑工作经验</w:t>
      </w:r>
      <w:r>
        <w:rPr>
          <w:rFonts w:hint="eastAsia"/>
          <w:sz w:val="24"/>
          <w:szCs w:val="24"/>
        </w:rPr>
        <w:t>。需提供近连续六个月社保证明材料、毕业证书、简历、身份证复印件、证书复印件。</w:t>
      </w:r>
    </w:p>
    <w:p>
      <w:pPr>
        <w:spacing w:line="360" w:lineRule="auto"/>
        <w:ind w:firstLine="420"/>
        <w:jc w:val="left"/>
        <w:rPr>
          <w:rFonts w:hint="eastAsia"/>
          <w:sz w:val="24"/>
          <w:szCs w:val="24"/>
        </w:rPr>
      </w:pPr>
      <w:r>
        <w:rPr>
          <w:rFonts w:hint="eastAsia"/>
          <w:sz w:val="24"/>
          <w:szCs w:val="24"/>
        </w:rPr>
        <w:t>注：以上服务团队所有人员需提供相应简历、身份、学历、资质证明材料并加盖公章，并提供6个月以上社保证明。</w:t>
      </w:r>
    </w:p>
    <w:p>
      <w:pPr>
        <w:spacing w:line="360" w:lineRule="auto"/>
        <w:jc w:val="left"/>
        <w:rPr>
          <w:rFonts w:hint="eastAsia"/>
        </w:rPr>
      </w:pPr>
    </w:p>
    <w:p>
      <w:pPr>
        <w:spacing w:line="360" w:lineRule="auto"/>
        <w:jc w:val="left"/>
        <w:rPr>
          <w:rFonts w:hint="eastAsia"/>
        </w:rPr>
      </w:pPr>
    </w:p>
    <w:p>
      <w:pPr>
        <w:spacing w:line="360" w:lineRule="auto"/>
        <w:jc w:val="left"/>
        <w:rPr>
          <w:rFonts w:hint="eastAsia"/>
          <w:sz w:val="32"/>
          <w:szCs w:val="32"/>
        </w:rPr>
      </w:pPr>
    </w:p>
    <w:p>
      <w:pPr>
        <w:spacing w:line="360" w:lineRule="auto"/>
        <w:jc w:val="left"/>
        <w:rPr>
          <w:rFonts w:hint="eastAsia"/>
        </w:rPr>
      </w:pPr>
    </w:p>
    <w:p>
      <w:pPr>
        <w:spacing w:line="360" w:lineRule="auto"/>
        <w:jc w:val="left"/>
        <w:rPr>
          <w:rFonts w:hint="eastAsia"/>
        </w:rPr>
      </w:pP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pitch w:val="variable"/>
    <w:sig w:usb0="00000000" w:usb1="00000000" w:usb2="00000010" w:usb3="00000000" w:csb0="00040000" w:csb1="00000000"/>
  </w:font>
  <w:font w:name="Calibri">
    <w:panose1 w:val="020F0502020204030204"/>
    <w:charset w:val="00"/>
    <w:family w:val="swiss"/>
    <w:pitch w:val="variable"/>
    <w:sig w:usb0="E4002EFF" w:usb1="C000247B" w:usb2="00000009" w:usb3="00000000" w:csb0="200001FF" w:csb1="00000000"/>
  </w:font>
  <w:font w:name="方正仿宋_GBK">
    <w:panose1 w:val="02000000000000000000"/>
    <w:charset w:val="86"/>
    <w:family w:val="script"/>
    <w:pitch w:val="variable"/>
    <w:sig w:usb0="A00002BF" w:usb1="38CF7CFA" w:usb2="00082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57"/>
      </w:rPr>
      <w:fldChar w:fldCharType="begin"/>
    </w:r>
    <w:r>
      <w:rPr>
        <w:rStyle w:val="57"/>
      </w:rPr>
      <w:instrText>Page</w:instrText>
    </w:r>
    <w:r>
      <w:rPr>
        <w:rStyle w:val="57"/>
      </w:rPr>
      <w:fldChar w:fldCharType="separate"/>
    </w:r>
    <w:r>
      <w:rPr>
        <w:rStyle w:val="57"/>
      </w:rPr>
      <w:t>1</w:t>
    </w:r>
    <w:r>
      <w:rPr>
        <w:rStyle w:val="57"/>
      </w:rP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57"/>
      </w:rPr>
      <w:fldChar w:fldCharType="begin"/>
    </w:r>
    <w:r>
      <w:rPr>
        <w:rStyle w:val="57"/>
      </w:rPr>
      <w:instrText>Page</w:instrText>
    </w:r>
    <w:r>
      <w:rPr>
        <w:rStyle w:val="57"/>
      </w:rPr>
      <w:fldChar w:fldCharType="separate"/>
    </w:r>
    <w:r>
      <w:rPr>
        <w:rStyle w:val="57"/>
      </w:rPr>
      <w:t>1</w:t>
    </w:r>
    <w:r>
      <w:rPr>
        <w:rStyle w:val="57"/>
      </w:rPr>
      <w:fldChar w:fldCharType="end"/>
    </w:r>
  </w:p>
  <w:p>
    <w:pPr>
      <w:pStyle w:val="19"/>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FE2F8A9"/>
    <w:multiLevelType w:val="singleLevel"/>
    <w:tmpl w:val="EFE2F8A9"/>
    <w:lvl w:ilvl="0">
      <w:start w:val="4"/>
      <w:numFmt w:val="decimal"/>
      <w:lvlRestart w:val="0"/>
      <w:lvlText w:val="%1."/>
      <w:lvlJc w:val="left"/>
      <w:pPr>
        <w:ind w:left="0" w:hanging="0"/>
      </w:pPr>
    </w:lvl>
  </w:abstractNum>
  <w:abstractNum w:abstractNumId="1">
    <w:nsid w:val="75516EE4"/>
    <w:multiLevelType w:val="multilevel"/>
    <w:tmpl w:val="75516EE4"/>
    <w:lvl w:ilvl="0">
      <w:start w:val="5"/>
      <w:numFmt w:val="japaneseCounting"/>
      <w:lvlRestart w:val="0"/>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dlOTEyNTdhYjU4MzQ0YThkZWM4ZjYxNGVmY2EyY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宋体" w:eastAsia="宋体" w:cs="宋体"/>
      <w:kern w:val="2"/>
      <w:sz w:val="21"/>
      <w:szCs w:val="21"/>
      <w:lang w:val="en-US" w:eastAsia="zh-CN" w:bidi="ar-SA"/>
    </w:rPr>
  </w:style>
  <w:style w:type="paragraph" w:styleId="1">
    <w:name w:val="heading 1"/>
    <w:basedOn w:val="0"/>
    <w:next w:val="0"/>
    <w:pPr>
      <w:keepNext/>
      <w:keepLines/>
      <w:widowControl w:val="0"/>
      <w:spacing w:before="340" w:after="330" w:line="576" w:lineRule="auto"/>
      <w:outlineLvl w:val="0"/>
    </w:pPr>
    <w:rPr>
      <w:b/>
      <w:kern w:val="44"/>
      <w:sz w:val="44"/>
    </w:rPr>
  </w:style>
  <w:style w:type="paragraph" w:styleId="2">
    <w:name w:val="heading 2"/>
    <w:basedOn w:val="0"/>
    <w:next w:val="0"/>
    <w:pPr>
      <w:keepNext/>
      <w:keepLines/>
      <w:widowControl w:val="0"/>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0"/>
    <w:next w:val="15"/>
    <w:pPr>
      <w:keepNext/>
      <w:keepLines/>
      <w:widowControl w:val="0"/>
      <w:spacing w:before="260" w:after="260" w:line="413" w:lineRule="auto"/>
      <w:outlineLvl w:val="2"/>
    </w:pPr>
    <w:rPr>
      <w:b/>
      <w:sz w:val="32"/>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paragraph" w:styleId="5">
    <w:name w:val="heading 5"/>
    <w:basedOn w:val="0"/>
    <w:next w:val="15"/>
    <w:pPr>
      <w:keepNext/>
      <w:keepLines/>
      <w:widowControl w:val="0"/>
      <w:tabs>
        <w:tab w:val="left" w:pos="1260"/>
      </w:tabs>
      <w:spacing w:before="280" w:line="377" w:lineRule="auto"/>
      <w:outlineLvl w:val="4"/>
    </w:pPr>
    <w:rPr>
      <w:rFonts w:ascii="Arial" w:eastAsia="黑体" w:hAnsi="Arial"/>
      <w:b/>
      <w:bCs/>
      <w:spacing w:val="10"/>
      <w:sz w:val="28"/>
      <w:szCs w:val="28"/>
    </w:rPr>
  </w:style>
  <w:style w:type="character" w:default="1" w:styleId="10">
    <w:name w:val="Default Paragraph Font"/>
  </w:style>
  <w:style w:type="paragraph" w:styleId="15">
    <w:name w:val="Normal Indent"/>
    <w:basedOn w:val="0"/>
    <w:pPr>
      <w:autoSpaceDE w:val="0"/>
      <w:autoSpaceDN w:val="0"/>
      <w:adjustRightInd w:val="0"/>
      <w:ind w:firstLine="420"/>
      <w:jc w:val="left"/>
    </w:pPr>
    <w:rPr>
      <w:kern w:val="0"/>
      <w:sz w:val="24"/>
      <w:szCs w:val="20"/>
    </w:rPr>
  </w:style>
  <w:style w:type="paragraph" w:styleId="16">
    <w:name w:val="annotation text"/>
    <w:basedOn w:val="0"/>
    <w:pPr>
      <w:jc w:val="left"/>
    </w:pPr>
    <w:rPr>
      <w:rFonts w:ascii="Times New Roman" w:cs="Times New Roman" w:hAnsi="Times New Roman"/>
      <w:szCs w:val="24"/>
    </w:rPr>
  </w:style>
  <w:style w:type="paragraph" w:styleId="17">
    <w:name w:val="Body Text"/>
    <w:basedOn w:val="0"/>
    <w:next w:val="0"/>
    <w:pPr>
      <w:tabs>
        <w:tab w:val="left" w:pos="567"/>
      </w:tabs>
      <w:spacing w:before="120" w:line="22" w:lineRule="atLeast"/>
    </w:pPr>
    <w:rPr>
      <w:sz w:val="24"/>
    </w:rPr>
  </w:style>
  <w:style w:type="paragraph" w:styleId="18">
    <w:name w:val="Body Text Indent 2"/>
    <w:basedOn w:val="0"/>
    <w:pPr>
      <w:spacing w:after="120" w:line="480" w:lineRule="auto"/>
      <w:ind w:leftChars="200" w:left="200"/>
    </w:p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tabs>
        <w:tab w:val="center" w:pos="4153"/>
        <w:tab w:val="right" w:pos="8306"/>
      </w:tabs>
      <w:snapToGrid w:val="0"/>
      <w:jc w:val="center"/>
    </w:pPr>
    <w:rPr>
      <w:sz w:val="18"/>
      <w:szCs w:val="18"/>
    </w:rPr>
  </w:style>
  <w:style w:type="paragraph" w:styleId="21">
    <w:name w:val="annotation subject"/>
    <w:basedOn w:val="16"/>
    <w:next w:val="16"/>
    <w:rPr>
      <w:rFonts w:ascii="宋体" w:cs="宋体"/>
      <w:b/>
      <w:bCs/>
      <w:szCs w:val="21"/>
    </w:rPr>
  </w:style>
  <w:style w:type="character" w:styleId="22">
    <w:name w:val="annotation reference"/>
    <w:basedOn w:val="10"/>
    <w:rPr>
      <w:sz w:val="21"/>
      <w:szCs w:val="21"/>
    </w:rPr>
  </w:style>
  <w:style w:type="character" w:customStyle="1" w:styleId="23">
    <w:name w:val="font11"/>
    <w:basedOn w:val="10"/>
    <w:rPr>
      <w:rFonts w:ascii="宋体" w:eastAsia="宋体" w:cs="宋体"/>
      <w:color w:val="000000"/>
      <w:sz w:val="21"/>
      <w:szCs w:val="21"/>
      <w:u w:val="none"/>
    </w:rPr>
  </w:style>
  <w:style w:type="character" w:customStyle="1" w:styleId="24">
    <w:name w:val="font31"/>
    <w:basedOn w:val="10"/>
    <w:rPr>
      <w:rFonts w:ascii="微软雅黑" w:eastAsia="微软雅黑" w:cs="微软雅黑"/>
      <w:color w:val="FF0000"/>
      <w:sz w:val="21"/>
      <w:szCs w:val="21"/>
      <w:u w:val="none"/>
    </w:rPr>
  </w:style>
  <w:style w:type="character" w:customStyle="1" w:styleId="25">
    <w:name w:val="font41"/>
    <w:basedOn w:val="10"/>
    <w:rPr>
      <w:rFonts w:ascii="宋体" w:eastAsia="宋体" w:cs="宋体"/>
      <w:color w:val="FF0000"/>
      <w:sz w:val="21"/>
      <w:szCs w:val="21"/>
      <w:u w:val="none"/>
    </w:rPr>
  </w:style>
  <w:style w:type="character" w:customStyle="1" w:styleId="26">
    <w:name w:val="font21"/>
    <w:basedOn w:val="10"/>
    <w:rPr>
      <w:rFonts w:ascii="宋体" w:eastAsia="宋体" w:cs="宋体"/>
      <w:color w:val="000000"/>
      <w:sz w:val="21"/>
      <w:szCs w:val="21"/>
      <w:u w:val="none"/>
    </w:rPr>
  </w:style>
  <w:style w:type="character" w:customStyle="1" w:styleId="27">
    <w:name w:val="font51"/>
    <w:basedOn w:val="10"/>
    <w:rPr>
      <w:rFonts w:ascii="宋体" w:eastAsia="宋体" w:cs="宋体"/>
      <w:color w:val="FF0000"/>
      <w:sz w:val="18"/>
      <w:szCs w:val="18"/>
      <w:u w:val="none"/>
    </w:rPr>
  </w:style>
  <w:style w:type="paragraph" w:customStyle="1" w:styleId="28">
    <w:name w:val="AAA"/>
    <w:basedOn w:val="0"/>
    <w:next w:val="29"/>
    <w:pPr>
      <w:widowControl/>
      <w:ind w:firstLineChars="200" w:firstLine="200"/>
      <w:jc w:val="left"/>
    </w:pPr>
    <w:rPr>
      <w:kern w:val="0"/>
      <w:sz w:val="24"/>
    </w:rPr>
  </w:style>
  <w:style w:type="paragraph" w:customStyle="1" w:styleId="29">
    <w:name w:val="List Paragraph"/>
    <w:basedOn w:val="0"/>
    <w:pPr>
      <w:ind w:firstLineChars="200" w:firstLine="200"/>
    </w:pPr>
  </w:style>
  <w:style w:type="paragraph" w:customStyle="1" w:styleId="30">
    <w:name w:val="1正文"/>
    <w:basedOn w:val="0"/>
    <w:pPr>
      <w:spacing w:line="560" w:lineRule="exact"/>
      <w:ind w:firstLineChars="200" w:firstLine="200"/>
    </w:pPr>
    <w:rPr>
      <w:rFonts w:eastAsia="仿宋_GB2312"/>
      <w:sz w:val="32"/>
    </w:rPr>
  </w:style>
  <w:style w:type="paragraph" w:customStyle="1" w:styleId="31">
    <w:name w:val="样式31"/>
    <w:basedOn w:val="0"/>
    <w:pPr>
      <w:widowControl/>
      <w:spacing w:after="200"/>
      <w:ind w:firstLineChars="200" w:firstLine="200"/>
      <w:jc w:val="left"/>
    </w:pPr>
    <w:rPr>
      <w:rFonts w:ascii="Calibri" w:eastAsia="微软雅黑" w:cs="Arial" w:hAnsi="Calibri"/>
      <w:kern w:val="0"/>
      <w:sz w:val="24"/>
      <w:szCs w:val="22"/>
      <w:lang w:bidi="en-US"/>
    </w:rPr>
  </w:style>
  <w:style w:type="paragraph" w:customStyle="1" w:styleId="32">
    <w:name w:val="样式34"/>
    <w:basedOn w:val="31"/>
    <w:rPr>
      <w:rFonts w:ascii="Times New Roman" w:eastAsia="宋体" w:hAnsi="Times New Roman"/>
    </w:rPr>
  </w:style>
  <w:style w:type="paragraph" w:customStyle="1" w:styleId="33">
    <w:name w:val="样式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34">
    <w:name w:val="样式 3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character" w:styleId="57">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28</TotalTime>
  <Application>Yozo_Office</Application>
  <Pages>7</Pages>
  <Words>3814</Words>
  <Characters>3948</Characters>
  <Lines>170</Lines>
  <Paragraphs>90</Paragraphs>
  <CharactersWithSpaces>3955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小点</dc:creator>
  <cp:lastModifiedBy>郁风</cp:lastModifiedBy>
  <cp:revision>5</cp:revision>
  <dcterms:created xsi:type="dcterms:W3CDTF">2026-05-14T09:05:00Z</dcterms:created>
  <dcterms:modified xsi:type="dcterms:W3CDTF">2026-05-19T07:50:26Z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F4264F409D5A4B89AB9CBE112B835ADF_13</vt:lpwstr>
  </property>
  <property fmtid="{D5CDD505-2E9C-101B-9397-08002B2CF9AE}" pid="4" name="KSOTemplateDocerSaveRecord">
    <vt:lpwstr>eyJoZGlkIjoiMmM2NmQzMGQzNzNhYTc2MGU5ODgzYTczYTZkYTY4NTQiLCJ1c2VySWQiOiIxMTcwMzI3NjgwIn0=</vt:lpwstr>
  </property>
</Properties>
</file>