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方正小标宋_GBK" w:eastAsia="方正小标宋_GBK" w:cs="方正小标宋_GBK"/>
          <w:sz w:val="32"/>
          <w:szCs w:val="32"/>
        </w:rPr>
      </w:pPr>
      <w:bookmarkStart w:id="0" w:name="_GoBack"/>
      <w:bookmarkEnd w:id="0"/>
      <w:r>
        <w:rPr>
          <w:rFonts w:ascii="方正小标宋_GBK" w:eastAsia="方正小标宋_GBK" w:cs="方正小标宋_GBK" w:hint="eastAsia"/>
          <w:sz w:val="32"/>
          <w:szCs w:val="32"/>
        </w:rPr>
        <w:t>评分表</w:t>
      </w:r>
    </w:p>
    <w:tbl>
      <w:tblPr>
        <w:jc w:val="left"/>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76"/>
        <w:gridCol w:w="1065"/>
        <w:gridCol w:w="690"/>
        <w:gridCol w:w="1435"/>
        <w:gridCol w:w="3047"/>
        <w:gridCol w:w="1382"/>
      </w:tblGrid>
      <w:tr>
        <w:trPr>
          <w:trHeight w:val="520"/>
        </w:trPr>
        <w:tc>
          <w:tcPr>
            <w:tcW w:w="676" w:type="dxa"/>
          </w:tcPr>
          <w:p>
            <w:pPr>
              <w:pStyle w:val="30"/>
              <w:jc w:val="center"/>
              <w:rPr>
                <w:rFonts w:ascii="方正黑体_GBK" w:eastAsia="方正黑体_GBK" w:cs="方正黑体_GBK" w:hint="eastAsia"/>
                <w:szCs w:val="21"/>
              </w:rPr>
            </w:pPr>
            <w:r>
              <w:rPr>
                <w:rFonts w:ascii="方正黑体_GBK" w:eastAsia="方正黑体_GBK" w:cs="方正黑体_GBK" w:hint="eastAsia"/>
                <w:szCs w:val="21"/>
              </w:rPr>
              <w:t>序号</w:t>
            </w:r>
          </w:p>
        </w:tc>
        <w:tc>
          <w:tcPr>
            <w:tcW w:w="1065" w:type="dxa"/>
          </w:tcPr>
          <w:p>
            <w:pPr>
              <w:pStyle w:val="30"/>
              <w:jc w:val="center"/>
              <w:rPr>
                <w:rFonts w:ascii="方正黑体_GBK" w:eastAsia="方正黑体_GBK" w:cs="方正黑体_GBK" w:hint="eastAsia"/>
                <w:szCs w:val="21"/>
              </w:rPr>
            </w:pPr>
            <w:r>
              <w:rPr>
                <w:rFonts w:ascii="方正黑体_GBK" w:eastAsia="方正黑体_GBK" w:cs="方正黑体_GBK" w:hint="eastAsia"/>
                <w:szCs w:val="21"/>
              </w:rPr>
              <w:t>评分大类</w:t>
            </w:r>
          </w:p>
        </w:tc>
        <w:tc>
          <w:tcPr>
            <w:tcW w:w="690" w:type="dxa"/>
          </w:tcPr>
          <w:p>
            <w:pPr>
              <w:pStyle w:val="30"/>
              <w:jc w:val="center"/>
              <w:rPr>
                <w:rFonts w:ascii="方正黑体_GBK" w:eastAsia="方正黑体_GBK" w:cs="方正黑体_GBK" w:hint="eastAsia"/>
                <w:szCs w:val="21"/>
              </w:rPr>
            </w:pPr>
            <w:r>
              <w:rPr>
                <w:rFonts w:ascii="方正黑体_GBK" w:eastAsia="方正黑体_GBK" w:cs="方正黑体_GBK" w:hint="eastAsia"/>
                <w:szCs w:val="21"/>
              </w:rPr>
              <w:t>分值</w:t>
            </w:r>
          </w:p>
        </w:tc>
        <w:tc>
          <w:tcPr>
            <w:tcW w:w="1435" w:type="dxa"/>
          </w:tcPr>
          <w:p>
            <w:pPr>
              <w:pStyle w:val="31"/>
              <w:jc w:val="center"/>
              <w:rPr>
                <w:rFonts w:ascii="方正黑体_GBK" w:eastAsia="方正黑体_GBK" w:cs="方正黑体_GBK" w:hint="eastAsia"/>
                <w:szCs w:val="21"/>
              </w:rPr>
            </w:pPr>
            <w:r>
              <w:rPr>
                <w:rFonts w:ascii="方正黑体_GBK" w:eastAsia="方正黑体_GBK" w:cs="方正黑体_GBK" w:hint="eastAsia"/>
                <w:szCs w:val="21"/>
              </w:rPr>
              <w:t>评分细分项</w:t>
            </w:r>
          </w:p>
        </w:tc>
        <w:tc>
          <w:tcPr>
            <w:tcW w:w="3047" w:type="dxa"/>
          </w:tcPr>
          <w:p>
            <w:pPr>
              <w:pStyle w:val="32"/>
              <w:jc w:val="center"/>
              <w:rPr>
                <w:rFonts w:ascii="方正黑体_GBK" w:eastAsia="方正黑体_GBK" w:cs="方正黑体_GBK" w:hint="eastAsia"/>
                <w:szCs w:val="21"/>
              </w:rPr>
            </w:pPr>
            <w:r>
              <w:rPr>
                <w:rFonts w:ascii="方正黑体_GBK" w:eastAsia="方正黑体_GBK" w:cs="方正黑体_GBK" w:hint="eastAsia"/>
                <w:szCs w:val="21"/>
              </w:rPr>
              <w:t>评分标准</w:t>
            </w:r>
          </w:p>
        </w:tc>
        <w:tc>
          <w:tcPr>
            <w:tcW w:w="1382" w:type="dxa"/>
          </w:tcPr>
          <w:p>
            <w:pPr>
              <w:pStyle w:val="33"/>
              <w:jc w:val="center"/>
              <w:rPr>
                <w:rFonts w:ascii="方正黑体_GBK" w:eastAsia="方正黑体_GBK" w:cs="方正黑体_GBK" w:hint="eastAsia"/>
                <w:szCs w:val="21"/>
              </w:rPr>
            </w:pPr>
            <w:r>
              <w:rPr>
                <w:rFonts w:ascii="方正黑体_GBK" w:eastAsia="方正黑体_GBK" w:cs="方正黑体_GBK" w:hint="eastAsia"/>
                <w:szCs w:val="21"/>
              </w:rPr>
              <w:t>得分</w:t>
            </w:r>
          </w:p>
        </w:tc>
      </w:tr>
      <w:tr>
        <w:trPr>
          <w:trHeight w:val="1861"/>
        </w:trPr>
        <w:tc>
          <w:tcPr>
            <w:tcW w:w="676" w:type="dxa"/>
            <w:vMerge w:val="restart"/>
          </w:tcPr>
          <w:p>
            <w:pPr>
              <w:pStyle w:val="34"/>
              <w:pBdr>
                <w:top w:val="none" w:sz="0" w:space="0" w:color="auto"/>
                <w:left w:val="none" w:sz="0" w:space="0" w:color="auto"/>
                <w:bottom w:val="none" w:sz="0" w:space="0" w:color="auto"/>
                <w:right w:val="none" w:sz="0" w:space="0" w:color="auto"/>
              </w:pBdr>
              <w:jc w:val="center"/>
              <w:rPr>
                <w:rFonts w:ascii="Times New Roman" w:cs="Times New Roman" w:hAnsi="Times New Roman"/>
              </w:rPr>
            </w:pPr>
            <w:r>
              <w:rPr>
                <w:rFonts w:ascii="Times New Roman" w:cs="Times New Roman" w:hAnsi="Times New Roman"/>
              </w:rPr>
              <w:t>1</w:t>
            </w:r>
          </w:p>
        </w:tc>
        <w:tc>
          <w:tcPr>
            <w:tcW w:w="1065" w:type="dxa"/>
            <w:vMerge w:val="restart"/>
            <w:tcBorders>
              <w:top w:val="single" w:sz="4" w:space="0" w:color="auto"/>
              <w:left w:val="single" w:sz="4" w:space="0" w:color="auto"/>
              <w:right w:val="single" w:sz="4" w:space="0" w:color="auto"/>
            </w:tcBorders>
          </w:tcPr>
          <w:p>
            <w:pPr>
              <w:pStyle w:val="35"/>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机构资质（合规性与专业资质）</w:t>
            </w:r>
          </w:p>
        </w:tc>
        <w:tc>
          <w:tcPr>
            <w:tcW w:w="690" w:type="dxa"/>
            <w:vMerge w:val="restart"/>
            <w:tcBorders>
              <w:top w:val="single" w:sz="4" w:space="0" w:color="auto"/>
              <w:left w:val="single" w:sz="4" w:space="0" w:color="auto"/>
              <w:right w:val="single" w:sz="4" w:space="0" w:color="auto"/>
            </w:tcBorders>
          </w:tcPr>
          <w:p>
            <w:pPr>
              <w:pStyle w:val="36"/>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25</w:t>
            </w:r>
          </w:p>
        </w:tc>
        <w:tc>
          <w:tcPr>
            <w:tcW w:w="1435"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1.对项目服务内容、服务要求、重难点的理解及响应程度（5分）</w:t>
            </w:r>
          </w:p>
        </w:tc>
        <w:tc>
          <w:tcPr>
            <w:tcW w:w="3047"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1.投标人需按照采购文件的内容进行逐一应答，评审委员会根据投标人的技术参数应答情况并结合投标人的证明材料，按照采购文件要求进行评价，完全满足采购文件参数要求的得5分：</w:t>
            </w:r>
          </w:p>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2.投标人需按照采购文件的内容进行逐一应答，评审委员会根据投标人的技术参数应答情况并结合投标人的证明材料，按照采购文件要求进行评价，一般满足采购文件参数要求的得3分：</w:t>
            </w:r>
          </w:p>
        </w:tc>
        <w:tc>
          <w:tcPr>
            <w:tcW w:w="1382" w:type="dxa"/>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p>
        </w:tc>
      </w:tr>
      <w:tr>
        <w:trPr>
          <w:trHeight w:val="2165"/>
        </w:trPr>
        <w:tc>
          <w:tcPr>
            <w:tcW w:w="676" w:type="dxa"/>
            <w:vMerge/>
          </w:tcPr>
          <w:p/>
        </w:tc>
        <w:tc>
          <w:tcPr>
            <w:tcW w:w="1065" w:type="dxa"/>
            <w:vMerge/>
            <w:tcBorders>
              <w:top w:val="single" w:sz="4" w:space="0" w:color="auto"/>
              <w:left w:val="single" w:sz="4" w:space="0" w:color="auto"/>
              <w:right w:val="single" w:sz="4" w:space="0" w:color="auto"/>
            </w:tcBorders>
          </w:tcPr>
          <w:p/>
        </w:tc>
        <w:tc>
          <w:tcPr>
            <w:tcW w:w="690" w:type="dxa"/>
            <w:vMerge/>
            <w:tcBorders>
              <w:top w:val="single" w:sz="4" w:space="0" w:color="auto"/>
              <w:left w:val="single" w:sz="4" w:space="0" w:color="auto"/>
              <w:right w:val="single" w:sz="4" w:space="0" w:color="auto"/>
            </w:tcBorders>
          </w:tcPr>
          <w:p/>
        </w:tc>
        <w:tc>
          <w:tcPr>
            <w:tcW w:w="1435"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2.核心检测资质（15分）</w:t>
            </w:r>
          </w:p>
        </w:tc>
        <w:tc>
          <w:tcPr>
            <w:tcW w:w="3047"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1. 取得CMA检验检测机构资质认定证书，得5分； 2. 取得中国合格评定国家认可委员会实验室认可证书（CNAS ISO/IEC 17025），得5分；3.取得中国合格评定国家认可委员会检验机构认可证书（CNAS ISO/IEC 17020），得5分。</w:t>
            </w:r>
          </w:p>
        </w:tc>
        <w:tc>
          <w:tcPr>
            <w:tcW w:w="1382" w:type="dxa"/>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p>
        </w:tc>
      </w:tr>
      <w:tr>
        <w:trPr>
          <w:trHeight w:val="2137"/>
        </w:trPr>
        <w:tc>
          <w:tcPr>
            <w:tcW w:w="676" w:type="dxa"/>
            <w:vMerge/>
          </w:tcPr>
          <w:p/>
        </w:tc>
        <w:tc>
          <w:tcPr>
            <w:tcW w:w="1065" w:type="dxa"/>
            <w:vMerge/>
            <w:tcBorders>
              <w:top w:val="single" w:sz="4" w:space="0" w:color="auto"/>
              <w:left w:val="single" w:sz="4" w:space="0" w:color="auto"/>
              <w:right w:val="single" w:sz="4" w:space="0" w:color="auto"/>
            </w:tcBorders>
          </w:tcPr>
          <w:p/>
        </w:tc>
        <w:tc>
          <w:tcPr>
            <w:tcW w:w="690" w:type="dxa"/>
            <w:vMerge/>
            <w:tcBorders>
              <w:top w:val="single" w:sz="4" w:space="0" w:color="auto"/>
              <w:left w:val="single" w:sz="4" w:space="0" w:color="auto"/>
              <w:right w:val="single" w:sz="4" w:space="0" w:color="auto"/>
            </w:tcBorders>
          </w:tcPr>
          <w:p/>
        </w:tc>
        <w:tc>
          <w:tcPr>
            <w:tcW w:w="1435"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实验室配置能力（5分）</w:t>
            </w:r>
          </w:p>
        </w:tc>
        <w:tc>
          <w:tcPr>
            <w:tcW w:w="3047"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具备检测实验室，实验室检测能力覆盖石油及石油产品、固体散装货物、液体散装货物、精矿类产品及粮谷类产品等多个领域，每覆盖1项得1分，最多得5分。无相关实验室不得分。（需提供CMA证书及附表）</w:t>
            </w:r>
          </w:p>
        </w:tc>
        <w:tc>
          <w:tcPr>
            <w:tcW w:w="1382" w:type="dxa"/>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p>
        </w:tc>
      </w:tr>
      <w:tr>
        <w:trPr>
          <w:trHeight w:val="315"/>
        </w:trPr>
        <w:tc>
          <w:tcPr>
            <w:tcW w:w="676" w:type="dxa"/>
            <w:vMerge w:val="restart"/>
          </w:tcPr>
          <w:p>
            <w:pPr>
              <w:pStyle w:val="37"/>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2</w:t>
            </w:r>
          </w:p>
        </w:tc>
        <w:tc>
          <w:tcPr>
            <w:tcW w:w="1065" w:type="dxa"/>
            <w:vMerge w:val="restart"/>
            <w:tcBorders>
              <w:top w:val="single" w:sz="4" w:space="0" w:color="auto"/>
              <w:left w:val="single" w:sz="4" w:space="0" w:color="auto"/>
              <w:right w:val="single" w:sz="4" w:space="0" w:color="auto"/>
            </w:tcBorders>
          </w:tcPr>
          <w:p>
            <w:pPr>
              <w:pStyle w:val="38"/>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人员团队（专业能力与配置）</w:t>
            </w:r>
          </w:p>
        </w:tc>
        <w:tc>
          <w:tcPr>
            <w:tcW w:w="690" w:type="dxa"/>
            <w:vMerge w:val="restart"/>
            <w:tcBorders>
              <w:top w:val="single" w:sz="4" w:space="0" w:color="auto"/>
              <w:left w:val="single" w:sz="4" w:space="0" w:color="auto"/>
              <w:right w:val="single" w:sz="4" w:space="0" w:color="auto"/>
            </w:tcBorders>
          </w:tcPr>
          <w:p>
            <w:pPr>
              <w:pStyle w:val="39"/>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20</w:t>
            </w:r>
          </w:p>
        </w:tc>
        <w:tc>
          <w:tcPr>
            <w:tcW w:w="1435"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1.团队规模与配置（5分）</w:t>
            </w:r>
          </w:p>
        </w:tc>
        <w:tc>
          <w:tcPr>
            <w:tcW w:w="3047"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 xml:space="preserve">检测团队人员充足（满足4-6人），专业配置齐全，满足各类检测任务需求，得5分；人员配置基本满足需求（满足2-3人），得3分。（需提供人员名单及社保缴纳证明或工资流水证明，否则不得分）  </w:t>
            </w:r>
          </w:p>
        </w:tc>
        <w:tc>
          <w:tcPr>
            <w:tcW w:w="1382" w:type="dxa"/>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p>
        </w:tc>
      </w:tr>
      <w:tr>
        <w:trPr>
          <w:trHeight w:val="2801"/>
        </w:trPr>
        <w:tc>
          <w:tcPr>
            <w:tcW w:w="676" w:type="dxa"/>
            <w:vMerge/>
          </w:tcPr>
          <w:p/>
        </w:tc>
        <w:tc>
          <w:tcPr>
            <w:tcW w:w="1065" w:type="dxa"/>
            <w:vMerge/>
            <w:tcBorders>
              <w:top w:val="single" w:sz="4" w:space="0" w:color="auto"/>
              <w:left w:val="single" w:sz="4" w:space="0" w:color="auto"/>
              <w:right w:val="single" w:sz="4" w:space="0" w:color="auto"/>
            </w:tcBorders>
          </w:tcPr>
          <w:p/>
        </w:tc>
        <w:tc>
          <w:tcPr>
            <w:tcW w:w="690" w:type="dxa"/>
            <w:vMerge/>
            <w:tcBorders>
              <w:top w:val="single" w:sz="4" w:space="0" w:color="auto"/>
              <w:left w:val="single" w:sz="4" w:space="0" w:color="auto"/>
              <w:right w:val="single" w:sz="4" w:space="0" w:color="auto"/>
            </w:tcBorders>
          </w:tcPr>
          <w:p/>
        </w:tc>
        <w:tc>
          <w:tcPr>
            <w:tcW w:w="1435"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2.专业技术人员资质（10分）</w:t>
            </w:r>
          </w:p>
        </w:tc>
        <w:tc>
          <w:tcPr>
            <w:tcW w:w="3047"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团队应配备满足海关检验检测业务需求的高级工程师人员。职称领域应涵盖质量、工程机械、石油化工、食品等相关专业方向。每1名符合要求的高级工程师得2分，最多得10分。专业方向不符、证明材料不完整或无法证明实际技术能力的，相应人员不计分。（需提供证书）</w:t>
            </w:r>
          </w:p>
        </w:tc>
        <w:tc>
          <w:tcPr>
            <w:tcW w:w="1382" w:type="dxa"/>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p>
        </w:tc>
      </w:tr>
      <w:tr>
        <w:trPr>
          <w:trHeight w:val="1278"/>
        </w:trPr>
        <w:tc>
          <w:tcPr>
            <w:tcW w:w="676" w:type="dxa"/>
            <w:vMerge/>
          </w:tcPr>
          <w:p/>
        </w:tc>
        <w:tc>
          <w:tcPr>
            <w:tcW w:w="1065" w:type="dxa"/>
            <w:vMerge/>
            <w:tcBorders>
              <w:top w:val="single" w:sz="4" w:space="0" w:color="auto"/>
              <w:left w:val="single" w:sz="4" w:space="0" w:color="auto"/>
              <w:right w:val="single" w:sz="4" w:space="0" w:color="auto"/>
            </w:tcBorders>
          </w:tcPr>
          <w:p/>
        </w:tc>
        <w:tc>
          <w:tcPr>
            <w:tcW w:w="690" w:type="dxa"/>
            <w:vMerge/>
            <w:tcBorders>
              <w:top w:val="single" w:sz="4" w:space="0" w:color="auto"/>
              <w:left w:val="single" w:sz="4" w:space="0" w:color="auto"/>
              <w:right w:val="single" w:sz="4" w:space="0" w:color="auto"/>
            </w:tcBorders>
          </w:tcPr>
          <w:p/>
        </w:tc>
        <w:tc>
          <w:tcPr>
            <w:tcW w:w="1435"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人员从业经验（5分）</w:t>
            </w:r>
          </w:p>
        </w:tc>
        <w:tc>
          <w:tcPr>
            <w:tcW w:w="3047"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 xml:space="preserve">核心检测人员具备3年及以上商品检测工作经验，每提供1人有效证明得1分，最多得5分。（须提供证书复印件并加盖公章及的社保缴纳证明或工资流水证明，否则不得分） </w:t>
            </w:r>
          </w:p>
        </w:tc>
        <w:tc>
          <w:tcPr>
            <w:tcW w:w="1382" w:type="dxa"/>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p>
        </w:tc>
      </w:tr>
      <w:tr>
        <w:trPr>
          <w:trHeight w:val="706"/>
        </w:trPr>
        <w:tc>
          <w:tcPr>
            <w:tcW w:w="676" w:type="dxa"/>
            <w:vMerge w:val="restart"/>
          </w:tcPr>
          <w:p>
            <w:pPr>
              <w:pStyle w:val="4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3</w:t>
            </w:r>
          </w:p>
        </w:tc>
        <w:tc>
          <w:tcPr>
            <w:tcW w:w="1065" w:type="dxa"/>
            <w:vMerge w:val="restart"/>
            <w:tcBorders>
              <w:top w:val="single" w:sz="4" w:space="0" w:color="auto"/>
              <w:left w:val="single" w:sz="4" w:space="0" w:color="auto"/>
              <w:right w:val="single" w:sz="4" w:space="0" w:color="auto"/>
            </w:tcBorders>
          </w:tcPr>
          <w:p>
            <w:pPr>
              <w:pStyle w:val="41"/>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历史检测经验（业绩与服务能力）</w:t>
            </w:r>
          </w:p>
        </w:tc>
        <w:tc>
          <w:tcPr>
            <w:tcW w:w="690" w:type="dxa"/>
            <w:vMerge w:val="restart"/>
            <w:tcBorders>
              <w:top w:val="single" w:sz="4" w:space="0" w:color="auto"/>
              <w:left w:val="single" w:sz="4" w:space="0" w:color="auto"/>
              <w:right w:val="single" w:sz="4" w:space="0" w:color="auto"/>
            </w:tcBorders>
          </w:tcPr>
          <w:p>
            <w:pPr>
              <w:pStyle w:val="42"/>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25</w:t>
            </w:r>
          </w:p>
        </w:tc>
        <w:tc>
          <w:tcPr>
            <w:tcW w:w="1435"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 xml:space="preserve"> 1.同类项目业绩（20分）</w:t>
            </w:r>
          </w:p>
        </w:tc>
        <w:tc>
          <w:tcPr>
            <w:tcW w:w="3047"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自2022年1月1日以来，投标单位承接过招标单位或市级（含）以上政府部门委托的类似本项目业绩，每1个得4分，以合同扫描件或执行现场图片加效果图为准（需提供项目对接人联系方式，以便核实）；其他类似业绩每一个得2分，最高得20分。注：须提供印证材料，合同或证明材料需能体现出委托单位名称、项目名称、评价或评审内容。（以合同签订时间为准）</w:t>
            </w:r>
          </w:p>
        </w:tc>
        <w:tc>
          <w:tcPr>
            <w:tcW w:w="1382" w:type="dxa"/>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p>
        </w:tc>
      </w:tr>
      <w:tr>
        <w:trPr>
          <w:trHeight w:val="1266"/>
        </w:trPr>
        <w:tc>
          <w:tcPr>
            <w:tcW w:w="676" w:type="dxa"/>
            <w:vMerge/>
          </w:tcPr>
          <w:p/>
        </w:tc>
        <w:tc>
          <w:tcPr>
            <w:tcW w:w="1065" w:type="dxa"/>
            <w:vMerge/>
            <w:tcBorders>
              <w:top w:val="single" w:sz="4" w:space="0" w:color="auto"/>
              <w:left w:val="single" w:sz="4" w:space="0" w:color="auto"/>
              <w:right w:val="single" w:sz="4" w:space="0" w:color="auto"/>
            </w:tcBorders>
          </w:tcPr>
          <w:p/>
        </w:tc>
        <w:tc>
          <w:tcPr>
            <w:tcW w:w="690" w:type="dxa"/>
            <w:vMerge/>
            <w:tcBorders>
              <w:top w:val="single" w:sz="4" w:space="0" w:color="auto"/>
              <w:left w:val="single" w:sz="4" w:space="0" w:color="auto"/>
              <w:right w:val="single" w:sz="4" w:space="0" w:color="auto"/>
            </w:tcBorders>
          </w:tcPr>
          <w:p/>
        </w:tc>
        <w:tc>
          <w:tcPr>
            <w:tcW w:w="1435"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服务覆盖能力（5分）</w:t>
            </w:r>
          </w:p>
        </w:tc>
        <w:tc>
          <w:tcPr>
            <w:tcW w:w="3047"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具备跨区域检测服务能力，可快速响应海关多地检测需求，得5分；仅能服务部分区域，得2分。</w:t>
            </w:r>
          </w:p>
        </w:tc>
        <w:tc>
          <w:tcPr>
            <w:tcW w:w="1382" w:type="dxa"/>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p>
        </w:tc>
      </w:tr>
      <w:tr>
        <w:trPr>
          <w:trHeight w:val="2173"/>
        </w:trPr>
        <w:tc>
          <w:tcPr>
            <w:tcW w:w="676" w:type="dxa"/>
            <w:vMerge w:val="restart"/>
          </w:tcPr>
          <w:p>
            <w:pPr>
              <w:pStyle w:val="43"/>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4</w:t>
            </w:r>
          </w:p>
        </w:tc>
        <w:tc>
          <w:tcPr>
            <w:tcW w:w="1065" w:type="dxa"/>
            <w:vMerge w:val="restart"/>
            <w:tcBorders>
              <w:top w:val="single" w:sz="4" w:space="0" w:color="auto"/>
              <w:left w:val="single" w:sz="4" w:space="0" w:color="auto"/>
              <w:right w:val="single" w:sz="4" w:space="0" w:color="auto"/>
            </w:tcBorders>
          </w:tcPr>
          <w:p>
            <w:pPr>
              <w:pStyle w:val="44"/>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服务响应能力（效率与保障）</w:t>
            </w:r>
          </w:p>
        </w:tc>
        <w:tc>
          <w:tcPr>
            <w:tcW w:w="690" w:type="dxa"/>
            <w:vMerge w:val="restart"/>
            <w:tcBorders>
              <w:top w:val="single" w:sz="4" w:space="0" w:color="auto"/>
              <w:left w:val="single" w:sz="4" w:space="0" w:color="auto"/>
              <w:right w:val="single" w:sz="4" w:space="0" w:color="auto"/>
            </w:tcBorders>
          </w:tcPr>
          <w:p>
            <w:pPr>
              <w:pStyle w:val="45"/>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20</w:t>
            </w:r>
          </w:p>
        </w:tc>
        <w:tc>
          <w:tcPr>
            <w:tcW w:w="1435"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 xml:space="preserve"> 1.响应时效（6分） </w:t>
            </w:r>
          </w:p>
        </w:tc>
        <w:tc>
          <w:tcPr>
            <w:tcW w:w="3047"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 xml:space="preserve">1. 日常检测需求：承诺2小时内响应，4小时内对接落实，得3分；响应时效每延后2小时扣1分； 2. 应急检测任务：承诺30分钟内响应，12小时内进场开展检测，得3分；未达标，酌情扣分。 </w:t>
            </w:r>
          </w:p>
        </w:tc>
        <w:tc>
          <w:tcPr>
            <w:tcW w:w="1382" w:type="dxa"/>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p>
        </w:tc>
      </w:tr>
      <w:tr>
        <w:trPr>
          <w:trHeight w:val="886"/>
        </w:trPr>
        <w:tc>
          <w:tcPr>
            <w:tcW w:w="676" w:type="dxa"/>
            <w:vMerge/>
          </w:tcPr>
          <w:p/>
        </w:tc>
        <w:tc>
          <w:tcPr>
            <w:tcW w:w="1065" w:type="dxa"/>
            <w:vMerge/>
            <w:tcBorders>
              <w:top w:val="single" w:sz="4" w:space="0" w:color="auto"/>
              <w:left w:val="single" w:sz="4" w:space="0" w:color="auto"/>
              <w:right w:val="single" w:sz="4" w:space="0" w:color="auto"/>
            </w:tcBorders>
          </w:tcPr>
          <w:p/>
        </w:tc>
        <w:tc>
          <w:tcPr>
            <w:tcW w:w="690" w:type="dxa"/>
            <w:vMerge/>
            <w:tcBorders>
              <w:top w:val="single" w:sz="4" w:space="0" w:color="auto"/>
              <w:left w:val="single" w:sz="4" w:space="0" w:color="auto"/>
              <w:right w:val="single" w:sz="4" w:space="0" w:color="auto"/>
            </w:tcBorders>
          </w:tcPr>
          <w:p/>
        </w:tc>
        <w:tc>
          <w:tcPr>
            <w:tcW w:w="1435"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2.服务方案与保障（10分）</w:t>
            </w:r>
          </w:p>
        </w:tc>
        <w:tc>
          <w:tcPr>
            <w:tcW w:w="3047" w:type="dxa"/>
            <w:tcBorders>
              <w:top w:val="single" w:sz="4" w:space="0" w:color="auto"/>
              <w:left w:val="single" w:sz="4" w:space="0" w:color="auto"/>
              <w:right w:val="single" w:sz="4" w:space="0" w:color="auto"/>
            </w:tcBorders>
          </w:tcPr>
          <w:p>
            <w:pPr>
              <w:pStyle w:val="30"/>
              <w:rPr>
                <w:rFonts w:ascii="Times New Roman" w:cs="Times New Roman" w:hAnsi="Times New Roman"/>
              </w:rPr>
            </w:pPr>
            <w:r>
              <w:rPr>
                <w:rFonts w:ascii="Times New Roman" w:cs="Times New Roman" w:hAnsi="Times New Roman"/>
              </w:rPr>
              <w:t>根据投标人提供检验服务方案、样品管理方案及应急保障方案。1.提供的质量保障措施具体、合理、可行，后续服务措施全面、可行，得10分；</w:t>
            </w:r>
          </w:p>
          <w:p>
            <w:pPr>
              <w:pStyle w:val="30"/>
              <w:rPr>
                <w:rFonts w:ascii="Times New Roman" w:cs="Times New Roman" w:hAnsi="Times New Roman"/>
              </w:rPr>
            </w:pPr>
            <w:r>
              <w:rPr>
                <w:rFonts w:ascii="Times New Roman" w:cs="Times New Roman" w:hAnsi="Times New Roman"/>
              </w:rPr>
              <w:t>2.提供的质量保障措施较具体、合理、可行，后续技术服务措施较全面、较可行，得5分；</w:t>
            </w:r>
          </w:p>
          <w:p>
            <w:pPr>
              <w:pStyle w:val="30"/>
              <w:rPr>
                <w:rFonts w:ascii="Times New Roman" w:cs="Times New Roman" w:hAnsi="Times New Roman"/>
              </w:rPr>
            </w:pPr>
            <w:r>
              <w:rPr>
                <w:rFonts w:ascii="Times New Roman" w:cs="Times New Roman" w:hAnsi="Times New Roman"/>
              </w:rPr>
              <w:t>3.提供的质量保障措施一般，后续技术服务措施一般，得2分。</w:t>
            </w:r>
          </w:p>
        </w:tc>
        <w:tc>
          <w:tcPr>
            <w:tcW w:w="1382" w:type="dxa"/>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p>
        </w:tc>
      </w:tr>
      <w:tr>
        <w:trPr>
          <w:trHeight w:val="1549"/>
        </w:trPr>
        <w:tc>
          <w:tcPr>
            <w:tcW w:w="676" w:type="dxa"/>
            <w:vMerge/>
          </w:tcPr>
          <w:p/>
        </w:tc>
        <w:tc>
          <w:tcPr>
            <w:tcW w:w="1065" w:type="dxa"/>
            <w:vMerge/>
            <w:tcBorders>
              <w:top w:val="single" w:sz="4" w:space="0" w:color="auto"/>
              <w:left w:val="single" w:sz="4" w:space="0" w:color="auto"/>
              <w:right w:val="single" w:sz="4" w:space="0" w:color="auto"/>
            </w:tcBorders>
          </w:tcPr>
          <w:p/>
        </w:tc>
        <w:tc>
          <w:tcPr>
            <w:tcW w:w="690" w:type="dxa"/>
            <w:vMerge/>
            <w:tcBorders>
              <w:top w:val="single" w:sz="4" w:space="0" w:color="auto"/>
              <w:left w:val="single" w:sz="4" w:space="0" w:color="auto"/>
              <w:right w:val="single" w:sz="4" w:space="0" w:color="auto"/>
            </w:tcBorders>
          </w:tcPr>
          <w:p/>
        </w:tc>
        <w:tc>
          <w:tcPr>
            <w:tcW w:w="1435"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3.售后与报告交付（4分）</w:t>
            </w:r>
          </w:p>
        </w:tc>
        <w:tc>
          <w:tcPr>
            <w:tcW w:w="3047"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售后服务方案和质保期完全满足招标文件要求，售后服务方案完整、完善，按要求提供技术支持服务。根据投标方售后服务方案评分：</w:t>
            </w:r>
          </w:p>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1.售后服务方案和质保期完全满足招标文件要求，提供完整的售后服务方案及售后服务体系，技术支持完善，全面具体、详细合理，得4分；</w:t>
            </w:r>
          </w:p>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2.售后服务方案和质保期满足招标文件要求，售后服务方案、体系及技术支持较为完善，得2分；</w:t>
            </w:r>
          </w:p>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3.售后服务方案和质保期基本满足招标文件要求，售后服务方案内容基本完善的，得1分。</w:t>
            </w:r>
          </w:p>
        </w:tc>
        <w:tc>
          <w:tcPr>
            <w:tcW w:w="1382" w:type="dxa"/>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p>
        </w:tc>
      </w:tr>
      <w:tr>
        <w:tc>
          <w:tcPr>
            <w:tcW w:w="676" w:type="dxa"/>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5</w:t>
            </w:r>
          </w:p>
        </w:tc>
        <w:tc>
          <w:tcPr>
            <w:tcW w:w="1065"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报价</w:t>
            </w:r>
          </w:p>
        </w:tc>
        <w:tc>
          <w:tcPr>
            <w:tcW w:w="690"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10</w:t>
            </w:r>
          </w:p>
        </w:tc>
        <w:tc>
          <w:tcPr>
            <w:tcW w:w="1435"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p>
        </w:tc>
        <w:tc>
          <w:tcPr>
            <w:tcW w:w="3047" w:type="dxa"/>
            <w:tcBorders>
              <w:top w:val="single" w:sz="4" w:space="0" w:color="auto"/>
              <w:left w:val="single" w:sz="4" w:space="0" w:color="auto"/>
              <w:right w:val="single" w:sz="4" w:space="0" w:color="auto"/>
            </w:tcBorders>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r>
              <w:rPr>
                <w:rFonts w:ascii="Times New Roman" w:cs="Times New Roman" w:hAnsi="Times New Roman"/>
              </w:rPr>
              <w:t>采用低价优先法计算：以满足招标文件全部要求，报价（两项报价总和）最低的有效投标报价为基准价。 报价最低者得10分，其余得分按公式计算。（基准值/报价）*10分</w:t>
            </w:r>
          </w:p>
        </w:tc>
        <w:tc>
          <w:tcPr>
            <w:tcW w:w="1382" w:type="dxa"/>
          </w:tcPr>
          <w:p>
            <w:pPr>
              <w:pStyle w:val="30"/>
              <w:pBdr>
                <w:top w:val="none" w:sz="0" w:space="0" w:color="auto"/>
                <w:left w:val="none" w:sz="0" w:space="0" w:color="auto"/>
                <w:bottom w:val="none" w:sz="0" w:space="0" w:color="auto"/>
                <w:right w:val="none" w:sz="0" w:space="0" w:color="auto"/>
              </w:pBdr>
              <w:rPr>
                <w:rFonts w:ascii="Times New Roman" w:cs="Times New Roman" w:hAnsi="Times New Roman"/>
              </w:rPr>
            </w:pPr>
          </w:p>
        </w:tc>
      </w:tr>
    </w:tbl>
    <w:p>
      <w:pPr>
        <w:pStyle w:val="30"/>
        <w:rPr>
          <w:rFonts w:ascii="Times New Roman" w:cs="Times New Roman" w:hAnsi="Times New Roman"/>
        </w:rPr>
      </w:pPr>
    </w:p>
    <w:p>
      <w:pPr>
        <w:jc w:val="center"/>
        <w:rPr>
          <w:rFonts w:ascii="Times New Roman" w:eastAsia="方正小标宋_GBK" w:cs="Times New Roman" w:hAnsi="Times New Roman"/>
          <w:sz w:val="32"/>
          <w:szCs w:val="32"/>
        </w:rPr>
      </w:pPr>
    </w:p>
    <w:sectPr>
      <w:footerReference w:type="default" r:id="rId2"/>
      <w:footerReference w:type="even" r:id="rId3"/>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script"/>
    <w:pitch w:val="variable"/>
    <w:sig w:usb0="A00002BF" w:usb1="38CF7CFA" w:usb2="00082016" w:usb3="00000000" w:csb0="00040001" w:csb1="00000000"/>
  </w:font>
  <w:font w:name="方正黑体_GBK">
    <w:panose1 w:val="02000000000000000000"/>
    <w:charset w:val="86"/>
    <w:family w:val="script"/>
    <w:pitch w:val="variable"/>
    <w:sig w:usb0="A00002BF" w:usb1="38CF7CFA" w:usb2="00082016" w:usb3="00000000" w:csb0="00040001" w:csb1="00000000"/>
  </w:font>
  <w:font w:name="Times New Roman">
    <w:panose1 w:val="02020603050405020304"/>
    <w:charset w:val="00"/>
    <w:family w:val="auto"/>
    <w:pitch w:val="variable"/>
    <w:sig w:usb0="00000A87" w:usb1="00000000" w:usb2="00000000" w:usb3="00000000" w:csb0="400001BF" w:csb1="DFF7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10002FF" w:usb1="4000ACFF" w:usb2="00000009" w:usb3="00000000" w:csb0="0000019F" w:csb1="00000000"/>
  </w:font>
  <w:font w:name="Arial">
    <w:altName w:val="DejaVu Sans"/>
    <w:panose1 w:val="020B0604020202020204"/>
    <w:charset w:val="00"/>
    <w:family w:val="swiss"/>
    <w:pitch w:val="variable"/>
    <w:sig w:usb0="E0002AFF" w:usb1="C0007843" w:usb2="00000009" w:usb3="00000000" w:csb0="000001FF" w:csb1="00000000"/>
  </w:font>
  <w:font w:name="黑体">
    <w:altName w:val="方正黑体_GBK"/>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5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65"/>
      </w:rPr>
      <w:fldChar w:fldCharType="begin"/>
    </w:r>
    <w:r>
      <w:rPr>
        <w:rStyle w:val="65"/>
      </w:rPr>
      <w:instrText>Page</w:instrText>
    </w:r>
    <w:r>
      <w:rPr>
        <w:rStyle w:val="65"/>
      </w:rPr>
      <w:fldChar w:fldCharType="separate"/>
    </w:r>
    <w:r>
      <w:rPr>
        <w:rStyle w:val="65"/>
      </w:rPr>
      <w:t>1</w:t>
    </w:r>
    <w:r>
      <w:rPr>
        <w:rStyle w:val="65"/>
      </w:rPr>
      <w:fldChar w:fldCharType="end"/>
    </w:r>
  </w:p>
  <w:p>
    <w:pPr>
      <w:pStyle w:val="56"/>
      <w:tabs>
        <w:tab w:val="center" w:pos="4153"/>
        <w:tab w:val="right" w:pos="8307"/>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5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65"/>
      </w:rPr>
      <w:fldChar w:fldCharType="begin"/>
    </w:r>
    <w:r>
      <w:rPr>
        <w:rStyle w:val="65"/>
      </w:rPr>
      <w:instrText>Page</w:instrText>
    </w:r>
    <w:r>
      <w:rPr>
        <w:rStyle w:val="65"/>
      </w:rPr>
      <w:fldChar w:fldCharType="separate"/>
    </w:r>
    <w:r>
      <w:rPr>
        <w:rStyle w:val="65"/>
      </w:rPr>
      <w:t>1</w:t>
    </w:r>
    <w:r>
      <w:rPr>
        <w:rStyle w:val="65"/>
      </w:rPr>
      <w:fldChar w:fldCharType="end"/>
    </w:r>
  </w:p>
  <w:p>
    <w:pPr>
      <w:pStyle w:val="56"/>
      <w:tabs>
        <w:tab w:val="center" w:pos="4153"/>
        <w:tab w:val="right" w:pos="8307"/>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0"/>
  <w:doNotDisplayPageBoundaries/>
  <w:displayBackgroundShape/>
  <w:bordersDoNotSurroundHeader/>
  <w:bordersDoNotSurroundFooter/>
  <w:defaultTabStop w:val="420"/>
  <w:drawingGridHorizontalSpacing w:val="105"/>
  <w:drawingGridVerticalSpacing w:val="156"/>
  <w:displayHorizontalDrawingGridEvery w:val="0"/>
  <w:displayVerticalDrawingGridEvery w:val="2"/>
  <w:noPunctuationKerning/>
  <w:noLineBreaksAfter w:lang="zh-CN" w:val="$([{£¥·‘“〈《「『【〔〖〝﹙﹛﹝＄（．［｛￡￥"/>
  <w:noLineBreaksBefore w:lang="zh-CN" w:val="!%),.:;&gt;?]}¢¨°·ˇˉ―‖’”…‰′″›℃∶、。〃〉》」』】〕〗〞︶︺︾﹀﹄﹚﹜﹞！＂％＇），．：；？］｀｜｝～￠"/>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index 5"/>
    <w:basedOn w:val="0"/>
    <w:autoRedefine/>
    <w:next w:val="0"/>
    <w:pPr>
      <w:ind w:left="1680"/>
    </w:pPr>
  </w:style>
  <w:style w:type="paragraph" w:styleId="16">
    <w:name w:val="index 6"/>
    <w:basedOn w:val="0"/>
    <w:autoRedefine/>
    <w:next w:val="0"/>
    <w:pPr>
      <w:ind w:left="2100"/>
    </w:pPr>
  </w:style>
  <w:style w:type="paragraph" w:styleId="17">
    <w:name w:val="index 7"/>
    <w:basedOn w:val="0"/>
    <w:autoRedefine/>
    <w:next w:val="0"/>
    <w:pPr>
      <w:ind w:left="2520"/>
    </w:pPr>
  </w:style>
  <w:style w:type="paragraph" w:styleId="18">
    <w:name w:val="index 9"/>
    <w:basedOn w:val="0"/>
    <w:autoRedefine/>
    <w:next w:val="0"/>
    <w:pPr>
      <w:ind w:left="3360"/>
    </w:pPr>
  </w:style>
  <w:style w:type="paragraph" w:styleId="19">
    <w:name w:val="toc 1"/>
    <w:basedOn w:val="0"/>
    <w:autoRedefine/>
    <w:next w:val="0"/>
  </w:style>
  <w:style w:type="paragraph" w:styleId="20">
    <w:name w:val="toc 2"/>
    <w:basedOn w:val="0"/>
    <w:autoRedefine/>
    <w:next w:val="0"/>
    <w:pPr>
      <w:ind w:left="420"/>
    </w:pPr>
  </w:style>
  <w:style w:type="paragraph" w:styleId="21">
    <w:name w:val="toc 3"/>
    <w:basedOn w:val="0"/>
    <w:autoRedefine/>
    <w:next w:val="0"/>
    <w:pPr>
      <w:ind w:left="840"/>
    </w:pPr>
  </w:style>
  <w:style w:type="paragraph" w:styleId="22">
    <w:name w:val="toc 4"/>
    <w:basedOn w:val="0"/>
    <w:autoRedefine/>
    <w:next w:val="0"/>
    <w:pPr>
      <w:ind w:left="1260"/>
    </w:pPr>
  </w:style>
  <w:style w:type="paragraph" w:styleId="23">
    <w:name w:val="toc 5"/>
    <w:basedOn w:val="0"/>
    <w:autoRedefine/>
    <w:next w:val="0"/>
    <w:pPr>
      <w:ind w:left="1680"/>
    </w:pPr>
  </w:style>
  <w:style w:type="paragraph" w:styleId="24">
    <w:name w:val="toc 6"/>
    <w:basedOn w:val="0"/>
    <w:autoRedefine/>
    <w:next w:val="0"/>
    <w:pPr>
      <w:ind w:left="2100"/>
    </w:pPr>
  </w:style>
  <w:style w:type="paragraph" w:styleId="25">
    <w:name w:val="toc 7"/>
    <w:basedOn w:val="0"/>
    <w:autoRedefine/>
    <w:next w:val="0"/>
    <w:pPr>
      <w:ind w:left="2520"/>
    </w:pPr>
  </w:style>
  <w:style w:type="paragraph" w:styleId="26">
    <w:name w:val="toc 8"/>
    <w:basedOn w:val="0"/>
    <w:autoRedefine/>
    <w:next w:val="0"/>
    <w:pPr>
      <w:ind w:left="2940"/>
    </w:pPr>
  </w:style>
  <w:style w:type="paragraph" w:styleId="27">
    <w:name w:val="toc 9"/>
    <w:basedOn w:val="0"/>
    <w:autoRedefine/>
    <w:next w:val="0"/>
    <w:pPr>
      <w:ind w:left="3360"/>
    </w:pPr>
  </w:style>
  <w:style w:type="paragraph" w:styleId="28">
    <w:name w:val="Normal Indent"/>
    <w:basedOn w:val="0"/>
    <w:pPr>
      <w:ind w:firstLine="420"/>
    </w:pPr>
  </w:style>
  <w:style w:type="paragraph" w:styleId="29">
    <w:name w:val="footnote text"/>
    <w:basedOn w:val="0"/>
    <w:pPr>
      <w:snapToGrid w:val="0"/>
      <w:jc w:val="left"/>
    </w:pPr>
    <w:rPr>
      <w:sz w:val="18"/>
      <w:szCs w:val="18"/>
    </w:rPr>
  </w:style>
  <w:style w:type="paragraph" w:customStyle="1" w:styleId="30">
    <w:name w:val="样式 10 磅"/>
    <w:pPr>
      <w:widowControl w:val="0"/>
      <w:jc w:val="both"/>
    </w:pPr>
    <w:rPr>
      <w:rFonts w:ascii="Calibri" w:eastAsia="宋体" w:cs="Arial" w:hAnsi="Calibri"/>
      <w:kern w:val="2"/>
      <w:sz w:val="21"/>
      <w:szCs w:val="22"/>
      <w:lang w:val="en-US" w:eastAsia="zh-CN" w:bidi="ar-SA"/>
    </w:rPr>
  </w:style>
  <w:style w:type="paragraph" w:customStyle="1" w:styleId="31">
    <w:name w:val="样式 1 10 磅"/>
    <w:pPr>
      <w:widowControl w:val="0"/>
      <w:jc w:val="both"/>
    </w:pPr>
    <w:rPr>
      <w:rFonts w:ascii="Calibri" w:eastAsia="宋体" w:cs="Arial" w:hAnsi="Calibri"/>
      <w:kern w:val="2"/>
      <w:sz w:val="21"/>
      <w:szCs w:val="22"/>
      <w:lang w:val="en-US" w:eastAsia="zh-CN" w:bidi="ar-SA"/>
    </w:rPr>
  </w:style>
  <w:style w:type="paragraph" w:customStyle="1" w:styleId="32">
    <w:name w:val="样式 2 10 磅"/>
    <w:pPr>
      <w:widowControl w:val="0"/>
      <w:jc w:val="both"/>
    </w:pPr>
    <w:rPr>
      <w:rFonts w:ascii="Calibri" w:eastAsia="宋体" w:cs="Arial" w:hAnsi="Calibri"/>
      <w:kern w:val="2"/>
      <w:sz w:val="21"/>
      <w:szCs w:val="22"/>
      <w:lang w:val="en-US" w:eastAsia="zh-CN" w:bidi="ar-SA"/>
    </w:rPr>
  </w:style>
  <w:style w:type="paragraph" w:customStyle="1" w:styleId="33">
    <w:name w:val="样式 3 10 磅"/>
    <w:pPr>
      <w:widowControl w:val="0"/>
      <w:jc w:val="both"/>
    </w:pPr>
    <w:rPr>
      <w:rFonts w:ascii="Calibri" w:eastAsia="宋体" w:cs="Arial" w:hAnsi="Calibri"/>
      <w:kern w:val="2"/>
      <w:sz w:val="21"/>
      <w:szCs w:val="22"/>
      <w:lang w:val="en-US" w:eastAsia="zh-CN" w:bidi="ar-SA"/>
    </w:rPr>
  </w:style>
  <w:style w:type="paragraph" w:customStyle="1" w:styleId="34">
    <w:name w:val="样式 4 10 磅"/>
    <w:pPr>
      <w:widowControl w:val="0"/>
      <w:jc w:val="both"/>
    </w:pPr>
    <w:rPr>
      <w:rFonts w:ascii="Calibri" w:eastAsia="宋体" w:cs="Arial" w:hAnsi="Calibri"/>
      <w:kern w:val="2"/>
      <w:sz w:val="21"/>
      <w:szCs w:val="22"/>
      <w:lang w:val="en-US" w:eastAsia="zh-CN" w:bidi="ar-SA"/>
    </w:rPr>
  </w:style>
  <w:style w:type="paragraph" w:customStyle="1" w:styleId="35">
    <w:name w:val="样式 5 10 磅"/>
    <w:pPr>
      <w:widowControl w:val="0"/>
      <w:jc w:val="both"/>
    </w:pPr>
    <w:rPr>
      <w:rFonts w:ascii="Calibri" w:eastAsia="宋体" w:cs="Arial" w:hAnsi="Calibri"/>
      <w:kern w:val="2"/>
      <w:sz w:val="21"/>
      <w:szCs w:val="22"/>
      <w:lang w:val="en-US" w:eastAsia="zh-CN" w:bidi="ar-SA"/>
    </w:rPr>
  </w:style>
  <w:style w:type="paragraph" w:customStyle="1" w:styleId="36">
    <w:name w:val="样式 6 10 磅"/>
    <w:pPr>
      <w:widowControl w:val="0"/>
      <w:jc w:val="both"/>
    </w:pPr>
    <w:rPr>
      <w:rFonts w:ascii="Calibri" w:eastAsia="宋体" w:cs="Arial" w:hAnsi="Calibri"/>
      <w:kern w:val="2"/>
      <w:sz w:val="21"/>
      <w:szCs w:val="22"/>
      <w:lang w:val="en-US" w:eastAsia="zh-CN" w:bidi="ar-SA"/>
    </w:rPr>
  </w:style>
  <w:style w:type="paragraph" w:customStyle="1" w:styleId="37">
    <w:name w:val="样式 7 10 磅"/>
    <w:pPr>
      <w:widowControl w:val="0"/>
      <w:jc w:val="both"/>
    </w:pPr>
    <w:rPr>
      <w:rFonts w:ascii="Calibri" w:eastAsia="宋体" w:cs="Arial" w:hAnsi="Calibri"/>
      <w:kern w:val="2"/>
      <w:sz w:val="21"/>
      <w:szCs w:val="22"/>
      <w:lang w:val="en-US" w:eastAsia="zh-CN" w:bidi="ar-SA"/>
    </w:rPr>
  </w:style>
  <w:style w:type="paragraph" w:customStyle="1" w:styleId="38">
    <w:name w:val="样式 8 10 磅"/>
    <w:pPr>
      <w:widowControl w:val="0"/>
      <w:jc w:val="both"/>
    </w:pPr>
    <w:rPr>
      <w:rFonts w:ascii="Calibri" w:eastAsia="宋体" w:cs="Arial" w:hAnsi="Calibri"/>
      <w:kern w:val="2"/>
      <w:sz w:val="21"/>
      <w:szCs w:val="22"/>
      <w:lang w:val="en-US" w:eastAsia="zh-CN" w:bidi="ar-SA"/>
    </w:rPr>
  </w:style>
  <w:style w:type="paragraph" w:customStyle="1" w:styleId="39">
    <w:name w:val="样式 9 10 磅"/>
    <w:pPr>
      <w:widowControl w:val="0"/>
      <w:jc w:val="both"/>
    </w:pPr>
    <w:rPr>
      <w:rFonts w:ascii="Calibri" w:eastAsia="宋体" w:cs="Arial" w:hAnsi="Calibri"/>
      <w:kern w:val="2"/>
      <w:sz w:val="21"/>
      <w:szCs w:val="22"/>
      <w:lang w:val="en-US" w:eastAsia="zh-CN" w:bidi="ar-SA"/>
    </w:rPr>
  </w:style>
  <w:style w:type="paragraph" w:customStyle="1" w:styleId="40">
    <w:name w:val="样式 10 10 磅"/>
    <w:pPr>
      <w:widowControl w:val="0"/>
      <w:jc w:val="both"/>
    </w:pPr>
    <w:rPr>
      <w:rFonts w:ascii="Calibri" w:eastAsia="宋体" w:cs="Arial" w:hAnsi="Calibri"/>
      <w:kern w:val="2"/>
      <w:sz w:val="21"/>
      <w:szCs w:val="22"/>
      <w:lang w:val="en-US" w:eastAsia="zh-CN" w:bidi="ar-SA"/>
    </w:rPr>
  </w:style>
  <w:style w:type="paragraph" w:customStyle="1" w:styleId="41">
    <w:name w:val="样式 11 10 磅"/>
    <w:pPr>
      <w:widowControl w:val="0"/>
      <w:jc w:val="both"/>
    </w:pPr>
    <w:rPr>
      <w:rFonts w:ascii="Calibri" w:eastAsia="宋体" w:cs="Arial" w:hAnsi="Calibri"/>
      <w:kern w:val="2"/>
      <w:sz w:val="21"/>
      <w:szCs w:val="22"/>
      <w:lang w:val="en-US" w:eastAsia="zh-CN" w:bidi="ar-SA"/>
    </w:rPr>
  </w:style>
  <w:style w:type="paragraph" w:customStyle="1" w:styleId="42">
    <w:name w:val="样式 12 10 磅"/>
    <w:pPr>
      <w:widowControl w:val="0"/>
      <w:jc w:val="both"/>
    </w:pPr>
    <w:rPr>
      <w:rFonts w:ascii="Calibri" w:eastAsia="宋体" w:cs="Arial" w:hAnsi="Calibri"/>
      <w:kern w:val="2"/>
      <w:sz w:val="21"/>
      <w:szCs w:val="22"/>
      <w:lang w:val="en-US" w:eastAsia="zh-CN" w:bidi="ar-SA"/>
    </w:rPr>
  </w:style>
  <w:style w:type="paragraph" w:customStyle="1" w:styleId="43">
    <w:name w:val="样式 14 10 磅"/>
    <w:pPr>
      <w:widowControl w:val="0"/>
      <w:jc w:val="both"/>
    </w:pPr>
    <w:rPr>
      <w:rFonts w:ascii="Calibri" w:eastAsia="宋体" w:cs="Arial" w:hAnsi="Calibri"/>
      <w:kern w:val="2"/>
      <w:sz w:val="21"/>
      <w:szCs w:val="22"/>
      <w:lang w:val="en-US" w:eastAsia="zh-CN" w:bidi="ar-SA"/>
    </w:rPr>
  </w:style>
  <w:style w:type="paragraph" w:customStyle="1" w:styleId="44">
    <w:name w:val="样式 13 10 磅"/>
    <w:pPr>
      <w:widowControl w:val="0"/>
      <w:jc w:val="both"/>
    </w:pPr>
    <w:rPr>
      <w:rFonts w:ascii="Calibri" w:eastAsia="宋体" w:cs="Arial" w:hAnsi="Calibri"/>
      <w:kern w:val="2"/>
      <w:sz w:val="21"/>
      <w:szCs w:val="22"/>
      <w:lang w:val="en-US" w:eastAsia="zh-CN" w:bidi="ar-SA"/>
    </w:rPr>
  </w:style>
  <w:style w:type="paragraph" w:customStyle="1" w:styleId="45">
    <w:name w:val="样式 15 10 磅"/>
    <w:pPr>
      <w:widowControl w:val="0"/>
      <w:jc w:val="both"/>
    </w:pPr>
    <w:rPr>
      <w:rFonts w:ascii="Calibri" w:eastAsia="宋体" w:cs="Arial" w:hAnsi="Calibri"/>
      <w:kern w:val="2"/>
      <w:sz w:val="21"/>
      <w:szCs w:val="22"/>
      <w:lang w:val="en-US" w:eastAsia="zh-CN" w:bidi="ar-SA"/>
    </w:rPr>
  </w:style>
  <w:style w:type="paragraph" w:customStyle="1" w:styleId="46">
    <w:name w:val="样式 16 10 磅"/>
    <w:pPr>
      <w:widowControl w:val="0"/>
      <w:jc w:val="both"/>
    </w:pPr>
    <w:rPr>
      <w:rFonts w:ascii="Calibri" w:eastAsia="宋体" w:cs="Arial" w:hAnsi="Calibri"/>
      <w:kern w:val="2"/>
      <w:sz w:val="21"/>
      <w:szCs w:val="22"/>
      <w:lang w:val="en-US" w:eastAsia="zh-CN" w:bidi="ar-SA"/>
    </w:rPr>
  </w:style>
  <w:style w:type="paragraph" w:customStyle="1" w:styleId="47">
    <w:name w:val="样式 17 10 磅"/>
    <w:pPr>
      <w:widowControl w:val="0"/>
      <w:jc w:val="both"/>
    </w:pPr>
    <w:rPr>
      <w:rFonts w:ascii="Calibri" w:eastAsia="宋体" w:cs="Arial" w:hAnsi="Calibri"/>
      <w:kern w:val="2"/>
      <w:sz w:val="21"/>
      <w:szCs w:val="22"/>
      <w:lang w:val="en-US" w:eastAsia="zh-CN" w:bidi="ar-SA"/>
    </w:rPr>
  </w:style>
  <w:style w:type="paragraph" w:customStyle="1" w:styleId="48">
    <w:name w:val="样式 18 10 磅"/>
    <w:pPr>
      <w:widowControl w:val="0"/>
      <w:jc w:val="both"/>
    </w:pPr>
    <w:rPr>
      <w:rFonts w:ascii="Calibri" w:eastAsia="宋体" w:cs="Arial" w:hAnsi="Calibri"/>
      <w:kern w:val="2"/>
      <w:sz w:val="21"/>
      <w:szCs w:val="22"/>
      <w:lang w:val="en-US" w:eastAsia="zh-CN" w:bidi="ar-SA"/>
    </w:rPr>
  </w:style>
  <w:style w:type="paragraph" w:customStyle="1" w:styleId="49">
    <w:name w:val="样式 19 10 磅"/>
    <w:pPr>
      <w:widowControl w:val="0"/>
      <w:jc w:val="both"/>
    </w:pPr>
    <w:rPr>
      <w:rFonts w:ascii="Calibri" w:eastAsia="宋体" w:cs="Arial" w:hAnsi="Calibri"/>
      <w:kern w:val="2"/>
      <w:sz w:val="21"/>
      <w:szCs w:val="22"/>
      <w:lang w:val="en-US" w:eastAsia="zh-CN" w:bidi="ar-SA"/>
    </w:rPr>
  </w:style>
  <w:style w:type="paragraph" w:customStyle="1" w:styleId="50">
    <w:name w:val="样式 20 10 磅"/>
    <w:pPr>
      <w:widowControl w:val="0"/>
      <w:jc w:val="both"/>
    </w:pPr>
    <w:rPr>
      <w:rFonts w:ascii="Calibri" w:eastAsia="宋体" w:cs="Arial" w:hAnsi="Calibri"/>
      <w:kern w:val="2"/>
      <w:sz w:val="21"/>
      <w:szCs w:val="22"/>
      <w:lang w:val="en-US" w:eastAsia="zh-CN" w:bidi="ar-SA"/>
    </w:rPr>
  </w:style>
  <w:style w:type="paragraph" w:customStyle="1" w:styleId="51">
    <w:name w:val="样式 21 10 磅"/>
    <w:pPr>
      <w:widowControl w:val="0"/>
      <w:jc w:val="both"/>
    </w:pPr>
    <w:rPr>
      <w:rFonts w:ascii="Calibri" w:eastAsia="宋体" w:cs="Arial" w:hAnsi="Calibri"/>
      <w:kern w:val="2"/>
      <w:sz w:val="21"/>
      <w:szCs w:val="22"/>
      <w:lang w:val="en-US" w:eastAsia="zh-CN" w:bidi="ar-SA"/>
    </w:rPr>
  </w:style>
  <w:style w:type="paragraph" w:customStyle="1" w:styleId="52">
    <w:name w:val="样式 22 10 磅"/>
    <w:pPr>
      <w:widowControl w:val="0"/>
      <w:jc w:val="both"/>
    </w:pPr>
    <w:rPr>
      <w:rFonts w:ascii="Calibri" w:eastAsia="宋体" w:cs="Arial" w:hAnsi="Calibri"/>
      <w:kern w:val="2"/>
      <w:sz w:val="21"/>
      <w:szCs w:val="22"/>
      <w:lang w:val="en-US" w:eastAsia="zh-CN" w:bidi="ar-SA"/>
    </w:rPr>
  </w:style>
  <w:style w:type="paragraph" w:styleId="56">
    <w:name w:val="footer"/>
    <w:basedOn w:val="0"/>
    <w:pPr>
      <w:tabs>
        <w:tab w:val="center" w:pos="4153"/>
        <w:tab w:val="right" w:pos="8307"/>
      </w:tabs>
      <w:snapToGrid w:val="0"/>
      <w:jc w:val="left"/>
    </w:pPr>
    <w:rPr>
      <w:sz w:val="18"/>
      <w:szCs w:val="18"/>
    </w:rPr>
  </w:style>
  <w:style w:type="character" w:styleId="65">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126</TotalTime>
  <Application>Yozo_Office</Application>
  <Pages>3</Pages>
  <Words>1558</Words>
  <Characters>1633</Characters>
  <Lines>191</Lines>
  <Paragraphs>51</Paragraphs>
  <CharactersWithSpaces>1651</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User274</dc:creator>
  <cp:lastModifiedBy>郁风</cp:lastModifiedBy>
  <cp:revision>1</cp:revision>
  <dcterms:created xsi:type="dcterms:W3CDTF">2021-05-08T07:28:00Z</dcterms:created>
  <dcterms:modified xsi:type="dcterms:W3CDTF">2026-05-15T03:23:17Z</dcterms:modified>
</cp:coreProperties>
</file>