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beforeAutospacing="0" w:afterAutospacing="0" w:line="560" w:lineRule="exact"/>
        <w:jc w:val="center"/>
        <w:rPr>
          <w:rFonts w:eastAsia="方正小标宋_GBK" w:cs="方正小标宋_GBK" w:hint="eastAsia"/>
          <w:spacing w:val="-4"/>
          <w:sz w:val="44"/>
          <w:szCs w:val="44"/>
        </w:rPr>
      </w:pPr>
      <w:r>
        <w:rPr>
          <w:rFonts w:eastAsia="方正小标宋_GBK" w:cs="方正小标宋_GBK" w:hint="eastAsia"/>
          <w:spacing w:val="-4"/>
          <w:sz w:val="44"/>
          <w:szCs w:val="44"/>
        </w:rPr>
        <w:t>采购需求</w:t>
      </w:r>
      <w:r>
        <w:rPr>
          <w:rFonts w:eastAsia="方正小标宋_GBK" w:cs="方正小标宋_GBK"/>
          <w:spacing w:val="-4"/>
          <w:sz w:val="44"/>
          <w:szCs w:val="44"/>
        </w:rPr>
        <w:t>书</w:t>
      </w:r>
      <w:bookmarkStart w:id="0" w:name="_GoBack"/>
      <w:bookmarkEnd w:id="0"/>
    </w:p>
    <w:p>
      <w:pPr>
        <w:pStyle w:val="2"/>
        <w:spacing w:beforeAutospacing="0" w:afterAutospacing="0" w:line="560" w:lineRule="exact"/>
        <w:rPr>
          <w:rFonts w:ascii="Times New Roman" w:eastAsia="方正黑体_GBK" w:cs="方正黑体_GBK" w:hAnsi="Times New Roman" w:hint="eastAsia"/>
          <w:b w:val="0"/>
          <w:szCs w:val="44"/>
        </w:rPr>
      </w:pPr>
      <w:r>
        <w:rPr>
          <w:rFonts w:ascii="Times New Roman" w:eastAsia="方正黑体_GBK" w:cs="方正黑体_GBK" w:hAnsi="Times New Roman" w:hint="eastAsia"/>
          <w:b w:val="0"/>
        </w:rPr>
        <w:t>1.服务要求</w:t>
      </w:r>
      <w:r>
        <w:rPr>
          <w:rFonts w:ascii="Times New Roman" w:eastAsia="方正黑体_GBK" w:cs="方正黑体_GBK" w:hAnsi="Times New Roman" w:hint="eastAsia"/>
          <w:b w:val="0"/>
          <w:spacing w:val="-4"/>
          <w:szCs w:val="44"/>
        </w:rPr>
        <w:t xml:space="preserve"> </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1.1服务时间要求★</w:t>
      </w:r>
    </w:p>
    <w:p>
      <w:pPr>
        <w:pStyle w:val="3"/>
        <w:spacing w:beforeAutospacing="0" w:afterAutospacing="0" w:line="560" w:lineRule="exact"/>
        <w:ind w:firstLineChars="200" w:firstLine="640"/>
        <w:rPr>
          <w:rFonts w:eastAsia="方正仿宋_GBK" w:cs="方正仿宋_GBK" w:hint="eastAsia"/>
          <w:b w:val="0"/>
          <w:bCs/>
          <w:snapToGrid w:val="0"/>
        </w:rPr>
      </w:pPr>
      <w:r>
        <w:rPr>
          <w:rFonts w:eastAsia="方正仿宋_GBK" w:cs="方正仿宋_GBK" w:hint="eastAsia"/>
          <w:b w:val="0"/>
          <w:bCs/>
          <w:snapToGrid w:val="0"/>
        </w:rPr>
        <w:t>自合同签订之日起2个月内系统上线，自采购人验收通过之日起提供12月系统运行维护服务。</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1.2服务地点要求★</w:t>
      </w:r>
    </w:p>
    <w:p>
      <w:pPr>
        <w:adjustRightInd w:val="0"/>
        <w:snapToGrid w:val="0"/>
        <w:spacing w:line="560" w:lineRule="exact"/>
        <w:ind w:firstLineChars="200" w:firstLine="624"/>
        <w:rPr>
          <w:bCs/>
          <w:spacing w:val="-4"/>
        </w:rPr>
      </w:pPr>
      <w:r>
        <w:rPr>
          <w:rFonts w:hint="eastAsia"/>
          <w:bCs/>
          <w:spacing w:val="-4"/>
        </w:rPr>
        <w:t>按采购人指定地点提供驻场软件开发及运行维护服务。</w:t>
      </w:r>
    </w:p>
    <w:p>
      <w:pPr>
        <w:adjustRightInd w:val="0"/>
        <w:snapToGrid w:val="0"/>
        <w:spacing w:line="560" w:lineRule="exact"/>
        <w:ind w:left="0"/>
        <w:jc w:val="left"/>
        <w:rPr>
          <w:rFonts w:ascii="Times New Roman" w:eastAsia="方正楷体_GBK" w:cs="方正楷体_GBK" w:hAnsi="Times New Roman"/>
          <w:b w:val="0"/>
        </w:rPr>
      </w:pPr>
      <w:r>
        <w:rPr>
          <w:rFonts w:eastAsia="方正黑体_GBK" w:cs="方正黑体_GBK" w:hint="eastAsia"/>
          <w:b w:val="0"/>
          <w:bCs w:val="0"/>
          <w:sz w:val="32"/>
        </w:rPr>
        <w:t>2.业务需求</w:t>
      </w:r>
      <w:bookmarkStart w:id="1" w:name="_Toc91504415"/>
    </w:p>
    <w:p>
      <w:pPr>
        <w:adjustRightInd w:val="0"/>
        <w:snapToGrid w:val="0"/>
        <w:spacing w:line="560" w:lineRule="exact"/>
        <w:ind w:left="0"/>
        <w:jc w:val="left"/>
        <w:rPr>
          <w:rFonts w:eastAsia="方正仿宋_GBK" w:cs="方正仿宋_GBK"/>
          <w:b w:val="0"/>
          <w:snapToGrid w:val="0"/>
        </w:rPr>
      </w:pPr>
      <w:r>
        <w:rPr>
          <w:rFonts w:ascii="Times New Roman" w:eastAsia="方正楷体_GBK" w:cs="方正楷体_GBK" w:hAnsi="Times New Roman" w:hint="eastAsia"/>
          <w:b w:val="0"/>
        </w:rPr>
        <w:t>2.1</w:t>
      </w:r>
      <w:bookmarkEnd w:id="1"/>
      <w:r>
        <w:rPr>
          <w:rFonts w:ascii="Times New Roman" w:eastAsia="方正楷体_GBK" w:cs="方正楷体_GBK" w:hAnsi="Times New Roman" w:hint="eastAsia"/>
          <w:b w:val="0"/>
        </w:rPr>
        <w:t>业务总描述</w:t>
      </w:r>
      <w:bookmarkStart w:id="2" w:name="_Toc91504416"/>
    </w:p>
    <w:p>
      <w:pPr>
        <w:adjustRightInd w:val="0"/>
        <w:snapToGrid w:val="0"/>
        <w:spacing w:line="560" w:lineRule="exact"/>
        <w:ind w:left="0" w:firstLineChars="200" w:firstLine="640"/>
        <w:jc w:val="left"/>
        <w:rPr>
          <w:rFonts w:eastAsia="方正仿宋_GBK" w:cs="方正仿宋_GBK"/>
          <w:b w:val="0"/>
          <w:snapToGrid w:val="0"/>
        </w:rPr>
      </w:pPr>
      <w:r>
        <w:rPr>
          <w:rFonts w:eastAsia="方正仿宋_GBK" w:cs="方正仿宋_GBK" w:hint="eastAsia"/>
          <w:b w:val="0"/>
          <w:snapToGrid w:val="0"/>
        </w:rPr>
        <w:t>为深入推进“智慧海关”建设，落实关区检疫领域问题排查整治工作要求，解决当前检疫处理监管业务中关企以“纸质通知传递、人工委托对接、纸质报告提交、线下审核放行”体外循环模式存在办理效率低、沟通成本高、信息差错多、纸质材料冗余、流程追溯难等核心痛点问题，提升关区动植物检疫除害处理监管效能，提高检疫处理智能化管理水平，优化口岸营商环境，实现检疫处理业务全流程数据化、智能化，达到“规范、降本、提效、安全”目标。</w:t>
      </w:r>
    </w:p>
    <w:p>
      <w:pPr>
        <w:adjustRightInd w:val="0"/>
        <w:snapToGrid w:val="0"/>
        <w:spacing w:line="560" w:lineRule="exact"/>
        <w:ind w:left="0" w:firstLineChars="200" w:firstLine="640"/>
        <w:jc w:val="left"/>
        <w:rPr>
          <w:rFonts w:eastAsia="方正仿宋_GBK" w:cs="方正仿宋_GBK" w:hint="eastAsia"/>
          <w:b w:val="0"/>
          <w:snapToGrid w:val="0"/>
        </w:rPr>
      </w:pPr>
      <w:r>
        <w:rPr>
          <w:rFonts w:eastAsia="方正仿宋_GBK" w:cs="方正仿宋_GBK" w:hint="eastAsia"/>
          <w:b w:val="0"/>
          <w:snapToGrid w:val="0"/>
        </w:rPr>
        <w:t>通过基于“通关e运行”项目已开发运行的“检验检疫处理证单智制”“《检验检疫处理通知书》统计监控”功能模块，升级构建检疫处理“检e智联”场景链服务功能，依托“单一窗口”地方版、地方智慧口岸及海关作业系统等功能，以数据信息流为主线，串联“通知-委托-处置-审核-放行”动植物检疫处理业务关联货物放行的五大核心功能节点，整合检疫处理与后置作业环节操作，建立作业过程电子化+智能分拨+线上流转的运行模式，强化科技赋能，让企业从传统的“纸质通知传递、人工委托对接、纸质报告提交、线下审核放行”的流程向智慧管理服务模式转变，实现动植物检疫处理业务从“线下分散”到“线上协同”、从“人工操作”到“智能流转”的数字化升级，有效降低企业人力资源成本，提升检疫处理智能化管理水平，达成“规范、降本、提效、安全”的核心目标，助力构建国际一流口岸营商环境，推动外贸高质量发展。</w:t>
      </w:r>
    </w:p>
    <w:p>
      <w:pPr>
        <w:pStyle w:val="2"/>
        <w:spacing w:beforeAutospacing="0" w:afterAutospacing="0" w:line="560" w:lineRule="exact"/>
        <w:rPr>
          <w:rFonts w:ascii="Times New Roman" w:eastAsia="方正楷体_GBK" w:cs="方正楷体_GBK" w:hAnsi="Times New Roman" w:hint="eastAsia"/>
          <w:b w:val="0"/>
        </w:rPr>
      </w:pPr>
      <w:bookmarkEnd w:id="2"/>
      <w:r>
        <w:rPr>
          <w:rFonts w:ascii="Times New Roman" w:eastAsia="方正楷体_GBK" w:cs="方正楷体_GBK" w:hAnsi="Times New Roman" w:hint="eastAsia"/>
          <w:b w:val="0"/>
        </w:rPr>
        <w:t>2.2详细业务描述</w:t>
      </w:r>
    </w:p>
    <w:p>
      <w:pPr>
        <w:spacing w:line="560" w:lineRule="exact"/>
        <w:ind w:firstLineChars="200" w:firstLine="640"/>
        <w:rPr>
          <w:rFonts w:eastAsia="方正仿宋_GBK" w:cs="方正仿宋_GBK"/>
          <w:b w:val="0"/>
        </w:rPr>
      </w:pPr>
      <w:r>
        <w:rPr>
          <w:rFonts w:eastAsia="方正仿宋_GBK" w:cs="方正仿宋_GBK" w:hint="eastAsia"/>
          <w:b w:val="0"/>
        </w:rPr>
        <w:t>系统分为企业端与</w:t>
      </w:r>
      <w:r>
        <w:rPr>
          <w:rFonts w:eastAsia="方正仿宋_GBK" w:cs="方正仿宋_GBK"/>
          <w:b w:val="0"/>
        </w:rPr>
        <w:t>管理</w:t>
      </w:r>
      <w:r>
        <w:rPr>
          <w:rFonts w:eastAsia="方正仿宋_GBK" w:cs="方正仿宋_GBK" w:hint="eastAsia"/>
          <w:b w:val="0"/>
        </w:rPr>
        <w:t>端，企业端为企业用户使用端，管理端为海关使用端</w:t>
      </w:r>
      <w:r>
        <w:rPr>
          <w:rFonts w:eastAsia="方正仿宋_GBK" w:cs="方正仿宋_GBK"/>
          <w:b w:val="0"/>
        </w:rPr>
        <w:t>，本项目仅针对管理端建设内容。</w:t>
      </w:r>
    </w:p>
    <w:p>
      <w:pPr>
        <w:spacing w:line="560" w:lineRule="exact"/>
        <w:ind w:left="0"/>
        <w:rPr>
          <w:rFonts w:eastAsia="方正仿宋_GBK" w:cs="方正仿宋_GBK"/>
          <w:bCs/>
        </w:rPr>
      </w:pPr>
      <w:r>
        <w:rPr>
          <w:rFonts w:eastAsia="方正仿宋_GBK" w:cs="方正仿宋_GBK" w:hint="eastAsia"/>
          <w:bCs/>
        </w:rPr>
        <w:t>2.2.1用户登录</w:t>
      </w:r>
    </w:p>
    <w:p>
      <w:pPr>
        <w:spacing w:line="560" w:lineRule="exact"/>
        <w:ind w:left="0" w:firstLineChars="200" w:firstLine="640"/>
        <w:rPr>
          <w:rFonts w:eastAsia="方正仿宋_GBK" w:cs="方正仿宋_GBK"/>
          <w:b w:val="0"/>
        </w:rPr>
      </w:pPr>
      <w:r>
        <w:rPr>
          <w:rFonts w:eastAsia="方正仿宋_GBK" w:cs="方正仿宋_GBK" w:hint="eastAsia"/>
          <w:b w:val="0"/>
        </w:rPr>
        <w:t>包含PC端（单兵作业系统）。管理端用户通过H4A身份认证体系进行登录。登录后获取本人、所在科室等身份信息。</w:t>
      </w:r>
    </w:p>
    <w:p>
      <w:pPr>
        <w:spacing w:line="560" w:lineRule="exact"/>
        <w:rPr>
          <w:rFonts w:eastAsia="方正仿宋_GBK" w:cs="方正仿宋_GBK"/>
          <w:bCs/>
        </w:rPr>
      </w:pPr>
      <w:r>
        <w:rPr>
          <w:rFonts w:eastAsia="方正仿宋_GBK" w:cs="方正仿宋_GBK" w:hint="eastAsia"/>
          <w:bCs/>
        </w:rPr>
        <w:t>2.2.</w:t>
      </w:r>
      <w:r>
        <w:rPr>
          <w:rFonts w:eastAsia="方正仿宋_GBK" w:cs="方正仿宋_GBK"/>
          <w:bCs/>
        </w:rPr>
        <w:t>2</w:t>
      </w:r>
      <w:r>
        <w:rPr>
          <w:rFonts w:eastAsia="方正仿宋_GBK" w:cs="方正仿宋_GBK" w:hint="eastAsia"/>
          <w:bCs/>
        </w:rPr>
        <w:t>《检验检疫处理通知书》签发</w:t>
      </w:r>
    </w:p>
    <w:p>
      <w:pPr>
        <w:spacing w:line="560" w:lineRule="exact"/>
        <w:ind w:firstLineChars="200" w:firstLine="640"/>
        <w:rPr>
          <w:rFonts w:eastAsia="方正仿宋_GBK" w:cs="方正仿宋_GBK"/>
          <w:b w:val="0"/>
        </w:rPr>
      </w:pPr>
      <w:r>
        <w:rPr>
          <w:rFonts w:eastAsia="方正仿宋_GBK" w:cs="方正仿宋_GBK" w:hint="eastAsia"/>
          <w:b w:val="0"/>
        </w:rPr>
        <w:t>海关用户登录系统进入检疫处理通知书智制，按报关单号对需实施动植物检疫处理的货物填制检疫处理通知书相关内容，经审核后签发电子版《检验检疫处理通知书》由系统发送至企业用户。</w:t>
      </w:r>
    </w:p>
    <w:p>
      <w:pPr>
        <w:spacing w:line="560" w:lineRule="exact"/>
        <w:ind w:firstLineChars="200" w:firstLine="640"/>
        <w:rPr>
          <w:rFonts w:eastAsia="方正仿宋_GBK" w:cs="方正仿宋_GBK"/>
          <w:b w:val="0"/>
        </w:rPr>
      </w:pPr>
      <w:r>
        <w:rPr>
          <w:rFonts w:eastAsia="方正仿宋_GBK" w:cs="方正仿宋_GBK" w:hint="eastAsia"/>
          <w:b w:val="0"/>
        </w:rPr>
        <w:t>电子检疫处理通知书签发设置2级审核模式（设置拟稿人、审核人），使用电子印张图片。</w:t>
      </w:r>
    </w:p>
    <w:p>
      <w:pPr>
        <w:spacing w:line="560" w:lineRule="exact"/>
        <w:ind w:left="0"/>
        <w:rPr>
          <w:rFonts w:eastAsia="方正仿宋_GBK" w:cs="方正仿宋_GBK"/>
          <w:bCs/>
        </w:rPr>
      </w:pPr>
      <w:r>
        <w:rPr>
          <w:rFonts w:eastAsia="方正仿宋_GBK" w:cs="方正仿宋_GBK" w:hint="eastAsia"/>
          <w:bCs/>
        </w:rPr>
        <w:t>2.2.3检疫处理方案</w:t>
      </w:r>
      <w:r>
        <w:rPr>
          <w:rFonts w:eastAsia="方正仿宋_GBK" w:cs="方正仿宋_GBK"/>
          <w:bCs/>
        </w:rPr>
        <w:t>、结果</w:t>
      </w:r>
      <w:r>
        <w:rPr>
          <w:rFonts w:eastAsia="方正仿宋_GBK" w:cs="方正仿宋_GBK" w:hint="eastAsia"/>
          <w:bCs/>
        </w:rPr>
        <w:t>审核</w:t>
      </w:r>
    </w:p>
    <w:p>
      <w:pPr>
        <w:spacing w:line="560" w:lineRule="exact"/>
        <w:ind w:left="0" w:firstLineChars="200" w:firstLine="640"/>
        <w:rPr>
          <w:rFonts w:eastAsia="方正仿宋_GBK" w:cs="方正仿宋_GBK"/>
          <w:b w:val="0"/>
        </w:rPr>
      </w:pPr>
      <w:r>
        <w:rPr>
          <w:rFonts w:eastAsia="方正仿宋_GBK" w:cs="方正仿宋_GBK" w:hint="eastAsia"/>
          <w:b w:val="0"/>
        </w:rPr>
        <w:t>海关用户登录系统进入检疫处理方案，对提交的检疫处理方案实施自动+人工审核，通过的返回企业用户准予实施；不通过的将相关不符合项反馈企业用户并不予实施。</w:t>
      </w:r>
    </w:p>
    <w:p>
      <w:pPr>
        <w:spacing w:line="560" w:lineRule="exact"/>
        <w:rPr>
          <w:rFonts w:eastAsia="方正仿宋_GBK" w:cs="方正仿宋_GBK"/>
          <w:bCs/>
        </w:rPr>
      </w:pPr>
      <w:r>
        <w:rPr>
          <w:rFonts w:eastAsia="方正仿宋_GBK" w:cs="方正仿宋_GBK" w:hint="eastAsia"/>
          <w:bCs/>
        </w:rPr>
        <w:t>2.2.</w:t>
      </w:r>
      <w:r>
        <w:rPr>
          <w:rFonts w:eastAsia="方正仿宋_GBK" w:cs="方正仿宋_GBK"/>
          <w:bCs/>
        </w:rPr>
        <w:t>4</w:t>
      </w:r>
      <w:r>
        <w:rPr>
          <w:rFonts w:eastAsia="方正仿宋_GBK" w:cs="方正仿宋_GBK" w:hint="eastAsia"/>
          <w:bCs/>
        </w:rPr>
        <w:t>检疫处理结果审核</w:t>
      </w:r>
    </w:p>
    <w:p>
      <w:pPr>
        <w:spacing w:line="560" w:lineRule="exact"/>
        <w:ind w:firstLineChars="200" w:firstLine="640"/>
        <w:rPr>
          <w:rFonts w:eastAsia="方正仿宋_GBK" w:cs="方正仿宋_GBK"/>
          <w:b w:val="0"/>
        </w:rPr>
      </w:pPr>
      <w:r>
        <w:rPr>
          <w:rFonts w:eastAsia="方正仿宋_GBK" w:cs="方正仿宋_GBK" w:hint="eastAsia"/>
          <w:b w:val="0"/>
        </w:rPr>
        <w:t>海关用户登录系统进入检疫处理结果评定，对提交的检疫处理结果数据实施自动+人工审核，通过的返回企业用户，并向智慧口岸发送放行指令；不通过的将相关不符合项反馈企业用户并不予放行。</w:t>
      </w:r>
    </w:p>
    <w:p>
      <w:pPr>
        <w:spacing w:line="560" w:lineRule="exact"/>
        <w:ind w:left="0"/>
        <w:rPr>
          <w:rFonts w:eastAsia="方正仿宋_GBK" w:cs="方正仿宋_GBK"/>
          <w:bCs/>
        </w:rPr>
      </w:pPr>
      <w:r>
        <w:rPr>
          <w:rFonts w:eastAsia="方正仿宋_GBK" w:cs="方正仿宋_GBK" w:hint="eastAsia"/>
          <w:bCs/>
        </w:rPr>
        <w:t>2.2.</w:t>
      </w:r>
      <w:r>
        <w:rPr>
          <w:rFonts w:eastAsia="方正仿宋_GBK" w:cs="方正仿宋_GBK"/>
          <w:bCs/>
        </w:rPr>
        <w:t>5</w:t>
      </w:r>
      <w:r>
        <w:rPr>
          <w:rFonts w:eastAsia="方正仿宋_GBK" w:cs="方正仿宋_GBK" w:hint="eastAsia"/>
          <w:bCs/>
        </w:rPr>
        <w:t>自动校验规则</w:t>
      </w:r>
    </w:p>
    <w:p>
      <w:pPr>
        <w:spacing w:line="560" w:lineRule="exact"/>
        <w:ind w:left="0" w:firstLineChars="200" w:firstLine="640"/>
        <w:rPr>
          <w:rFonts w:eastAsia="方正仿宋_GBK" w:cs="方正仿宋_GBK"/>
          <w:b w:val="0"/>
        </w:rPr>
      </w:pPr>
      <w:r>
        <w:rPr>
          <w:rFonts w:eastAsia="方正仿宋_GBK" w:cs="方正仿宋_GBK" w:hint="eastAsia"/>
          <w:b w:val="0"/>
        </w:rPr>
        <w:t>资质有效性校验（企业资质是否在有效期内）。数据合规性校验：温度、浓度、压力等数据是否符合阈值要求（如温度≥5</w:t>
      </w:r>
      <w:r>
        <w:rPr>
          <w:rFonts w:ascii="方正仿宋_GBK" w:eastAsia="方正仿宋_GBK" w:cs="方正仿宋_GBK" w:hint="eastAsia"/>
          <w:b w:val="0"/>
        </w:rPr>
        <w:t>℃</w:t>
      </w:r>
      <w:r>
        <w:rPr>
          <w:rFonts w:eastAsia="方正仿宋_GBK" w:cs="方正仿宋_GBK" w:hint="eastAsia"/>
          <w:b w:val="0"/>
        </w:rPr>
        <w:t>、气密性衰减时间≥10s）。</w:t>
      </w:r>
    </w:p>
    <w:p>
      <w:pPr>
        <w:spacing w:line="560" w:lineRule="exact"/>
        <w:ind w:left="0" w:firstLineChars="200" w:firstLine="640"/>
        <w:rPr>
          <w:rFonts w:eastAsia="方正仿宋_GBK" w:cs="方正仿宋_GBK"/>
          <w:b w:val="0"/>
        </w:rPr>
      </w:pPr>
      <w:r>
        <w:rPr>
          <w:rFonts w:eastAsia="方正仿宋_GBK" w:cs="方正仿宋_GBK" w:hint="eastAsia"/>
          <w:b w:val="0"/>
        </w:rPr>
        <w:t>资料完整性校验：各节点上传资料是否齐全（如药剂“三证”、检测仪器校准证明）。</w:t>
      </w:r>
    </w:p>
    <w:p>
      <w:pPr>
        <w:spacing w:line="560" w:lineRule="exact"/>
        <w:ind w:left="0" w:firstLineChars="200" w:firstLine="640"/>
        <w:rPr>
          <w:rFonts w:eastAsia="方正仿宋_GBK" w:cs="方正仿宋_GBK"/>
          <w:b w:val="0"/>
        </w:rPr>
      </w:pPr>
      <w:r>
        <w:rPr>
          <w:rFonts w:eastAsia="方正仿宋_GBK" w:cs="方正仿宋_GBK" w:hint="eastAsia"/>
          <w:b w:val="0"/>
        </w:rPr>
        <w:t>逻辑一致性校验：投药量与熏蒸空间体积匹配度、浓度检测结果与补救措施的关联性。</w:t>
      </w:r>
    </w:p>
    <w:p>
      <w:pPr>
        <w:spacing w:line="560" w:lineRule="exact"/>
        <w:rPr>
          <w:rFonts w:eastAsia="方正仿宋_GBK" w:cs="方正仿宋_GBK"/>
          <w:bCs/>
        </w:rPr>
      </w:pPr>
      <w:r>
        <w:rPr>
          <w:rFonts w:eastAsia="方正仿宋_GBK" w:cs="方正仿宋_GBK" w:hint="eastAsia"/>
          <w:bCs/>
        </w:rPr>
        <w:t>2.2.</w:t>
      </w:r>
      <w:r>
        <w:rPr>
          <w:rFonts w:eastAsia="方正仿宋_GBK" w:cs="方正仿宋_GBK"/>
          <w:bCs/>
        </w:rPr>
        <w:t>6</w:t>
      </w:r>
      <w:r>
        <w:rPr>
          <w:rFonts w:eastAsia="方正仿宋_GBK" w:cs="方正仿宋_GBK" w:hint="eastAsia"/>
          <w:bCs/>
        </w:rPr>
        <w:t>人工审核流程</w:t>
      </w:r>
    </w:p>
    <w:p>
      <w:pPr>
        <w:spacing w:line="560" w:lineRule="exact"/>
        <w:ind w:firstLineChars="200" w:firstLine="640"/>
        <w:rPr>
          <w:rFonts w:eastAsia="方正仿宋_GBK" w:cs="方正仿宋_GBK"/>
          <w:b w:val="0"/>
        </w:rPr>
      </w:pPr>
      <w:r>
        <w:rPr>
          <w:rFonts w:eastAsia="方正仿宋_GBK" w:cs="方正仿宋_GBK" w:hint="eastAsia"/>
          <w:b w:val="0"/>
        </w:rPr>
        <w:t>海关对未经过自动校验的、需全流程监管的，对资料进行人工审核。主要包括熏蒸方案与实际操作的一致性、监测数据的真实性与合理性、不适宜熏蒸货物排查。</w:t>
      </w:r>
    </w:p>
    <w:p>
      <w:pPr>
        <w:spacing w:line="560" w:lineRule="exact"/>
        <w:ind w:left="0"/>
        <w:rPr>
          <w:rFonts w:eastAsia="方正仿宋_GBK" w:cs="方正仿宋_GBK"/>
          <w:bCs/>
        </w:rPr>
      </w:pPr>
      <w:r>
        <w:rPr>
          <w:rFonts w:eastAsia="方正仿宋_GBK" w:cs="方正仿宋_GBK" w:hint="eastAsia"/>
          <w:bCs/>
        </w:rPr>
        <w:t>2.2.</w:t>
      </w:r>
      <w:r>
        <w:rPr>
          <w:rFonts w:eastAsia="方正仿宋_GBK" w:cs="方正仿宋_GBK"/>
          <w:bCs/>
        </w:rPr>
        <w:t>7</w:t>
      </w:r>
      <w:r>
        <w:rPr>
          <w:rFonts w:eastAsia="方正仿宋_GBK" w:cs="方正仿宋_GBK" w:hint="eastAsia"/>
          <w:bCs/>
        </w:rPr>
        <w:t>审核结果反馈</w:t>
      </w:r>
    </w:p>
    <w:p>
      <w:pPr>
        <w:pStyle w:val="3"/>
        <w:spacing w:beforeAutospacing="0" w:afterAutospacing="0" w:line="560" w:lineRule="exact"/>
        <w:ind w:firstLineChars="200" w:firstLine="640"/>
        <w:rPr>
          <w:rFonts w:eastAsia="方正仿宋_GBK" w:cs="方正仿宋_GBK" w:hint="eastAsia"/>
          <w:b w:val="0"/>
        </w:rPr>
      </w:pPr>
      <w:r>
        <w:rPr>
          <w:rFonts w:eastAsia="方正仿宋_GBK" w:cs="方正仿宋_GBK" w:hint="eastAsia"/>
          <w:b w:val="0"/>
        </w:rPr>
        <w:t>系统自动生成审核意见（通过/不通过），不通过项需明确标注违规条款及整改要求。</w:t>
      </w:r>
    </w:p>
    <w:p>
      <w:pPr>
        <w:pStyle w:val="2"/>
        <w:spacing w:beforeAutospacing="0" w:afterAutospacing="0" w:line="560" w:lineRule="exact"/>
        <w:rPr>
          <w:rFonts w:ascii="Times New Roman" w:eastAsia="方正楷体_GBK" w:cs="方正楷体_GBK" w:hAnsi="Times New Roman" w:hint="eastAsia"/>
          <w:b w:val="0"/>
          <w:bCs/>
        </w:rPr>
      </w:pPr>
      <w:r>
        <w:rPr>
          <w:rFonts w:ascii="Times New Roman" w:eastAsia="方正楷体_GBK" w:cs="方正楷体_GBK" w:hAnsi="Times New Roman" w:hint="eastAsia"/>
          <w:b w:val="0"/>
          <w:bCs/>
        </w:rPr>
        <w:t>2.3业务功能模块</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2.3.1检疫处理单位资质信息维护模块</w:t>
      </w:r>
      <w:r>
        <w:rPr>
          <w:rFonts w:eastAsia="方正仿宋_GBK" w:cs="方正仿宋_GBK"/>
          <w:bCs/>
        </w:rPr>
        <w:t>：</w:t>
      </w:r>
      <w:r>
        <w:rPr>
          <w:rFonts w:eastAsia="方正仿宋_GBK" w:cs="方正仿宋_GBK"/>
          <w:b w:val="0"/>
        </w:rPr>
        <w:t>实时维护</w:t>
      </w:r>
      <w:r>
        <w:rPr>
          <w:rFonts w:eastAsia="方正仿宋_GBK" w:cs="方正仿宋_GBK" w:hint="eastAsia"/>
          <w:b w:val="0"/>
        </w:rPr>
        <w:t>检疫处理单位资质信息</w:t>
      </w:r>
      <w:r>
        <w:rPr>
          <w:rFonts w:eastAsia="方正仿宋_GBK" w:cs="方正仿宋_GBK"/>
          <w:b w:val="0"/>
        </w:rPr>
        <w:t>，并在资质到期时给出提示。</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2.3.2方案审核模块：</w:t>
      </w:r>
      <w:r>
        <w:rPr>
          <w:rFonts w:eastAsia="方正仿宋_GBK" w:cs="方正仿宋_GBK" w:hint="eastAsia"/>
          <w:b w:val="0"/>
        </w:rPr>
        <w:t>在线查阅熏蒸方案，给出审核意见（通过/驳回并注明原因）。</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2.3.3 自动校验模块：</w:t>
      </w:r>
      <w:r>
        <w:rPr>
          <w:rFonts w:eastAsia="方正仿宋_GBK" w:cs="方正仿宋_GBK" w:hint="eastAsia"/>
          <w:b w:val="0"/>
        </w:rPr>
        <w:t>触发校验规则，生成校验报告（合格项/不合格项清单）。</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2.3.4 人工审核模块：</w:t>
      </w:r>
      <w:r>
        <w:rPr>
          <w:rFonts w:eastAsia="方正仿宋_GBK" w:cs="方正仿宋_GBK" w:hint="eastAsia"/>
          <w:b w:val="0"/>
        </w:rPr>
        <w:t>查看完整申报资料，标注审核意见，提交最终审核结果。</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2.3.5数据监管模块：</w:t>
      </w:r>
      <w:r>
        <w:rPr>
          <w:rFonts w:eastAsia="方正仿宋_GBK" w:cs="方正仿宋_GBK" w:hint="eastAsia"/>
          <w:b w:val="0"/>
        </w:rPr>
        <w:t>实时查看上传数据、平台对接状态，统计申报通过率、违规类型等。</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2.3.6.预警提示模块：</w:t>
      </w:r>
      <w:r>
        <w:rPr>
          <w:rFonts w:eastAsia="方正仿宋_GBK" w:cs="方正仿宋_GBK" w:hint="eastAsia"/>
          <w:b w:val="0"/>
        </w:rPr>
        <w:t>对超阈值数据、资料缺失等情况进行自动预警。</w:t>
      </w:r>
    </w:p>
    <w:p>
      <w:pPr>
        <w:pStyle w:val="3"/>
        <w:spacing w:beforeAutospacing="0" w:afterAutospacing="0" w:line="560" w:lineRule="exact"/>
        <w:rPr>
          <w:rFonts w:eastAsia="方正仿宋_GBK" w:cs="方正仿宋_GBK" w:hint="eastAsia"/>
          <w:b w:val="0"/>
        </w:rPr>
      </w:pPr>
      <w:r>
        <w:rPr>
          <w:rFonts w:eastAsia="方正仿宋_GBK" w:cs="方正仿宋_GBK" w:hint="eastAsia"/>
          <w:bCs/>
        </w:rPr>
        <w:t>2.3.7检疫处理数据查询统计模块</w:t>
      </w:r>
      <w:r>
        <w:rPr>
          <w:rFonts w:eastAsia="方正仿宋_GBK" w:cs="方正仿宋_GBK"/>
          <w:bCs/>
        </w:rPr>
        <w:t>：</w:t>
      </w:r>
      <w:r>
        <w:rPr>
          <w:rFonts w:eastAsia="方正仿宋_GBK" w:cs="方正仿宋_GBK" w:hint="eastAsia"/>
          <w:b w:val="0"/>
        </w:rPr>
        <w:t>以“报关单号”“申报日期”“申报单位”“查验场地”“关区代码”“指令下达日期”“处理日期”“是否完成检疫处置”“处理单位”“处理方式”“是否打印通知单”为筛选条件的查询统计功能。</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2.4安全模块</w:t>
      </w:r>
    </w:p>
    <w:p>
      <w:pPr>
        <w:spacing w:beforeAutospacing="0" w:afterAutospacing="0" w:line="560" w:lineRule="exact"/>
        <w:ind w:firstLineChars="200" w:firstLine="640"/>
        <w:jc w:val="left"/>
        <w:rPr>
          <w:bCs/>
        </w:rPr>
      </w:pPr>
      <w:r>
        <w:rPr>
          <w:rFonts w:hint="eastAsia"/>
          <w:bCs/>
        </w:rPr>
        <w:t>内置安全模块，用于记录各操作的具体操作人，录入内容、查询、修改、审核流转等日志情况，其</w:t>
      </w:r>
      <w:r>
        <w:rPr>
          <w:bCs/>
        </w:rPr>
        <w:t>日志记录功能满足应用安全日志规范要求，对每个用户的</w:t>
      </w:r>
      <w:r>
        <w:rPr>
          <w:rFonts w:hint="eastAsia"/>
          <w:bCs/>
        </w:rPr>
        <w:t>敏感</w:t>
      </w:r>
      <w:r>
        <w:rPr>
          <w:bCs/>
        </w:rPr>
        <w:t>操作行为进行日志记录，</w:t>
      </w:r>
      <w:r>
        <w:rPr>
          <w:rFonts w:hint="eastAsia"/>
          <w:bCs/>
        </w:rPr>
        <w:t>任何角色均无权修改、删除。</w:t>
      </w:r>
      <w:r>
        <w:rPr>
          <w:bCs/>
        </w:rPr>
        <w:t>日志记录的字段包括用户</w:t>
      </w:r>
      <w:r>
        <w:rPr>
          <w:rFonts w:hint="eastAsia"/>
          <w:bCs/>
        </w:rPr>
        <w:t>ID</w:t>
      </w:r>
      <w:r>
        <w:rPr>
          <w:bCs/>
        </w:rPr>
        <w:t>、操作时间、操作类型、业务功能、操作结果等内容。</w:t>
      </w:r>
      <w:r>
        <w:rPr>
          <w:rFonts w:hint="eastAsia"/>
          <w:bCs/>
        </w:rPr>
        <w:t>其功能主要提供给安全模块查询人，且安全模块查询人无法进行业务流转。系统操作日志留存时间不少于</w:t>
      </w:r>
      <w:r>
        <w:rPr>
          <w:bCs/>
        </w:rPr>
        <w:t>3</w:t>
      </w:r>
      <w:r>
        <w:rPr>
          <w:rFonts w:hint="eastAsia"/>
          <w:bCs/>
        </w:rPr>
        <w:t>年，保障数据处理行为可审计可追溯。</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2.5内控措施</w:t>
      </w:r>
    </w:p>
    <w:p>
      <w:pPr>
        <w:spacing w:beforeAutospacing="0" w:afterAutospacing="0" w:line="560" w:lineRule="exact"/>
        <w:ind w:firstLineChars="200" w:firstLine="640"/>
        <w:jc w:val="left"/>
        <w:rPr>
          <w:bCs/>
        </w:rPr>
      </w:pPr>
      <w:r>
        <w:rPr>
          <w:rFonts w:hint="eastAsia"/>
          <w:bCs/>
        </w:rPr>
        <w:t>本项目采用的内部控制方法主要有岗位控制、授权批准控制、程序控制、层级控制、监督控制。</w:t>
      </w:r>
    </w:p>
    <w:p>
      <w:pPr>
        <w:spacing w:beforeAutospacing="0" w:afterAutospacing="0" w:line="560" w:lineRule="exact"/>
        <w:ind w:firstLineChars="200" w:firstLine="640"/>
        <w:jc w:val="left"/>
        <w:rPr>
          <w:bCs/>
        </w:rPr>
      </w:pPr>
      <w:r>
        <w:rPr>
          <w:rFonts w:hint="eastAsia"/>
          <w:bCs/>
        </w:rPr>
        <w:t>其身份认证授权功能使用H4A系统，</w:t>
      </w:r>
      <w:r>
        <w:t>动植检处</w:t>
      </w:r>
      <w:r>
        <w:rPr>
          <w:rFonts w:hint="eastAsia"/>
          <w:bCs/>
        </w:rPr>
        <w:t>作为系统的业务职能部门，拥有最高的权限，可进行角色授权。</w:t>
      </w:r>
    </w:p>
    <w:p>
      <w:pPr>
        <w:spacing w:beforeAutospacing="0" w:afterAutospacing="0" w:line="560" w:lineRule="exact"/>
        <w:ind w:firstLineChars="200" w:firstLine="640"/>
        <w:jc w:val="left"/>
        <w:rPr>
          <w:bCs/>
        </w:rPr>
      </w:pPr>
      <w:r>
        <w:rPr>
          <w:rFonts w:hint="eastAsia"/>
          <w:bCs/>
        </w:rPr>
        <w:t>项目采用的内部控制方法主要有：</w:t>
      </w:r>
    </w:p>
    <w:p>
      <w:pPr>
        <w:spacing w:beforeAutospacing="0" w:afterAutospacing="0" w:line="560" w:lineRule="exact"/>
        <w:ind w:firstLineChars="200" w:firstLine="640"/>
        <w:jc w:val="left"/>
        <w:rPr>
          <w:bCs/>
        </w:rPr>
      </w:pPr>
      <w:r>
        <w:rPr>
          <w:rFonts w:hint="eastAsia"/>
          <w:bCs/>
        </w:rPr>
        <w:t>1．岗位控制。科学划分岗位，在开发环节设置各岗位工作要求和职责权限，确保需分离制约的岗位相互分离。</w:t>
      </w:r>
    </w:p>
    <w:p>
      <w:pPr>
        <w:spacing w:beforeAutospacing="0" w:afterAutospacing="0" w:line="560" w:lineRule="exact"/>
        <w:ind w:firstLineChars="200" w:firstLine="640"/>
        <w:jc w:val="left"/>
        <w:rPr>
          <w:bCs/>
        </w:rPr>
      </w:pPr>
      <w:r>
        <w:rPr>
          <w:rFonts w:hint="eastAsia"/>
          <w:bCs/>
        </w:rPr>
        <w:t>2．授权批准控制。根据任务和管理需求，划分不同授权层级；项目运行中，授权实行动态管理，根据岗位人员的调整及时进行权限的新增、撤销。</w:t>
      </w:r>
    </w:p>
    <w:p>
      <w:pPr>
        <w:spacing w:beforeAutospacing="0" w:afterAutospacing="0" w:line="560" w:lineRule="exact"/>
        <w:ind w:firstLineChars="200" w:firstLine="640"/>
        <w:jc w:val="left"/>
        <w:rPr>
          <w:bCs/>
        </w:rPr>
      </w:pPr>
      <w:r>
        <w:rPr>
          <w:rFonts w:hint="eastAsia"/>
          <w:bCs/>
        </w:rPr>
        <w:t>3．程序控制。在开发环节合理设置项目中功能的流程，并随着项目推进和实施，及时总结分析不足，进行优化和改进。</w:t>
      </w:r>
    </w:p>
    <w:p>
      <w:pPr>
        <w:spacing w:beforeAutospacing="0" w:afterAutospacing="0" w:line="560" w:lineRule="exact"/>
        <w:ind w:firstLineChars="200" w:firstLine="640"/>
        <w:jc w:val="left"/>
        <w:rPr>
          <w:bCs/>
        </w:rPr>
      </w:pPr>
      <w:r>
        <w:rPr>
          <w:rFonts w:hint="eastAsia"/>
          <w:bCs/>
        </w:rPr>
        <w:t>4．监督控制。留存系统操作日志，可回溯查看，查阅所有操作记录。</w:t>
      </w:r>
    </w:p>
    <w:p>
      <w:pPr>
        <w:spacing w:beforeAutospacing="0" w:afterAutospacing="0" w:line="560" w:lineRule="exact"/>
        <w:ind w:firstLineChars="200" w:firstLine="640"/>
        <w:jc w:val="left"/>
        <w:rPr>
          <w:bCs/>
        </w:rPr>
      </w:pPr>
      <w:r>
        <w:rPr>
          <w:rFonts w:hint="eastAsia"/>
          <w:bCs/>
        </w:rPr>
        <w:t>系统建成后，日常数据维护工作严格遵守相关的审核制度，保障数据库数据的安全性和完整性，查询分析功能的安全合法，坚决抵制违法、涉密、无关等信息发布到系统内。</w:t>
      </w:r>
    </w:p>
    <w:p>
      <w:pPr>
        <w:pStyle w:val="1"/>
        <w:spacing w:beforeAutospacing="0" w:afterAutospacing="0" w:line="560" w:lineRule="exact"/>
        <w:ind w:left="0" w:firstLine="0"/>
        <w:rPr>
          <w:rFonts w:eastAsia="方正黑体_GBK" w:cs="方正黑体_GBK" w:hint="eastAsia"/>
          <w:b w:val="0"/>
          <w:bCs w:val="0"/>
          <w:sz w:val="32"/>
        </w:rPr>
      </w:pPr>
      <w:r>
        <w:rPr>
          <w:rFonts w:eastAsia="方正黑体_GBK" w:cs="方正黑体_GBK" w:hint="eastAsia"/>
          <w:b w:val="0"/>
          <w:bCs w:val="0"/>
          <w:sz w:val="32"/>
        </w:rPr>
        <w:t>3.技术要求</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3.1开发技术需求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开发技术路线遵循采购人安全开发要求和应用系统架构管控要求，包括开发方式、开发技术路线、物理部署说明、数据计算环境、应用计算环境、安全运维要求、开发测试平台、原版库管控等要求，适配国产化客户端</w:t>
      </w:r>
      <w:r>
        <w:rPr>
          <w:rFonts w:eastAsia="方正仿宋_GBK"/>
          <w:bCs/>
          <w:spacing w:val="-4"/>
        </w:rPr>
        <w:t>及相关环境</w:t>
      </w:r>
      <w:r>
        <w:rPr>
          <w:rFonts w:eastAsia="方正仿宋_GBK" w:hint="eastAsia"/>
          <w:bCs/>
          <w:spacing w:val="-4"/>
        </w:rPr>
        <w:t>运行。</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3.2安全性需求★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1．在开发中应避免对账号口令、数据库连接串进行硬编码；</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2．避免使用简单的转码或者加密算法实现重要身份鉴别信息的保护，如Base64转码、RC4、DES、MD5等，系统应用应采用限制登录失败次数或验证码等技术手段缓解暴力破解的风险；</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3．禁止应用使用sa类的权限连接数据库；</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4．做到采购人应用权限隔离,被隔离的采购人账户只能读写公共可读写的文件和隔离账户的资料库；</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5．禁止其将系统架构、开发代码、内部数据上传至Github及类似代码托管平台或在互联网上私自存储或缓存数据。</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6．及时报告系统所使用的开源及第三方组件已披露的安全问题并定期更新。</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7</w:t>
      </w:r>
      <w:r>
        <w:rPr>
          <w:rFonts w:eastAsia="方正仿宋_GBK"/>
          <w:bCs/>
          <w:spacing w:val="-4"/>
        </w:rPr>
        <w:t xml:space="preserve">. </w:t>
      </w:r>
      <w:r>
        <w:rPr>
          <w:rFonts w:eastAsia="方正仿宋_GBK" w:hint="eastAsia"/>
          <w:bCs/>
          <w:spacing w:val="-4"/>
        </w:rPr>
        <w:t>源代码要符合采购人的安全扫描要求。</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3.</w:t>
      </w:r>
      <w:r>
        <w:rPr>
          <w:rFonts w:ascii="Times New Roman" w:eastAsia="方正楷体_GBK" w:cs="方正楷体_GBK" w:hAnsi="Times New Roman"/>
          <w:b w:val="0"/>
        </w:rPr>
        <w:t>3</w:t>
      </w:r>
      <w:r>
        <w:rPr>
          <w:rFonts w:ascii="Times New Roman" w:eastAsia="方正楷体_GBK" w:cs="方正楷体_GBK" w:hAnsi="Times New Roman" w:hint="eastAsia"/>
          <w:b w:val="0"/>
        </w:rPr>
        <w:t>系统运维需求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运行维护服务期内应向采购人提供以下服务：</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1．修复和优化系统在运行过程中出现的功能和性能问题，保证软件服务正常运行。</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2．根据安全部门发布的应用漏洞情况，及时修复应用存在的安全漏洞，并完成上线发布。</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3．协助完成系统扩容、升级或迁移时的资源评估、环境搭建、程序部署和功能验证等工作。</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4．根据海关要求，配合评估系统等保、密评级别要求达标情况，对存在的安全风险状况，提出整改建议方案并配合实施。</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5．对系统审计日志及其他日志文件进行安全性分析，根据海关要求对存在的安全风险进行持续优化。</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3.</w:t>
      </w:r>
      <w:r>
        <w:rPr>
          <w:rFonts w:ascii="Times New Roman" w:eastAsia="方正楷体_GBK" w:cs="方正楷体_GBK" w:hAnsi="Times New Roman"/>
          <w:b w:val="0"/>
        </w:rPr>
        <w:t>4</w:t>
      </w:r>
      <w:r>
        <w:rPr>
          <w:rFonts w:ascii="Times New Roman" w:eastAsia="方正楷体_GBK" w:cs="方正楷体_GBK" w:hAnsi="Times New Roman" w:hint="eastAsia"/>
          <w:b w:val="0"/>
        </w:rPr>
        <w:t>功能完善和集成需求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运行维护服务期内应向采购人提供以下服务：</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1．根据采购人使用或运维过程中发现的功能性问题或优化需求，仅限于对原系统进行完善和优化。</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2．为海关应用系统使用遇到的功能问题、技术问题，提供技术支持，并根据海关要求开展培训工作。</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3. 具备所需的系统集成能力（如海关H4A系统单点登录、授权管理接口等系统、海关移动端开发平台；如智慧海关系统作为本项目的系统框架）保证单点登录和授权管理业务正常开展。</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4.</w:t>
      </w:r>
      <w:r>
        <w:rPr>
          <w:rFonts w:eastAsia="方正仿宋_GBK"/>
          <w:bCs/>
          <w:spacing w:val="-4"/>
        </w:rPr>
        <w:t xml:space="preserve"> </w:t>
      </w:r>
      <w:r>
        <w:rPr>
          <w:rFonts w:eastAsia="方正仿宋_GBK" w:hint="eastAsia"/>
          <w:bCs/>
          <w:spacing w:val="-4"/>
        </w:rPr>
        <w:t>配合海关对国产化客户端使用的适配需求。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5．供应商应根据采购人要求，积极组织资源，配合制定进度，确保软件开发、测试、部署上线等工作在规定的时间内，准确、及时、安全、稳定地完成。</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6.</w:t>
      </w:r>
      <w:r>
        <w:rPr>
          <w:rFonts w:eastAsia="方正仿宋_GBK"/>
          <w:bCs/>
          <w:spacing w:val="-4"/>
        </w:rPr>
        <w:t xml:space="preserve"> </w:t>
      </w:r>
      <w:r>
        <w:rPr>
          <w:rFonts w:eastAsia="方正仿宋_GBK" w:hint="eastAsia"/>
          <w:bCs/>
          <w:spacing w:val="-4"/>
        </w:rPr>
        <w:t>服务期内运行保障服务包含本项目后续完善和功能升级所需对应的新的业务需求开发任务。</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3.</w:t>
      </w:r>
      <w:r>
        <w:rPr>
          <w:rFonts w:ascii="Times New Roman" w:eastAsia="方正楷体_GBK" w:cs="方正楷体_GBK" w:hAnsi="Times New Roman"/>
          <w:b w:val="0"/>
        </w:rPr>
        <w:t>5</w:t>
      </w:r>
      <w:r>
        <w:rPr>
          <w:rFonts w:ascii="Times New Roman" w:eastAsia="方正楷体_GBK" w:cs="方正楷体_GBK" w:hAnsi="Times New Roman" w:hint="eastAsia"/>
          <w:b w:val="0"/>
        </w:rPr>
        <w:t>性能调优需求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运行维护服务期内根据采购人安全管控、漏洞更新、架构升级、中间件变更、公共组件升级等安排对原系统进行升级；在保证业务系统平稳运行、保证业务系统数据的可用性、完整性和安全性的前提下，通过调整和优化提升系统整体运行性能，满足采购人对业务系统的性能要求；协助检查数据库运行情况，协助对数据库进行优化，提高数据库运行效率；配合硬件维护，及时完成涉及数据库和应用系统的相关工作等。配合海关安全运行要求，及时协助完成涉及护网及安全加固等工作。</w:t>
      </w:r>
    </w:p>
    <w:p>
      <w:pPr>
        <w:pStyle w:val="1"/>
        <w:spacing w:beforeAutospacing="0" w:afterAutospacing="0" w:line="560" w:lineRule="exact"/>
        <w:ind w:left="0" w:firstLine="0"/>
        <w:rPr>
          <w:rFonts w:eastAsia="方正黑体_GBK" w:cs="方正黑体_GBK" w:hint="eastAsia"/>
          <w:b w:val="0"/>
          <w:bCs w:val="0"/>
          <w:sz w:val="32"/>
        </w:rPr>
      </w:pPr>
      <w:r>
        <w:rPr>
          <w:rFonts w:eastAsia="方正黑体_GBK" w:cs="方正黑体_GBK" w:hint="eastAsia"/>
          <w:b w:val="0"/>
          <w:bCs w:val="0"/>
          <w:sz w:val="32"/>
        </w:rPr>
        <w:t>4.服务要求</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4.1故障修复</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服务期内负责对系统运行过程中的异常现象（数据异常、程序异常等）进行排查及分析，找出故障原因并解决；处理系统运行过程中的应用故障，供应商应具备对信息系统突发事件分类分级的能力，熟悉采购人关于信息系统应急预案的处理流程、具备现场应急处理能力，对分类突发事件应急事件具备应急处理预案和处理能力。</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4.2技术支持</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服务期内提供技术支持服务，为采购人在使用业务系统过程中遇到的疑问，协助进行解答或处理；承担采购人安排的与项目相关的技术支持服务相关工作。</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4.3开发人员要求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1．供应商应提供专业技术人员实施开发和测试服务，须提供服务，服务地点为采购人指定地点。</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2.供应商应提供研发工程师不少于</w:t>
      </w:r>
      <w:r>
        <w:rPr>
          <w:rFonts w:eastAsia="方正仿宋_GBK"/>
          <w:bCs/>
          <w:spacing w:val="-4"/>
        </w:rPr>
        <w:t>4</w:t>
      </w:r>
      <w:r>
        <w:rPr>
          <w:rFonts w:eastAsia="方正仿宋_GBK" w:hint="eastAsia"/>
          <w:bCs/>
          <w:spacing w:val="-4"/>
        </w:rPr>
        <w:t>人，测试工程师不少于</w:t>
      </w:r>
      <w:r>
        <w:rPr>
          <w:rFonts w:eastAsia="方正仿宋_GBK"/>
          <w:bCs/>
          <w:spacing w:val="-4"/>
        </w:rPr>
        <w:t>1</w:t>
      </w:r>
      <w:r>
        <w:rPr>
          <w:rFonts w:eastAsia="方正仿宋_GBK" w:hint="eastAsia"/>
          <w:bCs/>
          <w:spacing w:val="-4"/>
        </w:rPr>
        <w:t>名，运维人员不少于</w:t>
      </w:r>
      <w:r>
        <w:rPr>
          <w:rFonts w:eastAsia="方正仿宋_GBK"/>
          <w:bCs/>
          <w:spacing w:val="-4"/>
        </w:rPr>
        <w:t>1</w:t>
      </w:r>
      <w:r>
        <w:rPr>
          <w:rFonts w:eastAsia="方正仿宋_GBK" w:hint="eastAsia"/>
          <w:bCs/>
          <w:spacing w:val="-4"/>
        </w:rPr>
        <w:t>人。</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3．供应商及其服务人员在项目执行过程中应严格遵守采购人相关管理制度、工作纪律，不得违反采购人安全生产、安全保密等要求。对于开发技术服务，采购人提供工作场所、工作环境，供应商服务期间的食宿及交通等费用自行承担。</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4．根据采购人需要，供应商人员须在实际开始提供技术服务前通过采购人的面试。</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5．后端开发工程师需熟练使用</w:t>
      </w:r>
      <w:r>
        <w:rPr>
          <w:rFonts w:eastAsia="方正仿宋_GBK"/>
          <w:bCs/>
          <w:spacing w:val="-4"/>
        </w:rPr>
        <w:t>.</w:t>
      </w:r>
      <w:r>
        <w:rPr>
          <w:rFonts w:eastAsia="方正仿宋_GBK" w:hint="eastAsia"/>
          <w:bCs/>
          <w:spacing w:val="-4"/>
        </w:rPr>
        <w:t>Net</w:t>
      </w:r>
      <w:r>
        <w:rPr>
          <w:rFonts w:eastAsia="方正仿宋_GBK"/>
          <w:bCs/>
          <w:spacing w:val="-4"/>
        </w:rPr>
        <w:t>、Java</w:t>
      </w:r>
      <w:r>
        <w:rPr>
          <w:rFonts w:eastAsia="方正仿宋_GBK" w:hint="eastAsia"/>
          <w:bCs/>
          <w:spacing w:val="-4"/>
        </w:rPr>
        <w:t>语言开发, Oracle和MySQL数据库开发，具备较强的SQL编写与调优能力。</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bCs/>
          <w:spacing w:val="-4"/>
        </w:rPr>
        <w:t xml:space="preserve">6. </w:t>
      </w:r>
      <w:r>
        <w:rPr>
          <w:rFonts w:eastAsia="方正仿宋_GBK" w:hint="eastAsia"/>
          <w:bCs/>
          <w:spacing w:val="-4"/>
        </w:rPr>
        <w:t>前端工程师需熟练使用javascript、HTML、HTML5、CSS、 vue等主流前端类库、框架、工具等。</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4.4服务标准</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服务期内应向采购人提供以下服务：</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1．工作时间供应商提供5</w:t>
      </w:r>
      <w:r>
        <w:rPr>
          <w:rFonts w:eastAsia="方正仿宋_GBK"/>
          <w:bCs/>
          <w:spacing w:val="-4"/>
        </w:rPr>
        <w:t>×</w:t>
      </w:r>
      <w:r>
        <w:rPr>
          <w:rFonts w:eastAsia="方正仿宋_GBK" w:hint="eastAsia"/>
          <w:bCs/>
          <w:spacing w:val="-4"/>
        </w:rPr>
        <w:t>8小时即时响应服务；服务类别包括软件开发、测试、运维、技术支持等。</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2．非工作时间供应商提供7</w:t>
      </w:r>
      <w:r>
        <w:rPr>
          <w:rFonts w:eastAsia="方正仿宋_GBK"/>
          <w:bCs/>
          <w:spacing w:val="-4"/>
        </w:rPr>
        <w:t>×</w:t>
      </w:r>
      <w:r>
        <w:rPr>
          <w:rFonts w:eastAsia="方正仿宋_GBK" w:hint="eastAsia"/>
          <w:bCs/>
          <w:spacing w:val="-4"/>
        </w:rPr>
        <w:t>24小时电话、邮件、远程支持服务。</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3.系统出现故障提供现场技术支持，响应时间为：10分钟内电话响应，2小时内提供现场服务和故障响应。</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4.提供紧急情况专人电话支持；提供现场技术支持服务。</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5.如采购人需要，中标人可安排专人节假日值班。</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6.根据系统运行情况，定期向采购人反馈发现的问题，并形成改进建议及时上报采购人。</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4.5培训标准</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1．供应商需根据系统功能变更情况及时维护系统操作手册，及时向采购人提供。</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2．供应商需对采购人提供持续1周的跟踪培训服务，服务形式按采购人要求，包括现场、远程桌面、视频会议、即时通讯工具等。</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3．服务期内系统功能出现重大变更，在组织业务测试前应向采购人提供1周的集中培训服务。</w:t>
      </w:r>
    </w:p>
    <w:p>
      <w:pPr>
        <w:pStyle w:val="1"/>
        <w:spacing w:beforeAutospacing="0" w:afterAutospacing="0" w:line="560" w:lineRule="exact"/>
        <w:ind w:left="0" w:firstLine="0"/>
        <w:rPr>
          <w:rFonts w:eastAsia="方正黑体_GBK" w:cs="方正黑体_GBK" w:hint="eastAsia"/>
          <w:b w:val="0"/>
          <w:bCs w:val="0"/>
          <w:sz w:val="32"/>
        </w:rPr>
      </w:pPr>
      <w:r>
        <w:rPr>
          <w:rFonts w:eastAsia="方正黑体_GBK" w:cs="方正黑体_GBK" w:hint="eastAsia"/>
          <w:b w:val="0"/>
          <w:bCs w:val="0"/>
          <w:sz w:val="32"/>
        </w:rPr>
        <w:t>5.其他内容</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5.1知识产权归属</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服务期内，供应商为采购人提供服务而产生的技术成果的专利申请权、计算机软件的著作权、技术秘密以及技术资料的所有权及其它任何成果的知识产权全部归采购人所有。采购人对供应商进行透漏并不意味着任何所有权、专利权的转让。</w:t>
      </w:r>
    </w:p>
    <w:p>
      <w:pPr>
        <w:pStyle w:val="2"/>
        <w:spacing w:beforeAutospacing="0" w:afterAutospacing="0" w:line="560" w:lineRule="exact"/>
        <w:rPr>
          <w:rFonts w:ascii="Times New Roman" w:eastAsia="方正楷体_GBK" w:cs="方正楷体_GBK" w:hAnsi="Times New Roman" w:hint="eastAsia"/>
          <w:b w:val="0"/>
        </w:rPr>
      </w:pPr>
      <w:r>
        <w:rPr>
          <w:rFonts w:ascii="Times New Roman" w:eastAsia="方正楷体_GBK" w:cs="方正楷体_GBK" w:hAnsi="Times New Roman" w:hint="eastAsia"/>
          <w:b w:val="0"/>
        </w:rPr>
        <w:t>5.2安全保密要求</w:t>
      </w:r>
    </w:p>
    <w:p>
      <w:pPr>
        <w:pStyle w:val="32"/>
        <w:adjustRightInd w:val="0"/>
        <w:snapToGrid w:val="0"/>
        <w:spacing w:beforeAutospacing="0" w:afterAutospacing="0" w:line="560" w:lineRule="exact"/>
        <w:ind w:firstLineChars="200" w:firstLine="624"/>
        <w:rPr>
          <w:rFonts w:eastAsia="方正仿宋_GBK"/>
          <w:bCs/>
          <w:spacing w:val="-4"/>
        </w:rPr>
      </w:pPr>
      <w:r>
        <w:rPr>
          <w:rFonts w:eastAsia="方正仿宋_GBK" w:hint="eastAsia"/>
          <w:bCs/>
          <w:spacing w:val="-4"/>
        </w:rPr>
        <w:t>供应商应对在采购人工作过程中所获知的全部技术资料和技术秘密采取保密措施。除非法律法规要求或取得采购人事先书面同意，供应商不得对外透漏。在本项目服务期结束后，供应商保证归还采购人提供的所有技术资料和文件，并承诺不保留任何副本。供应商应保证供应商人员保守其获悉的采购人秘密，并采取必要措施确保供应商人员遵守上述有关知识产权、保密等方面的约定。为保护采购人的权益不受侵犯，供应商须按采购人要求签订保密协议。</w:t>
      </w:r>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方正楷体_GBK">
    <w:panose1 w:val="02000000000000000000"/>
    <w:charset w:val="86"/>
    <w:family w:val="script"/>
    <w:pitch w:val="variable"/>
    <w:sig w:usb0="A00002BF" w:usb1="38CF7CFA" w:usb2="00082016" w:usb3="00000000" w:csb0="00040001" w:csb1="00000000"/>
  </w:font>
  <w:font w:name="方正仿宋_GBK">
    <w:panose1 w:val="03000509000000000000"/>
    <w:charset w:val="86"/>
    <w:family w:val="script"/>
    <w:pitch w:val="variable"/>
    <w:sig w:usb0="00000001" w:usb1="080E0000" w:usb2="00000010" w:usb3="00000000" w:csb0="00040000" w:csb1="00000000"/>
  </w:font>
  <w:font w:name="宋体">
    <w:altName w:val="华文宋体"/>
    <w:panose1 w:val="02010600030101010101"/>
    <w:charset w:val="86"/>
    <w:family w:val="auto"/>
    <w:pitch w:val="variable"/>
    <w:sig w:usb0="00000203" w:usb1="288F0000" w:usb2="00000016" w:usb3="00000000" w:csb0="00040001" w:csb1="00000000"/>
  </w:font>
  <w:font w:name="Luxi Sans">
    <w:altName w:val="Times New Roman"/>
    <w:panose1 w:val="00000000000000000000"/>
    <w:charset w:val="00"/>
    <w:family w:val="auto"/>
    <w:pitch w:val="variable"/>
  </w:font>
  <w:font w:name="黑体">
    <w:altName w:val="华文细黑"/>
    <w:panose1 w:val="02010609060101010101"/>
    <w:charset w:val="86"/>
    <w:family w:val="modern"/>
    <w:pitch w:val="variable"/>
    <w:sig w:usb0="800002BF" w:usb1="38CF7CFA" w:usb2="00000016" w:usb3="00000000" w:csb0="00040001" w:csb1="00000000"/>
  </w:font>
  <w:font w:name="等线 Light">
    <w:altName w:val="方正黑体_GBK"/>
    <w:panose1 w:val="02010600030101010101"/>
    <w:charset w:val="86"/>
    <w:family w:val="auto"/>
    <w:pitch w:val="variable"/>
    <w:sig w:usb0="A00002BF" w:usb1="38CF7CFA" w:usb2="00000016" w:usb3="00000000" w:csb0="0004000F" w:csb1="00000000"/>
  </w:font>
  <w:font w:name="等线">
    <w:altName w:val="微软雅黑"/>
    <w:panose1 w:val="02010600030101010101"/>
    <w:charset w:val="86"/>
    <w:family w:val="auto"/>
    <w:pitch w:val="variable"/>
    <w:sig w:usb0="A00002BF" w:usb1="38CF7CFA" w:usb2="00000016" w:usb3="00000000" w:csb0="0004000F" w:csb1="00000000"/>
  </w:font>
  <w:font w:name="Arial">
    <w:altName w:val="DejaVu Sans"/>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33"/>
      </w:rPr>
      <w:fldChar w:fldCharType="begin"/>
    </w:r>
    <w:r>
      <w:rPr>
        <w:rStyle w:val="33"/>
      </w:rPr>
      <w:instrText>Page</w:instrText>
    </w:r>
    <w:r>
      <w:rPr>
        <w:rStyle w:val="33"/>
      </w:rPr>
      <w:fldChar w:fldCharType="separate"/>
    </w:r>
    <w:r>
      <w:rPr>
        <w:rStyle w:val="33"/>
      </w:rPr>
      <w:t>1</w:t>
    </w:r>
    <w:r>
      <w:rPr>
        <w:rStyle w:val="33"/>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33"/>
      </w:rPr>
      <w:fldChar w:fldCharType="begin"/>
    </w:r>
    <w:r>
      <w:rPr>
        <w:rStyle w:val="33"/>
      </w:rPr>
      <w:instrText>Page</w:instrText>
    </w:r>
    <w:r>
      <w:rPr>
        <w:rStyle w:val="33"/>
      </w:rPr>
      <w:fldChar w:fldCharType="separate"/>
    </w:r>
    <w:r>
      <w:rPr>
        <w:rStyle w:val="33"/>
      </w:rPr>
      <w:t>1</w:t>
    </w:r>
    <w:r>
      <w:rPr>
        <w:rStyle w:val="33"/>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6" w:lineRule="auto"/>
      <w:outlineLvl w:val="0"/>
    </w:pPr>
    <w:rPr>
      <w:rFonts w:eastAsia="宋体"/>
      <w:b/>
      <w:bCs/>
      <w:kern w:val="44"/>
      <w:sz w:val="44"/>
    </w:rPr>
  </w:style>
  <w:style w:type="paragraph" w:styleId="2">
    <w:name w:val="heading 2"/>
    <w:basedOn w:val="0"/>
    <w:next w:val="0"/>
    <w:pPr>
      <w:keepNext/>
      <w:keepLines/>
      <w:widowControl w:val="0"/>
      <w:spacing w:before="260" w:after="260" w:line="413" w:lineRule="auto"/>
      <w:outlineLvl w:val="1"/>
    </w:pPr>
    <w:rPr>
      <w:rFonts w:ascii="Luxi Sans" w:eastAsia="黑体" w:cs="宋体" w:hAnsi="Luxi Sans"/>
      <w:b/>
    </w:rPr>
  </w:style>
  <w:style w:type="paragraph" w:styleId="3">
    <w:name w:val="heading 3"/>
    <w:basedOn w:val="0"/>
    <w:next w:val="0"/>
    <w:pPr>
      <w:keepNext/>
      <w:keepLines/>
      <w:widowControl w:val="0"/>
      <w:spacing w:before="260" w:after="260" w:line="413" w:lineRule="auto"/>
      <w:outlineLvl w:val="2"/>
    </w:pPr>
    <w:rPr>
      <w:rFonts w:eastAsia="宋体"/>
      <w:b/>
    </w:rPr>
  </w:style>
  <w:style w:type="paragraph" w:styleId="4">
    <w:name w:val="heading 4"/>
    <w:basedOn w:val="0"/>
    <w:next w:val="0"/>
    <w:pPr>
      <w:keepNext/>
      <w:keepLines/>
      <w:widowControl w:val="0"/>
      <w:spacing w:before="280" w:after="290" w:line="377" w:lineRule="auto"/>
      <w:outlineLvl w:val="3"/>
    </w:pPr>
    <w:rPr>
      <w:rFonts w:ascii="等线 Light" w:eastAsia="等线 Light" w:cs="Times New Roman"/>
      <w:b/>
      <w:bCs/>
      <w:sz w:val="28"/>
      <w:szCs w:val="28"/>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customStyle="1" w:styleId="17">
    <w:name w:val="样式 10 磅"/>
    <w:pPr>
      <w:widowControl w:val="0"/>
      <w:jc w:val="both"/>
    </w:pPr>
    <w:rPr>
      <w:rFonts w:ascii="等线" w:eastAsia="等线" w:cs="Arial"/>
      <w:kern w:val="2"/>
      <w:sz w:val="21"/>
      <w:szCs w:val="22"/>
      <w:lang w:val="en-US" w:eastAsia="zh-CN" w:bidi="ar-SA"/>
    </w:rPr>
  </w:style>
  <w:style w:type="paragraph" w:customStyle="1" w:styleId="18">
    <w:name w:val="样式 16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
    <w:name w:val="样式 3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
    <w:name w:val="样式 181 三号"/>
    <w:pPr>
      <w:widowControl w:val="0"/>
      <w:jc w:val="both"/>
    </w:pPr>
    <w:rPr>
      <w:rFonts w:ascii="Times New Roman" w:eastAsia="方正仿宋_GBK" w:cs="Times New Roman" w:hAnsi="Times New Roman"/>
      <w:kern w:val="2"/>
      <w:sz w:val="32"/>
      <w:szCs w:val="20"/>
      <w:lang w:val="en-US" w:eastAsia="zh-CN" w:bidi="ar-SA"/>
    </w:rPr>
  </w:style>
  <w:style w:type="paragraph" w:styleId="21">
    <w:name w:val="Title"/>
    <w:basedOn w:val="0"/>
    <w:next w:val="0"/>
    <w:pPr>
      <w:spacing w:before="240" w:after="60"/>
      <w:jc w:val="center"/>
      <w:outlineLvl w:val="0"/>
    </w:pPr>
    <w:rPr>
      <w:rFonts w:ascii="等线 Light" w:eastAsia="等线 Light" w:cs="Times New Roman"/>
      <w:b/>
      <w:bCs/>
    </w:rPr>
  </w:style>
  <w:style w:type="paragraph" w:customStyle="1" w:styleId="22">
    <w:name w:val="标题4"/>
    <w:basedOn w:val="4"/>
  </w:style>
  <w:style w:type="paragraph" w:customStyle="1" w:styleId="23">
    <w:name w:val="样式 17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4">
    <w:name w:val="List Paragraph"/>
    <w:basedOn w:val="0"/>
    <w:pPr>
      <w:ind w:firstLineChars="200" w:firstLine="200"/>
    </w:pPr>
    <w:rPr>
      <w:szCs w:val="20"/>
    </w:rPr>
  </w:style>
  <w:style w:type="paragraph" w:customStyle="1" w:styleId="25">
    <w:name w:val="样式 179 三号"/>
    <w:pPr>
      <w:widowControl w:val="0"/>
      <w:jc w:val="both"/>
    </w:pPr>
    <w:rPr>
      <w:rFonts w:ascii="Times New Roman" w:eastAsia="方正仿宋_GBK" w:cs="Times New Roman" w:hAnsi="Times New Roman"/>
      <w:kern w:val="2"/>
      <w:sz w:val="32"/>
      <w:szCs w:val="20"/>
      <w:lang w:val="en-US" w:eastAsia="zh-CN" w:bidi="ar-SA"/>
    </w:rPr>
  </w:style>
  <w:style w:type="character" w:styleId="26">
    <w:name w:val="Strong"/>
    <w:basedOn w:val="10"/>
    <w:rPr>
      <w:b/>
      <w:bCs/>
    </w:rPr>
  </w:style>
  <w:style w:type="paragraph" w:customStyle="1" w:styleId="27">
    <w:name w:val="ds-markdown-paragraph"/>
    <w:basedOn w:val="0"/>
    <w:pPr>
      <w:widowControl/>
      <w:spacing w:before="100" w:beforeAutospacing="1" w:after="100" w:afterAutospacing="1"/>
      <w:jc w:val="left"/>
    </w:pPr>
    <w:rPr>
      <w:rFonts w:ascii="宋体" w:eastAsia="宋体" w:cs="宋体"/>
      <w:kern w:val="0"/>
      <w:sz w:val="24"/>
      <w:szCs w:val="24"/>
    </w:rPr>
  </w:style>
  <w:style w:type="paragraph" w:styleId="28">
    <w:name w:val="annotation text"/>
    <w:basedOn w:val="0"/>
    <w:pPr>
      <w:jc w:val="left"/>
    </w:pPr>
  </w:style>
  <w:style w:type="paragraph" w:styleId="29">
    <w:name w:val="Normal (Web)"/>
    <w:basedOn w:val="0"/>
    <w:rPr>
      <w:sz w:val="24"/>
      <w:szCs w:val="24"/>
    </w:rPr>
  </w:style>
  <w:style w:type="paragraph" w:customStyle="1" w:styleId="30">
    <w:name w:val="样式 二号"/>
    <w:basedOn w:val="0"/>
    <w:pPr>
      <w:keepNext/>
      <w:keepLines/>
      <w:widowControl w:val="0"/>
      <w:spacing w:before="340" w:after="330" w:line="578" w:lineRule="auto"/>
      <w:outlineLvl w:val="0"/>
    </w:pPr>
    <w:rPr>
      <w:rFonts w:ascii="Times New Roman" w:eastAsia="宋体" w:hAnsi="Times New Roman"/>
      <w:b/>
      <w:bCs/>
      <w:kern w:val="44"/>
      <w:sz w:val="44"/>
    </w:rPr>
  </w:style>
  <w:style w:type="paragraph" w:customStyle="1" w:styleId="31">
    <w:name w:val="样式 "/>
    <w:basedOn w:val="0"/>
    <w:pPr>
      <w:keepNext/>
      <w:keepLines/>
      <w:widowControl w:val="0"/>
      <w:spacing w:before="260" w:after="260" w:line="415" w:lineRule="auto"/>
      <w:outlineLvl w:val="1"/>
    </w:pPr>
    <w:rPr>
      <w:rFonts w:ascii="Luxi Sans" w:eastAsia="黑体" w:hAnsi="Luxi Sans"/>
      <w:b/>
      <w:sz w:val="32"/>
    </w:rPr>
  </w:style>
  <w:style w:type="paragraph" w:customStyle="1" w:styleId="32">
    <w:name w:val="样式 三号"/>
    <w:pPr>
      <w:widowControl w:val="0"/>
      <w:jc w:val="both"/>
    </w:pPr>
    <w:rPr>
      <w:rFonts w:ascii="Times New Roman" w:eastAsia="宋体" w:cs="Times New Roman" w:hAnsi="Times New Roman"/>
      <w:kern w:val="2"/>
      <w:sz w:val="32"/>
      <w:szCs w:val="32"/>
      <w:lang w:val="en-US" w:eastAsia="zh-CN" w:bidi="ar-SA"/>
    </w:rPr>
  </w:style>
  <w:style w:type="character" w:styleId="33">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3613</TotalTime>
  <Application>Yozo_Office</Application>
  <Pages>11</Pages>
  <Words>4700</Words>
  <Characters>4881</Characters>
  <Lines>236</Lines>
  <Paragraphs>105</Paragraphs>
  <CharactersWithSpaces>4891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ysql</dc:creator>
  <cp:lastModifiedBy>郁风</cp:lastModifiedBy>
  <cp:revision>19</cp:revision>
  <dcterms:created xsi:type="dcterms:W3CDTF">2025-06-20T02:01:00Z</dcterms:created>
  <dcterms:modified xsi:type="dcterms:W3CDTF">2026-05-19T07:40:27Z</dcterms:modified>
</cp:coreProperties>
</file>