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default"/>
          <w:lang w:val="en-US" w:eastAsia="zh-CN"/>
        </w:rPr>
      </w:pPr>
      <w:r>
        <w:rPr>
          <w:rFonts w:hint="default"/>
          <w:lang w:val="en-US" w:eastAsia="zh-CN"/>
        </w:rPr>
        <w:t>项目概述</w:t>
      </w:r>
    </w:p>
    <w:p>
      <w:pPr>
        <w:rPr>
          <w:rFonts w:hint="default"/>
          <w:lang w:val="en-US" w:eastAsia="zh-CN"/>
        </w:rPr>
      </w:pPr>
      <w:r>
        <w:rPr>
          <w:rFonts w:hint="default"/>
          <w:lang w:val="en-US" w:eastAsia="zh-CN"/>
        </w:rPr>
        <w:t>目前我局大量信息化设备如国产化服务器、交换机等均安装部署在开发区办公楼的六楼机房当中。因原机房建设于2010年，随着近年来不断增加信息化相关设备，现有机房内空间已经无法满足新设备的安装和部署。随着总署新一轮设备即将发放，现有机房不得不根据实际情况进行部分调整。</w:t>
      </w:r>
    </w:p>
    <w:p>
      <w:pPr>
        <w:rPr>
          <w:rFonts w:hint="default"/>
          <w:lang w:val="en-US" w:eastAsia="zh-CN"/>
        </w:rPr>
      </w:pPr>
      <w:r>
        <w:rPr>
          <w:rFonts w:hint="default"/>
          <w:lang w:val="en-US" w:eastAsia="zh-CN"/>
        </w:rPr>
        <w:t>因机房建设较为久远，原机房内的UPS设备现已经故障、报废，但配线仍在现有配电柜当中。且机房内配电进行了多次不同的临时增加，现有情况较为混乱。根据目前机房整体勘查来看，主配电柜和进线可以满足机房内的电力扩展，剩余部分需根据情况进行配电改造、配电安装及设备整体切换、调试。</w:t>
      </w:r>
    </w:p>
    <w:p>
      <w:pPr>
        <w:pStyle w:val="4"/>
        <w:bidi w:val="0"/>
        <w:rPr>
          <w:rFonts w:hint="default"/>
          <w:lang w:val="en-US" w:eastAsia="zh-CN"/>
        </w:rPr>
      </w:pPr>
      <w:r>
        <w:rPr>
          <w:rFonts w:hint="eastAsia"/>
          <w:lang w:val="en-US" w:eastAsia="zh-CN"/>
        </w:rPr>
        <w:t>主要实施内容</w:t>
      </w:r>
    </w:p>
    <w:p>
      <w:pPr>
        <w:rPr>
          <w:rFonts w:hint="default"/>
          <w:lang w:val="en-US" w:eastAsia="zh-CN"/>
        </w:rPr>
      </w:pPr>
      <w:r>
        <w:rPr>
          <w:rFonts w:hint="eastAsia"/>
          <w:lang w:val="en-US" w:eastAsia="zh-CN"/>
        </w:rPr>
        <w:t>（1）</w:t>
      </w:r>
      <w:r>
        <w:rPr>
          <w:rFonts w:hint="default"/>
          <w:lang w:val="en-US" w:eastAsia="zh-CN"/>
        </w:rPr>
        <w:t>新增机柜</w:t>
      </w:r>
    </w:p>
    <w:p>
      <w:pPr>
        <w:rPr>
          <w:rFonts w:hint="default"/>
          <w:lang w:val="en-US" w:eastAsia="zh-CN"/>
        </w:rPr>
      </w:pPr>
      <w:r>
        <w:rPr>
          <w:rFonts w:hint="default"/>
          <w:lang w:val="en-US" w:eastAsia="zh-CN"/>
        </w:rPr>
        <w:t>根据现有布局情况，新增安装3台服务器机柜，保障后续服务器有位置部署，可交付</w:t>
      </w:r>
      <w:r>
        <w:rPr>
          <w:rFonts w:hint="eastAsia"/>
          <w:lang w:val="en-US" w:eastAsia="zh-CN"/>
        </w:rPr>
        <w:t>。</w:t>
      </w:r>
    </w:p>
    <w:p>
      <w:pPr>
        <w:rPr>
          <w:rFonts w:hint="default"/>
          <w:lang w:val="en-US" w:eastAsia="zh-CN"/>
        </w:rPr>
      </w:pPr>
      <w:r>
        <w:rPr>
          <w:rFonts w:hint="eastAsia"/>
          <w:lang w:val="en-US" w:eastAsia="zh-CN"/>
        </w:rPr>
        <w:t>（2）</w:t>
      </w:r>
      <w:r>
        <w:rPr>
          <w:rFonts w:hint="default"/>
          <w:lang w:val="en-US" w:eastAsia="zh-CN"/>
        </w:rPr>
        <w:t>机房配电改造</w:t>
      </w:r>
    </w:p>
    <w:p>
      <w:pPr>
        <w:rPr>
          <w:rFonts w:hint="default"/>
          <w:lang w:val="en-US" w:eastAsia="zh-CN"/>
        </w:rPr>
      </w:pPr>
      <w:r>
        <w:rPr>
          <w:rFonts w:hint="default"/>
          <w:lang w:val="en-US" w:eastAsia="zh-CN"/>
        </w:rPr>
        <w:t>根据现有配电现状，进行部分改造，</w:t>
      </w:r>
      <w:r>
        <w:rPr>
          <w:rFonts w:hint="eastAsia"/>
          <w:lang w:val="en-US" w:eastAsia="zh-CN"/>
        </w:rPr>
        <w:t>新增</w:t>
      </w:r>
      <w:r>
        <w:rPr>
          <w:rFonts w:hint="default"/>
          <w:lang w:val="en-US" w:eastAsia="zh-CN"/>
        </w:rPr>
        <w:t>UPS配电箱</w:t>
      </w:r>
      <w:r>
        <w:rPr>
          <w:rFonts w:hint="eastAsia"/>
          <w:lang w:val="en-US" w:eastAsia="zh-CN"/>
        </w:rPr>
        <w:t>，UPS输入输出电缆敷设</w:t>
      </w:r>
      <w:r>
        <w:rPr>
          <w:rFonts w:hint="default"/>
          <w:lang w:val="en-US" w:eastAsia="zh-CN"/>
        </w:rPr>
        <w:t>。现有3个服务器机柜内的PDU已经开始</w:t>
      </w:r>
      <w:r>
        <w:rPr>
          <w:rFonts w:hint="eastAsia"/>
          <w:lang w:val="en-US" w:eastAsia="zh-CN"/>
        </w:rPr>
        <w:t>“</w:t>
      </w:r>
      <w:r>
        <w:rPr>
          <w:rFonts w:hint="default"/>
          <w:lang w:val="en-US" w:eastAsia="zh-CN"/>
        </w:rPr>
        <w:t>手拉手</w:t>
      </w:r>
      <w:r>
        <w:rPr>
          <w:rFonts w:hint="eastAsia"/>
          <w:lang w:val="en-US" w:eastAsia="zh-CN"/>
        </w:rPr>
        <w:t>”</w:t>
      </w:r>
      <w:r>
        <w:rPr>
          <w:rFonts w:hint="default"/>
          <w:lang w:val="en-US" w:eastAsia="zh-CN"/>
        </w:rPr>
        <w:t>式拖拽，本次一并改造，更换为大插口数量的PDU，满足服务器使用的基本要求。</w:t>
      </w:r>
    </w:p>
    <w:p>
      <w:pPr>
        <w:rPr>
          <w:rFonts w:hint="default"/>
          <w:lang w:val="en-US" w:eastAsia="zh-CN"/>
        </w:rPr>
      </w:pPr>
      <w:r>
        <w:rPr>
          <w:rFonts w:hint="eastAsia"/>
          <w:lang w:val="en-US" w:eastAsia="zh-CN"/>
        </w:rPr>
        <w:t>（3）</w:t>
      </w:r>
      <w:r>
        <w:rPr>
          <w:rFonts w:hint="default"/>
          <w:lang w:val="en-US" w:eastAsia="zh-CN"/>
        </w:rPr>
        <w:t>设备拆除和管线敷设</w:t>
      </w:r>
    </w:p>
    <w:p>
      <w:pPr>
        <w:rPr>
          <w:rFonts w:hint="default"/>
          <w:lang w:val="en-US" w:eastAsia="zh-CN"/>
        </w:rPr>
      </w:pPr>
      <w:r>
        <w:rPr>
          <w:rFonts w:hint="default"/>
          <w:lang w:val="en-US" w:eastAsia="zh-CN"/>
        </w:rPr>
        <w:t>拆除现有故障UPS，对整体配电系统线路进行改造。修复原UPS电池组位置的塌陷静电地板，迁移气体消防设施，并根据本次配电改造进行管线敷设。</w:t>
      </w:r>
    </w:p>
    <w:p>
      <w:pPr>
        <w:rPr>
          <w:rFonts w:hint="default"/>
          <w:lang w:val="en-US" w:eastAsia="zh-CN"/>
        </w:rPr>
      </w:pPr>
      <w:r>
        <w:rPr>
          <w:rFonts w:hint="eastAsia"/>
          <w:lang w:val="en-US" w:eastAsia="zh-CN"/>
        </w:rPr>
        <w:t>（4）信息化系统停机保障服务</w:t>
      </w:r>
    </w:p>
    <w:p>
      <w:pPr>
        <w:rPr>
          <w:rFonts w:hint="default"/>
          <w:lang w:val="en-US" w:eastAsia="zh-CN"/>
        </w:rPr>
      </w:pPr>
      <w:r>
        <w:rPr>
          <w:rFonts w:hint="default"/>
          <w:lang w:val="en-US" w:eastAsia="zh-CN"/>
        </w:rPr>
        <w:t>提供现有机房内服务器、安全设备等信息化设备关机下电，待电路改造完成后送电开机，提供整体系统的安全关机、停机、开机和测试服务，以及改造完成后1个工作日内驻场保障服务，保障整体电路改造过程中、改造后不影响我局业务正常开展</w:t>
      </w:r>
      <w:r>
        <w:rPr>
          <w:rFonts w:hint="eastAsia"/>
          <w:lang w:val="en-US" w:eastAsia="zh-CN"/>
        </w:rPr>
        <w:t>。</w:t>
      </w:r>
    </w:p>
    <w:p>
      <w:pPr>
        <w:rPr>
          <w:rFonts w:hint="default"/>
          <w:lang w:val="en-US" w:eastAsia="zh-CN"/>
        </w:rPr>
      </w:pPr>
      <w:r>
        <w:rPr>
          <w:rFonts w:hint="default"/>
          <w:lang w:val="en-US" w:eastAsia="zh-CN"/>
        </w:rPr>
        <w:t>因停机导致设备故障的，应由实施单位进行维修</w:t>
      </w:r>
      <w:r>
        <w:rPr>
          <w:rFonts w:hint="eastAsia"/>
          <w:lang w:val="en-US" w:eastAsia="zh-CN"/>
        </w:rPr>
        <w:t>。</w:t>
      </w:r>
    </w:p>
    <w:p>
      <w:pPr>
        <w:pStyle w:val="4"/>
        <w:bidi w:val="0"/>
        <w:rPr>
          <w:rFonts w:hint="default"/>
          <w:lang w:val="en-US" w:eastAsia="zh-CN"/>
        </w:rPr>
      </w:pPr>
      <w:r>
        <w:rPr>
          <w:rFonts w:hint="default"/>
          <w:lang w:val="en-US" w:eastAsia="zh-CN"/>
        </w:rPr>
        <w:t>其它要求</w:t>
      </w:r>
    </w:p>
    <w:p>
      <w:pPr>
        <w:pStyle w:val="5"/>
        <w:bidi w:val="0"/>
        <w:rPr>
          <w:rFonts w:hint="default"/>
          <w:lang w:val="en-US" w:eastAsia="zh-CN"/>
        </w:rPr>
      </w:pPr>
      <w:r>
        <w:rPr>
          <w:rFonts w:hint="default"/>
          <w:lang w:val="en-US" w:eastAsia="zh-CN"/>
        </w:rPr>
        <w:t>知识产权</w:t>
      </w:r>
    </w:p>
    <w:p>
      <w:pPr>
        <w:rPr>
          <w:rFonts w:hint="default"/>
          <w:lang w:val="en-US" w:eastAsia="zh-CN"/>
        </w:rPr>
      </w:pPr>
      <w:r>
        <w:rPr>
          <w:rFonts w:hint="default"/>
          <w:lang w:val="en-US" w:eastAsia="zh-CN"/>
        </w:rPr>
        <w:t>投标方应保证所提供的货物或其任何一部分均不会侵犯任何第三方的知识产权、专有技术或商业秘密，否则由此产生的一切后果由投标方负全责。</w:t>
      </w:r>
    </w:p>
    <w:p>
      <w:pPr>
        <w:pStyle w:val="5"/>
        <w:bidi w:val="0"/>
        <w:rPr>
          <w:rFonts w:hint="default"/>
          <w:lang w:val="en-US" w:eastAsia="zh-CN"/>
        </w:rPr>
      </w:pPr>
      <w:r>
        <w:rPr>
          <w:rFonts w:hint="default"/>
          <w:lang w:val="en-US" w:eastAsia="zh-CN"/>
        </w:rPr>
        <w:t>无产权瑕疵</w:t>
      </w:r>
    </w:p>
    <w:p>
      <w:pPr>
        <w:rPr>
          <w:rFonts w:hint="default"/>
          <w:lang w:val="en-US" w:eastAsia="zh-CN"/>
        </w:rPr>
      </w:pPr>
      <w:r>
        <w:rPr>
          <w:rFonts w:hint="default"/>
          <w:lang w:val="en-US" w:eastAsia="zh-CN"/>
        </w:rPr>
        <w:t>投标方保证所交付的货物的所有权完全属于投标方且无任何抵押、查封等产权瑕疵。如投标方所交货物有产权瑕疵的，采购方除有权单方解除合同外，还有权要求投标方按照合同总价款10%承担违约金。如果给采购方造成损失（包括直接损失、间接损失及采购方为维权所支付的调查取证费、律师费、差旅费等）的，投标方还应当承担赔偿责任。</w:t>
      </w:r>
    </w:p>
    <w:p>
      <w:pPr>
        <w:pStyle w:val="5"/>
        <w:bidi w:val="0"/>
        <w:rPr>
          <w:rFonts w:hint="default"/>
          <w:lang w:val="en-US" w:eastAsia="zh-CN"/>
        </w:rPr>
      </w:pPr>
      <w:r>
        <w:rPr>
          <w:rFonts w:hint="default"/>
          <w:lang w:val="en-US" w:eastAsia="zh-CN"/>
        </w:rPr>
        <w:t>交货期及交货地点</w:t>
      </w:r>
    </w:p>
    <w:p>
      <w:pPr>
        <w:numPr>
          <w:ilvl w:val="0"/>
          <w:numId w:val="2"/>
        </w:numPr>
        <w:rPr>
          <w:rFonts w:hint="default"/>
          <w:lang w:val="en-US" w:eastAsia="zh-CN"/>
        </w:rPr>
      </w:pPr>
      <w:r>
        <w:rPr>
          <w:rFonts w:hint="default"/>
          <w:lang w:val="en-US" w:eastAsia="zh-CN"/>
        </w:rPr>
        <w:t>交货期：合同签订后</w:t>
      </w:r>
      <w:r>
        <w:rPr>
          <w:rFonts w:hint="eastAsia"/>
          <w:lang w:val="en-US" w:eastAsia="zh-CN"/>
        </w:rPr>
        <w:t>30</w:t>
      </w:r>
      <w:r>
        <w:rPr>
          <w:rFonts w:hint="default"/>
          <w:lang w:val="en-US" w:eastAsia="zh-CN"/>
        </w:rPr>
        <w:t>日内完成供货安装，并且</w:t>
      </w:r>
      <w:r>
        <w:rPr>
          <w:rFonts w:hint="eastAsia"/>
          <w:lang w:val="en-US" w:eastAsia="zh-CN"/>
        </w:rPr>
        <w:t>安装</w:t>
      </w:r>
      <w:r>
        <w:rPr>
          <w:rFonts w:hint="default"/>
          <w:lang w:val="en-US" w:eastAsia="zh-CN"/>
        </w:rPr>
        <w:t>调试完毕。</w:t>
      </w:r>
    </w:p>
    <w:p>
      <w:pPr>
        <w:numPr>
          <w:ilvl w:val="0"/>
          <w:numId w:val="2"/>
        </w:numPr>
        <w:rPr>
          <w:rFonts w:hint="default"/>
          <w:lang w:val="en-US" w:eastAsia="zh-CN"/>
        </w:rPr>
      </w:pPr>
      <w:r>
        <w:rPr>
          <w:rFonts w:hint="default"/>
          <w:lang w:val="en-US" w:eastAsia="zh-CN"/>
        </w:rPr>
        <w:t>交货地点：</w:t>
      </w:r>
      <w:r>
        <w:rPr>
          <w:rFonts w:hint="eastAsia"/>
          <w:lang w:val="en-US" w:eastAsia="zh-CN"/>
        </w:rPr>
        <w:t>招标人</w:t>
      </w:r>
      <w:r>
        <w:rPr>
          <w:rFonts w:hint="default"/>
          <w:lang w:val="en-US" w:eastAsia="zh-CN"/>
        </w:rPr>
        <w:t>指定地点。</w:t>
      </w:r>
    </w:p>
    <w:p>
      <w:pPr>
        <w:pStyle w:val="5"/>
        <w:bidi w:val="0"/>
        <w:rPr>
          <w:rFonts w:hint="default"/>
          <w:lang w:val="en-US" w:eastAsia="zh-CN"/>
        </w:rPr>
      </w:pPr>
      <w:r>
        <w:rPr>
          <w:rFonts w:hint="default"/>
          <w:lang w:val="en-US" w:eastAsia="zh-CN"/>
        </w:rPr>
        <w:t>付款方式</w:t>
      </w:r>
    </w:p>
    <w:p>
      <w:pPr>
        <w:rPr>
          <w:rFonts w:hint="default"/>
          <w:lang w:val="en-US" w:eastAsia="zh-CN"/>
        </w:rPr>
      </w:pPr>
      <w:r>
        <w:rPr>
          <w:rFonts w:hint="default"/>
          <w:lang w:val="en-US" w:eastAsia="zh-CN"/>
        </w:rPr>
        <w:t>货到安装调试完毕并验收合格后，支付合同价款的</w:t>
      </w:r>
      <w:r>
        <w:rPr>
          <w:rFonts w:hint="eastAsia"/>
          <w:lang w:val="en-US" w:eastAsia="zh-CN"/>
        </w:rPr>
        <w:t>100</w:t>
      </w:r>
      <w:r>
        <w:rPr>
          <w:rFonts w:hint="default"/>
          <w:lang w:val="en-US" w:eastAsia="zh-CN"/>
        </w:rPr>
        <w:t>%。</w:t>
      </w:r>
    </w:p>
    <w:p>
      <w:pPr>
        <w:pStyle w:val="5"/>
        <w:bidi w:val="0"/>
        <w:rPr>
          <w:rFonts w:hint="default"/>
          <w:lang w:val="en-US" w:eastAsia="zh-CN"/>
        </w:rPr>
      </w:pPr>
      <w:r>
        <w:rPr>
          <w:rFonts w:hint="default"/>
          <w:lang w:val="en-US" w:eastAsia="zh-CN"/>
        </w:rPr>
        <w:t>质量保证和售后服务要求</w:t>
      </w:r>
    </w:p>
    <w:p>
      <w:pPr>
        <w:numPr>
          <w:ilvl w:val="0"/>
          <w:numId w:val="3"/>
        </w:numPr>
        <w:rPr>
          <w:rFonts w:hint="default"/>
          <w:lang w:val="en-US" w:eastAsia="zh-CN"/>
        </w:rPr>
      </w:pPr>
      <w:r>
        <w:rPr>
          <w:rFonts w:hint="default"/>
          <w:lang w:val="en-US" w:eastAsia="zh-CN"/>
        </w:rPr>
        <w:t>投标方应按</w:t>
      </w:r>
      <w:r>
        <w:rPr>
          <w:rFonts w:hint="eastAsia"/>
          <w:lang w:val="en-US" w:eastAsia="zh-CN"/>
        </w:rPr>
        <w:t>采购文件</w:t>
      </w:r>
      <w:r>
        <w:rPr>
          <w:rFonts w:hint="default"/>
          <w:lang w:val="en-US" w:eastAsia="zh-CN"/>
        </w:rPr>
        <w:t>规定的货物性能、技术要求、质量标准向采购方提供未经使用的全新产品。</w:t>
      </w:r>
      <w:bookmarkStart w:id="0" w:name="_GoBack"/>
      <w:bookmarkEnd w:id="0"/>
    </w:p>
    <w:p>
      <w:pPr>
        <w:numPr>
          <w:ilvl w:val="0"/>
          <w:numId w:val="3"/>
        </w:numPr>
        <w:rPr>
          <w:rFonts w:hint="default"/>
          <w:lang w:val="en-US" w:eastAsia="zh-CN"/>
        </w:rPr>
      </w:pPr>
      <w:r>
        <w:rPr>
          <w:rFonts w:hint="default"/>
          <w:lang w:val="en-US" w:eastAsia="zh-CN"/>
        </w:rPr>
        <w:t>投标方提供货物的质量保证期为：</w:t>
      </w:r>
      <w:r>
        <w:rPr>
          <w:rFonts w:hint="default"/>
          <w:u w:val="single"/>
          <w:lang w:val="en-US" w:eastAsia="zh-CN"/>
        </w:rPr>
        <w:t xml:space="preserve"> </w:t>
      </w:r>
      <w:r>
        <w:rPr>
          <w:rFonts w:hint="eastAsia"/>
          <w:u w:val="single"/>
          <w:lang w:val="en-US" w:eastAsia="zh-CN"/>
        </w:rPr>
        <w:t>1</w:t>
      </w:r>
      <w:r>
        <w:rPr>
          <w:rFonts w:hint="default"/>
          <w:u w:val="single"/>
          <w:lang w:val="en-US" w:eastAsia="zh-CN"/>
        </w:rPr>
        <w:t xml:space="preserve"> </w:t>
      </w:r>
      <w:r>
        <w:rPr>
          <w:rFonts w:hint="default"/>
          <w:lang w:val="en-US" w:eastAsia="zh-CN"/>
        </w:rPr>
        <w:t>年，自安装调试完成并经采购方验收合格之日起计算。对达不到技术要求的，根据实际情况，采购方有权要求投标方按以下办法处理：</w:t>
      </w:r>
    </w:p>
    <w:p>
      <w:pPr>
        <w:numPr>
          <w:ilvl w:val="0"/>
          <w:numId w:val="4"/>
        </w:numPr>
        <w:rPr>
          <w:rFonts w:hint="default"/>
          <w:lang w:val="en-US" w:eastAsia="zh-CN"/>
        </w:rPr>
      </w:pPr>
      <w:r>
        <w:rPr>
          <w:rFonts w:hint="default"/>
          <w:lang w:val="en-US" w:eastAsia="zh-CN"/>
        </w:rPr>
        <w:t>更换：由投标方承担所发生的全部费用。</w:t>
      </w:r>
    </w:p>
    <w:p>
      <w:pPr>
        <w:numPr>
          <w:ilvl w:val="0"/>
          <w:numId w:val="4"/>
        </w:numPr>
        <w:rPr>
          <w:rFonts w:hint="default"/>
          <w:lang w:val="en-US" w:eastAsia="zh-CN"/>
        </w:rPr>
      </w:pPr>
      <w:r>
        <w:rPr>
          <w:rFonts w:hint="default"/>
          <w:lang w:val="en-US" w:eastAsia="zh-CN"/>
        </w:rPr>
        <w:t>贬值处理：由双方合议定价。</w:t>
      </w:r>
    </w:p>
    <w:p>
      <w:pPr>
        <w:numPr>
          <w:ilvl w:val="0"/>
          <w:numId w:val="4"/>
        </w:numPr>
        <w:rPr>
          <w:rFonts w:hint="default"/>
          <w:lang w:val="en-US" w:eastAsia="zh-CN"/>
        </w:rPr>
      </w:pPr>
      <w:r>
        <w:rPr>
          <w:rFonts w:hint="default"/>
          <w:lang w:val="en-US" w:eastAsia="zh-CN"/>
        </w:rPr>
        <w:t>退货处理: 投标方应退还采购方支付的款项，同时应承担该货物的直接费用（运输、保险、检验、货款利息及银行手续费等）。</w:t>
      </w:r>
    </w:p>
    <w:p>
      <w:pPr>
        <w:numPr>
          <w:ilvl w:val="0"/>
          <w:numId w:val="3"/>
        </w:numPr>
        <w:rPr>
          <w:rFonts w:hint="default"/>
          <w:lang w:val="en-US" w:eastAsia="zh-CN"/>
        </w:rPr>
      </w:pPr>
      <w:r>
        <w:rPr>
          <w:rFonts w:hint="default"/>
          <w:lang w:val="en-US" w:eastAsia="zh-CN"/>
        </w:rPr>
        <w:t>如在使用过程中发生质量问题，投标方应当在接到采购方通知后在</w:t>
      </w:r>
      <w:r>
        <w:rPr>
          <w:rFonts w:hint="default"/>
          <w:u w:val="single"/>
          <w:lang w:val="en-US" w:eastAsia="zh-CN"/>
        </w:rPr>
        <w:t xml:space="preserve"> 12 </w:t>
      </w:r>
      <w:r>
        <w:rPr>
          <w:rFonts w:hint="default"/>
          <w:lang w:val="en-US" w:eastAsia="zh-CN"/>
        </w:rPr>
        <w:t>小时内到达现场，处理质量问题。对于采购方提出的售后服务请求，投标方在接到通知后</w:t>
      </w:r>
      <w:r>
        <w:rPr>
          <w:rFonts w:hint="default"/>
          <w:u w:val="single"/>
          <w:lang w:val="en-US" w:eastAsia="zh-CN"/>
        </w:rPr>
        <w:t xml:space="preserve"> 12 </w:t>
      </w:r>
      <w:r>
        <w:rPr>
          <w:rFonts w:hint="default"/>
          <w:lang w:val="en-US" w:eastAsia="zh-CN"/>
        </w:rPr>
        <w:t>小时内到场响应，简单问题</w:t>
      </w:r>
      <w:r>
        <w:rPr>
          <w:rFonts w:hint="default"/>
          <w:u w:val="single"/>
          <w:lang w:val="en-US" w:eastAsia="zh-CN"/>
        </w:rPr>
        <w:t xml:space="preserve"> 24 </w:t>
      </w:r>
      <w:r>
        <w:rPr>
          <w:rFonts w:hint="default"/>
          <w:lang w:val="en-US" w:eastAsia="zh-CN"/>
        </w:rPr>
        <w:t>小时解决问题，如遇复杂问题不能即时修复的，应与采购方协商在最短时间内解决。</w:t>
      </w:r>
    </w:p>
    <w:p>
      <w:pPr>
        <w:numPr>
          <w:ilvl w:val="0"/>
          <w:numId w:val="3"/>
        </w:numPr>
        <w:rPr>
          <w:rFonts w:hint="default"/>
          <w:lang w:val="en-US" w:eastAsia="zh-CN"/>
        </w:rPr>
      </w:pPr>
      <w:r>
        <w:rPr>
          <w:rFonts w:hint="default"/>
          <w:lang w:val="en-US" w:eastAsia="zh-CN"/>
        </w:rPr>
        <w:t>在质保期内，投标人应对货物出现的质量及安全问题负责处理解决并承担一切费用。</w:t>
      </w:r>
    </w:p>
    <w:p>
      <w:pPr>
        <w:pStyle w:val="5"/>
        <w:bidi w:val="0"/>
        <w:rPr>
          <w:rFonts w:hint="default"/>
          <w:lang w:val="en-US" w:eastAsia="zh-CN"/>
        </w:rPr>
      </w:pPr>
      <w:r>
        <w:rPr>
          <w:rFonts w:hint="default"/>
          <w:lang w:val="en-US" w:eastAsia="zh-CN"/>
        </w:rPr>
        <w:t>安全保密要求</w:t>
      </w:r>
    </w:p>
    <w:p>
      <w:pPr>
        <w:rPr>
          <w:rFonts w:hint="default"/>
          <w:lang w:val="en-US" w:eastAsia="zh-CN"/>
        </w:rPr>
      </w:pPr>
      <w:r>
        <w:rPr>
          <w:rFonts w:hint="default"/>
          <w:lang w:val="en-US" w:eastAsia="zh-CN"/>
        </w:rPr>
        <w:t>投标方应对在工作过程中所获知的全部业务资料、技术资料和技术秘密采取保密措施。除非法律法规要求或取得采购方事先书面同意，否则不得对外透漏。在本项目服务期结束后，投标方应保证归还采购方提供的所有业务资料、技术资料和文件，并承诺不保留任何副本。投标方应保证参项人员保守其获悉的秘密，并采取必要措施确保投标方工作人员遵守上述有关知识产权、保密等方面的约定。</w:t>
      </w:r>
    </w:p>
    <w:sectPr>
      <w:headerReference r:id="rId5" w:type="default"/>
      <w:footerReference r:id="rId6" w:type="default"/>
      <w:pgSz w:w="11906" w:h="16838"/>
      <w:pgMar w:top="1417" w:right="1417" w:bottom="1417" w:left="1701"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Segoe Print"/>
    <w:panose1 w:val="00000000000000000000"/>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top w:val="none" w:color="auto" w:sz="0" w:space="0"/>
        <w:left w:val="none" w:color="auto" w:sz="0" w:space="0"/>
        <w:bottom w:val="none" w:color="auto" w:sz="0" w:space="1"/>
        <w:right w:val="none" w:color="auto" w:sz="0" w:space="0"/>
        <w:between w:val="none" w:color="auto" w:sz="0" w:space="0"/>
      </w:pBdr>
      <w:rPr>
        <w:rFonts w:hint="eastAsia" w:asciiTheme="minorEastAsia" w:hAnsiTheme="minorEastAsia"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9D7CF8"/>
    <w:multiLevelType w:val="singleLevel"/>
    <w:tmpl w:val="D39D7CF8"/>
    <w:lvl w:ilvl="0" w:tentative="0">
      <w:start w:val="1"/>
      <w:numFmt w:val="decimal"/>
      <w:suff w:val="nothing"/>
      <w:lvlText w:val="%1、"/>
      <w:lvlJc w:val="left"/>
    </w:lvl>
  </w:abstractNum>
  <w:abstractNum w:abstractNumId="1">
    <w:nsid w:val="E0EB8850"/>
    <w:multiLevelType w:val="singleLevel"/>
    <w:tmpl w:val="E0EB8850"/>
    <w:lvl w:ilvl="0" w:tentative="0">
      <w:start w:val="1"/>
      <w:numFmt w:val="decimal"/>
      <w:suff w:val="nothing"/>
      <w:lvlText w:val="（%1）"/>
      <w:lvlJc w:val="left"/>
    </w:lvl>
  </w:abstractNum>
  <w:abstractNum w:abstractNumId="2">
    <w:nsid w:val="F696BEBF"/>
    <w:multiLevelType w:val="multilevel"/>
    <w:tmpl w:val="F696BEBF"/>
    <w:lvl w:ilvl="0" w:tentative="0">
      <w:start w:val="1"/>
      <w:numFmt w:val="chineseCounting"/>
      <w:pStyle w:val="2"/>
      <w:suff w:val="nothing"/>
      <w:lvlText w:val="%1、"/>
      <w:lvlJc w:val="left"/>
      <w:pPr>
        <w:tabs>
          <w:tab w:val="left" w:pos="0"/>
        </w:tabs>
        <w:ind w:left="0" w:leftChars="0" w:firstLine="0" w:firstLineChars="0"/>
      </w:pPr>
      <w:rPr>
        <w:rFonts w:hint="eastAsia"/>
      </w:rPr>
    </w:lvl>
    <w:lvl w:ilvl="1" w:tentative="0">
      <w:start w:val="1"/>
      <w:numFmt w:val="chineseCounting"/>
      <w:pStyle w:val="3"/>
      <w:suff w:val="nothing"/>
      <w:lvlText w:val="（%2）"/>
      <w:lvlJc w:val="left"/>
      <w:pPr>
        <w:tabs>
          <w:tab w:val="left" w:pos="0"/>
        </w:tabs>
        <w:ind w:left="0" w:leftChars="0" w:firstLine="0" w:firstLineChars="0"/>
      </w:pPr>
      <w:rPr>
        <w:rFonts w:hint="eastAsia"/>
      </w:rPr>
    </w:lvl>
    <w:lvl w:ilvl="2" w:tentative="0">
      <w:start w:val="1"/>
      <w:numFmt w:val="decimal"/>
      <w:pStyle w:val="4"/>
      <w:suff w:val="nothing"/>
      <w:lvlText w:val="%3."/>
      <w:lvlJc w:val="left"/>
      <w:pPr>
        <w:tabs>
          <w:tab w:val="left" w:pos="0"/>
        </w:tabs>
        <w:ind w:left="0" w:leftChars="0" w:firstLine="0" w:firstLineChars="0"/>
      </w:pPr>
      <w:rPr>
        <w:rFonts w:hint="eastAsia"/>
      </w:rPr>
    </w:lvl>
    <w:lvl w:ilvl="3" w:tentative="0">
      <w:start w:val="1"/>
      <w:numFmt w:val="decimal"/>
      <w:pStyle w:val="5"/>
      <w:suff w:val="nothing"/>
      <w:lvlText w:val="%3.%4."/>
      <w:lvlJc w:val="left"/>
      <w:pPr>
        <w:tabs>
          <w:tab w:val="left" w:pos="0"/>
        </w:tabs>
        <w:ind w:left="0" w:leftChars="0" w:firstLine="0" w:firstLineChars="0"/>
      </w:pPr>
      <w:rPr>
        <w:rFonts w:hint="eastAsia"/>
      </w:rPr>
    </w:lvl>
    <w:lvl w:ilvl="4" w:tentative="0">
      <w:start w:val="1"/>
      <w:numFmt w:val="decimal"/>
      <w:pStyle w:val="6"/>
      <w:suff w:val="nothing"/>
      <w:lvlText w:val="%3.%4.%5."/>
      <w:lvlJc w:val="left"/>
      <w:pPr>
        <w:tabs>
          <w:tab w:val="left" w:pos="0"/>
        </w:tabs>
        <w:ind w:left="0" w:leftChars="0" w:firstLine="0" w:firstLineChars="0"/>
      </w:pPr>
      <w:rPr>
        <w:rFonts w:hint="eastAsia"/>
      </w:rPr>
    </w:lvl>
    <w:lvl w:ilvl="5" w:tentative="0">
      <w:start w:val="1"/>
      <w:numFmt w:val="decimal"/>
      <w:pStyle w:val="7"/>
      <w:suff w:val="nothing"/>
      <w:lvlText w:val="%3.%4.%5.%6."/>
      <w:lvlJc w:val="left"/>
      <w:pPr>
        <w:tabs>
          <w:tab w:val="left" w:pos="0"/>
        </w:tabs>
        <w:ind w:left="0" w:leftChars="0" w:firstLine="0" w:firstLineChars="0"/>
      </w:pPr>
      <w:rPr>
        <w:rFonts w:hint="eastAsia"/>
      </w:rPr>
    </w:lvl>
    <w:lvl w:ilvl="6" w:tentative="0">
      <w:start w:val="1"/>
      <w:numFmt w:val="decimalEnclosedCircleChinese"/>
      <w:pStyle w:val="8"/>
      <w:suff w:val="nothing"/>
      <w:lvlText w:val="%7"/>
      <w:lvlJc w:val="left"/>
      <w:pPr>
        <w:tabs>
          <w:tab w:val="left" w:pos="420"/>
        </w:tabs>
        <w:ind w:left="0" w:leftChars="0" w:firstLine="0" w:firstLineChars="0"/>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3" w:hanging="1583"/>
      </w:pPr>
      <w:rPr>
        <w:rFonts w:hint="eastAsia"/>
      </w:rPr>
    </w:lvl>
  </w:abstractNum>
  <w:abstractNum w:abstractNumId="3">
    <w:nsid w:val="F9B6FF28"/>
    <w:multiLevelType w:val="singleLevel"/>
    <w:tmpl w:val="F9B6FF28"/>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xZTQ1MmVmY2U1Y2YyNzQ1NDc2ZGU5NGY3M2UyZjgifQ=="/>
  </w:docVars>
  <w:rsids>
    <w:rsidRoot w:val="00172A27"/>
    <w:rsid w:val="005A0FB6"/>
    <w:rsid w:val="00AE4E5E"/>
    <w:rsid w:val="010827C0"/>
    <w:rsid w:val="029C3B08"/>
    <w:rsid w:val="02AE7397"/>
    <w:rsid w:val="030C130F"/>
    <w:rsid w:val="042913CB"/>
    <w:rsid w:val="042A1FBF"/>
    <w:rsid w:val="0437692F"/>
    <w:rsid w:val="045C5688"/>
    <w:rsid w:val="04702B56"/>
    <w:rsid w:val="06986394"/>
    <w:rsid w:val="06BA630B"/>
    <w:rsid w:val="07246EC6"/>
    <w:rsid w:val="073836D3"/>
    <w:rsid w:val="074F1149"/>
    <w:rsid w:val="076F5347"/>
    <w:rsid w:val="07F41CF0"/>
    <w:rsid w:val="08846D56"/>
    <w:rsid w:val="095205D5"/>
    <w:rsid w:val="09554A11"/>
    <w:rsid w:val="0958005D"/>
    <w:rsid w:val="09D36057"/>
    <w:rsid w:val="09EF276F"/>
    <w:rsid w:val="0A2006DF"/>
    <w:rsid w:val="0A310FDA"/>
    <w:rsid w:val="0AA479FE"/>
    <w:rsid w:val="0AD11E75"/>
    <w:rsid w:val="0AFA13CC"/>
    <w:rsid w:val="0C7E7DDA"/>
    <w:rsid w:val="0CCC6D98"/>
    <w:rsid w:val="0CE560AB"/>
    <w:rsid w:val="0CE95B9C"/>
    <w:rsid w:val="0D1F511A"/>
    <w:rsid w:val="0E462B7A"/>
    <w:rsid w:val="0E7109FC"/>
    <w:rsid w:val="0E7476E7"/>
    <w:rsid w:val="0EEC3721"/>
    <w:rsid w:val="0F0340FC"/>
    <w:rsid w:val="0F2C6214"/>
    <w:rsid w:val="0FA45DAA"/>
    <w:rsid w:val="10505F32"/>
    <w:rsid w:val="1054157E"/>
    <w:rsid w:val="1066305F"/>
    <w:rsid w:val="106D0892"/>
    <w:rsid w:val="10AF4A06"/>
    <w:rsid w:val="118F65E6"/>
    <w:rsid w:val="11B81FE1"/>
    <w:rsid w:val="12397A89"/>
    <w:rsid w:val="12BB58E4"/>
    <w:rsid w:val="12EB3CF0"/>
    <w:rsid w:val="131E2317"/>
    <w:rsid w:val="13463279"/>
    <w:rsid w:val="142C1281"/>
    <w:rsid w:val="15063063"/>
    <w:rsid w:val="156C2EC6"/>
    <w:rsid w:val="16297009"/>
    <w:rsid w:val="16511D97"/>
    <w:rsid w:val="165C73DE"/>
    <w:rsid w:val="16A20B69"/>
    <w:rsid w:val="1739327C"/>
    <w:rsid w:val="179901BE"/>
    <w:rsid w:val="17CC40F0"/>
    <w:rsid w:val="18F356AC"/>
    <w:rsid w:val="19080026"/>
    <w:rsid w:val="19650358"/>
    <w:rsid w:val="19F33BB6"/>
    <w:rsid w:val="1A0062D3"/>
    <w:rsid w:val="1A9C249F"/>
    <w:rsid w:val="1ABA0B77"/>
    <w:rsid w:val="1CC96E50"/>
    <w:rsid w:val="1DF779ED"/>
    <w:rsid w:val="1E18008F"/>
    <w:rsid w:val="1E4946EC"/>
    <w:rsid w:val="1E7D4396"/>
    <w:rsid w:val="1E9B0CC0"/>
    <w:rsid w:val="1EA336D1"/>
    <w:rsid w:val="1F212F73"/>
    <w:rsid w:val="1FFB7C68"/>
    <w:rsid w:val="200F7270"/>
    <w:rsid w:val="212154AC"/>
    <w:rsid w:val="219E6AFD"/>
    <w:rsid w:val="2322550C"/>
    <w:rsid w:val="23496F3C"/>
    <w:rsid w:val="24596D0B"/>
    <w:rsid w:val="245C2C9F"/>
    <w:rsid w:val="24A26190"/>
    <w:rsid w:val="26211AAB"/>
    <w:rsid w:val="269A360B"/>
    <w:rsid w:val="27483067"/>
    <w:rsid w:val="275F53B8"/>
    <w:rsid w:val="27653C19"/>
    <w:rsid w:val="27CA55C7"/>
    <w:rsid w:val="284D1104"/>
    <w:rsid w:val="28FE60D3"/>
    <w:rsid w:val="2A32072A"/>
    <w:rsid w:val="2ABB0720"/>
    <w:rsid w:val="2B2A1401"/>
    <w:rsid w:val="2B604E23"/>
    <w:rsid w:val="2C0734F1"/>
    <w:rsid w:val="2C974875"/>
    <w:rsid w:val="2D241E80"/>
    <w:rsid w:val="2E7D500D"/>
    <w:rsid w:val="2ECD6C74"/>
    <w:rsid w:val="2F61116A"/>
    <w:rsid w:val="300A7A53"/>
    <w:rsid w:val="30332B06"/>
    <w:rsid w:val="30406FD1"/>
    <w:rsid w:val="30890978"/>
    <w:rsid w:val="31880C30"/>
    <w:rsid w:val="31BE4652"/>
    <w:rsid w:val="32AA2E28"/>
    <w:rsid w:val="32CD6857"/>
    <w:rsid w:val="335F00B6"/>
    <w:rsid w:val="33805B4F"/>
    <w:rsid w:val="33E168F0"/>
    <w:rsid w:val="343A370D"/>
    <w:rsid w:val="351331F9"/>
    <w:rsid w:val="35356EF4"/>
    <w:rsid w:val="3578720D"/>
    <w:rsid w:val="358B6F41"/>
    <w:rsid w:val="35BC17F0"/>
    <w:rsid w:val="35EF74CF"/>
    <w:rsid w:val="364A2958"/>
    <w:rsid w:val="368B6D4B"/>
    <w:rsid w:val="3720190B"/>
    <w:rsid w:val="38B541A7"/>
    <w:rsid w:val="390E4110"/>
    <w:rsid w:val="3A10210A"/>
    <w:rsid w:val="3A184B1B"/>
    <w:rsid w:val="3A6A7A6C"/>
    <w:rsid w:val="3ADB2718"/>
    <w:rsid w:val="3B1F0857"/>
    <w:rsid w:val="3B4C2CCE"/>
    <w:rsid w:val="3BF13876"/>
    <w:rsid w:val="3C1A101E"/>
    <w:rsid w:val="3C2B6D87"/>
    <w:rsid w:val="3C5F6A31"/>
    <w:rsid w:val="3C7324DC"/>
    <w:rsid w:val="3CEA279F"/>
    <w:rsid w:val="3D3B124C"/>
    <w:rsid w:val="3D9D603D"/>
    <w:rsid w:val="3F4A39C9"/>
    <w:rsid w:val="3F744EE9"/>
    <w:rsid w:val="41FD11C6"/>
    <w:rsid w:val="43476B9D"/>
    <w:rsid w:val="43813731"/>
    <w:rsid w:val="44435794"/>
    <w:rsid w:val="450D387C"/>
    <w:rsid w:val="472471F5"/>
    <w:rsid w:val="475F022D"/>
    <w:rsid w:val="47617B01"/>
    <w:rsid w:val="47C167F2"/>
    <w:rsid w:val="481E1F7D"/>
    <w:rsid w:val="49490E9D"/>
    <w:rsid w:val="49AB1508"/>
    <w:rsid w:val="4A0330F2"/>
    <w:rsid w:val="4A3D7204"/>
    <w:rsid w:val="4CD9638C"/>
    <w:rsid w:val="4D64659D"/>
    <w:rsid w:val="4E220FEC"/>
    <w:rsid w:val="4E437F61"/>
    <w:rsid w:val="4F5B752C"/>
    <w:rsid w:val="4FB54E8E"/>
    <w:rsid w:val="4FDF1F0B"/>
    <w:rsid w:val="501A2F43"/>
    <w:rsid w:val="511931FB"/>
    <w:rsid w:val="516A1CA8"/>
    <w:rsid w:val="517D5E7F"/>
    <w:rsid w:val="51BB084A"/>
    <w:rsid w:val="520B5239"/>
    <w:rsid w:val="52911BE2"/>
    <w:rsid w:val="53D61877"/>
    <w:rsid w:val="53F66CDC"/>
    <w:rsid w:val="543A3BB4"/>
    <w:rsid w:val="549332C4"/>
    <w:rsid w:val="5495703C"/>
    <w:rsid w:val="555D2250"/>
    <w:rsid w:val="55621614"/>
    <w:rsid w:val="55810352"/>
    <w:rsid w:val="560501F2"/>
    <w:rsid w:val="56B063AF"/>
    <w:rsid w:val="56BC4D54"/>
    <w:rsid w:val="57603931"/>
    <w:rsid w:val="58266D31"/>
    <w:rsid w:val="59006E1E"/>
    <w:rsid w:val="597E01B2"/>
    <w:rsid w:val="59E92304"/>
    <w:rsid w:val="5A9D6C4B"/>
    <w:rsid w:val="5AD20FEA"/>
    <w:rsid w:val="5B5E416C"/>
    <w:rsid w:val="5B743E4F"/>
    <w:rsid w:val="5BCE7A03"/>
    <w:rsid w:val="5BE72873"/>
    <w:rsid w:val="5C34538D"/>
    <w:rsid w:val="5C8A31FF"/>
    <w:rsid w:val="5C91458D"/>
    <w:rsid w:val="5C95407D"/>
    <w:rsid w:val="5F4B136B"/>
    <w:rsid w:val="5FEF1CF6"/>
    <w:rsid w:val="60AA0313"/>
    <w:rsid w:val="60EE6452"/>
    <w:rsid w:val="610C4B2A"/>
    <w:rsid w:val="61565DA5"/>
    <w:rsid w:val="61CB6793"/>
    <w:rsid w:val="61E77030"/>
    <w:rsid w:val="622B0FE0"/>
    <w:rsid w:val="622D4D58"/>
    <w:rsid w:val="62C70D09"/>
    <w:rsid w:val="62EA49F7"/>
    <w:rsid w:val="63071A4D"/>
    <w:rsid w:val="63100901"/>
    <w:rsid w:val="63827325"/>
    <w:rsid w:val="64191A38"/>
    <w:rsid w:val="65393A14"/>
    <w:rsid w:val="65515201"/>
    <w:rsid w:val="65F242EE"/>
    <w:rsid w:val="669C24AC"/>
    <w:rsid w:val="672F5951"/>
    <w:rsid w:val="676D5D3F"/>
    <w:rsid w:val="676F7BC1"/>
    <w:rsid w:val="677E1BB2"/>
    <w:rsid w:val="677F6056"/>
    <w:rsid w:val="67B27A8D"/>
    <w:rsid w:val="67C779FD"/>
    <w:rsid w:val="68A33FC6"/>
    <w:rsid w:val="68D75A1D"/>
    <w:rsid w:val="68EF2D67"/>
    <w:rsid w:val="68FE744E"/>
    <w:rsid w:val="690A5DF3"/>
    <w:rsid w:val="691602F4"/>
    <w:rsid w:val="695169A2"/>
    <w:rsid w:val="69831701"/>
    <w:rsid w:val="698E2C59"/>
    <w:rsid w:val="6B60619E"/>
    <w:rsid w:val="6C32638B"/>
    <w:rsid w:val="6D2356D5"/>
    <w:rsid w:val="6D605FE2"/>
    <w:rsid w:val="6E9817AB"/>
    <w:rsid w:val="6F125A01"/>
    <w:rsid w:val="6F4D4C8B"/>
    <w:rsid w:val="6FD35191"/>
    <w:rsid w:val="705636CC"/>
    <w:rsid w:val="70F27898"/>
    <w:rsid w:val="711E068D"/>
    <w:rsid w:val="7141612A"/>
    <w:rsid w:val="722577FA"/>
    <w:rsid w:val="72966949"/>
    <w:rsid w:val="72A46970"/>
    <w:rsid w:val="72D37256"/>
    <w:rsid w:val="734B3B96"/>
    <w:rsid w:val="739E1612"/>
    <w:rsid w:val="73B21561"/>
    <w:rsid w:val="73D2750D"/>
    <w:rsid w:val="74324450"/>
    <w:rsid w:val="7501454E"/>
    <w:rsid w:val="75151DA7"/>
    <w:rsid w:val="75581C94"/>
    <w:rsid w:val="75792336"/>
    <w:rsid w:val="75B4336E"/>
    <w:rsid w:val="767B7BAE"/>
    <w:rsid w:val="768C42EB"/>
    <w:rsid w:val="77702CAE"/>
    <w:rsid w:val="7771703D"/>
    <w:rsid w:val="778925D9"/>
    <w:rsid w:val="793706B1"/>
    <w:rsid w:val="794C7D62"/>
    <w:rsid w:val="796E1A86"/>
    <w:rsid w:val="7AA17C39"/>
    <w:rsid w:val="7AC73B44"/>
    <w:rsid w:val="7B474C85"/>
    <w:rsid w:val="7C3E7E36"/>
    <w:rsid w:val="7C490589"/>
    <w:rsid w:val="7C633896"/>
    <w:rsid w:val="7D417253"/>
    <w:rsid w:val="7DB676D2"/>
    <w:rsid w:val="7E3A462D"/>
    <w:rsid w:val="7E7538B7"/>
    <w:rsid w:val="7ECB34D7"/>
    <w:rsid w:val="7F2A28F3"/>
    <w:rsid w:val="7F2C666B"/>
    <w:rsid w:val="7F511C2E"/>
    <w:rsid w:val="7F6C4CBA"/>
    <w:rsid w:val="7FA206DC"/>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napToGrid w:val="0"/>
      <w:spacing w:line="360" w:lineRule="auto"/>
      <w:ind w:firstLine="602"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djustRightInd w:val="0"/>
      <w:snapToGrid w:val="0"/>
      <w:spacing w:beforeLines="0" w:beforeAutospacing="0" w:afterLines="0" w:afterAutospacing="0" w:line="360" w:lineRule="auto"/>
      <w:ind w:firstLine="0" w:firstLineChars="0"/>
      <w:jc w:val="center"/>
      <w:outlineLvl w:val="0"/>
    </w:pPr>
    <w:rPr>
      <w:b/>
      <w:kern w:val="44"/>
      <w:sz w:val="32"/>
    </w:rPr>
  </w:style>
  <w:style w:type="paragraph" w:styleId="3">
    <w:name w:val="heading 2"/>
    <w:basedOn w:val="1"/>
    <w:next w:val="1"/>
    <w:autoRedefine/>
    <w:unhideWhenUsed/>
    <w:qFormat/>
    <w:uiPriority w:val="0"/>
    <w:pPr>
      <w:keepNext/>
      <w:keepLines/>
      <w:numPr>
        <w:ilvl w:val="1"/>
        <w:numId w:val="1"/>
      </w:numPr>
      <w:tabs>
        <w:tab w:val="left" w:pos="420"/>
        <w:tab w:val="clear" w:pos="0"/>
      </w:tabs>
      <w:spacing w:beforeLines="0" w:beforeAutospacing="0" w:afterLines="0" w:afterAutospacing="0" w:line="360" w:lineRule="auto"/>
      <w:ind w:left="0" w:firstLine="0" w:firstLineChars="0"/>
      <w:jc w:val="center"/>
      <w:outlineLvl w:val="1"/>
    </w:pPr>
    <w:rPr>
      <w:rFonts w:ascii="Arial" w:hAnsi="Arial"/>
      <w:b/>
      <w:sz w:val="30"/>
    </w:rPr>
  </w:style>
  <w:style w:type="paragraph" w:styleId="4">
    <w:name w:val="heading 3"/>
    <w:basedOn w:val="1"/>
    <w:next w:val="1"/>
    <w:autoRedefine/>
    <w:qFormat/>
    <w:uiPriority w:val="0"/>
    <w:pPr>
      <w:keepNext/>
      <w:keepLines/>
      <w:numPr>
        <w:ilvl w:val="2"/>
        <w:numId w:val="1"/>
      </w:numPr>
      <w:spacing w:line="360" w:lineRule="auto"/>
      <w:ind w:left="0" w:firstLine="0" w:firstLineChars="0"/>
      <w:outlineLvl w:val="2"/>
    </w:pPr>
    <w:rPr>
      <w:b/>
      <w:bCs/>
      <w:sz w:val="28"/>
      <w:szCs w:val="28"/>
    </w:rPr>
  </w:style>
  <w:style w:type="paragraph" w:styleId="5">
    <w:name w:val="heading 4"/>
    <w:basedOn w:val="1"/>
    <w:next w:val="1"/>
    <w:autoRedefine/>
    <w:unhideWhenUsed/>
    <w:qFormat/>
    <w:uiPriority w:val="0"/>
    <w:pPr>
      <w:keepNext/>
      <w:keepLines/>
      <w:numPr>
        <w:ilvl w:val="3"/>
        <w:numId w:val="1"/>
      </w:numPr>
      <w:spacing w:beforeLines="0" w:beforeAutospacing="0" w:afterLines="0" w:afterAutospacing="0" w:line="360" w:lineRule="auto"/>
      <w:ind w:left="0" w:firstLine="0" w:firstLineChars="0"/>
      <w:jc w:val="left"/>
      <w:outlineLvl w:val="3"/>
    </w:pPr>
    <w:rPr>
      <w:rFonts w:ascii="Times New Roman" w:hAnsi="Times New Roman"/>
      <w:b/>
    </w:rPr>
  </w:style>
  <w:style w:type="paragraph" w:styleId="6">
    <w:name w:val="heading 5"/>
    <w:basedOn w:val="1"/>
    <w:next w:val="1"/>
    <w:autoRedefine/>
    <w:unhideWhenUsed/>
    <w:qFormat/>
    <w:uiPriority w:val="0"/>
    <w:pPr>
      <w:keepNext/>
      <w:keepLines/>
      <w:numPr>
        <w:ilvl w:val="4"/>
        <w:numId w:val="1"/>
      </w:numPr>
      <w:spacing w:beforeLines="0" w:beforeAutospacing="0" w:afterLines="0" w:afterAutospacing="0" w:line="360" w:lineRule="auto"/>
      <w:ind w:left="0" w:firstLine="0" w:firstLineChars="0"/>
      <w:jc w:val="left"/>
      <w:outlineLvl w:val="4"/>
    </w:pPr>
    <w:rPr>
      <w:b/>
    </w:rPr>
  </w:style>
  <w:style w:type="paragraph" w:styleId="7">
    <w:name w:val="heading 6"/>
    <w:basedOn w:val="1"/>
    <w:next w:val="1"/>
    <w:autoRedefine/>
    <w:unhideWhenUsed/>
    <w:qFormat/>
    <w:uiPriority w:val="0"/>
    <w:pPr>
      <w:keepNext/>
      <w:keepLines/>
      <w:numPr>
        <w:ilvl w:val="5"/>
        <w:numId w:val="1"/>
      </w:numPr>
      <w:spacing w:beforeLines="0" w:beforeAutospacing="0" w:afterLines="0" w:afterAutospacing="0" w:line="360" w:lineRule="auto"/>
      <w:ind w:left="0" w:firstLine="0" w:firstLineChars="0"/>
      <w:jc w:val="left"/>
      <w:outlineLvl w:val="5"/>
    </w:pPr>
    <w:rPr>
      <w:rFonts w:ascii="Times New Roman" w:hAnsi="Times New Roman"/>
      <w:b/>
    </w:rPr>
  </w:style>
  <w:style w:type="paragraph" w:styleId="8">
    <w:name w:val="heading 7"/>
    <w:basedOn w:val="1"/>
    <w:next w:val="1"/>
    <w:link w:val="36"/>
    <w:autoRedefine/>
    <w:unhideWhenUsed/>
    <w:qFormat/>
    <w:uiPriority w:val="0"/>
    <w:pPr>
      <w:keepNext/>
      <w:keepLines/>
      <w:numPr>
        <w:ilvl w:val="6"/>
        <w:numId w:val="1"/>
      </w:numPr>
      <w:spacing w:beforeLines="0" w:beforeAutospacing="0" w:afterLines="0" w:afterAutospacing="0" w:line="360" w:lineRule="auto"/>
      <w:ind w:left="0" w:firstLine="0" w:firstLineChars="0"/>
      <w:jc w:val="left"/>
      <w:outlineLvl w:val="6"/>
    </w:pPr>
    <w:rPr>
      <w:b/>
    </w:rPr>
  </w:style>
  <w:style w:type="paragraph" w:styleId="9">
    <w:name w:val="heading 8"/>
    <w:basedOn w:val="1"/>
    <w:next w:val="1"/>
    <w:autoRedefine/>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7">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11">
    <w:name w:val="table of authorities"/>
    <w:basedOn w:val="1"/>
    <w:next w:val="1"/>
    <w:autoRedefine/>
    <w:qFormat/>
    <w:uiPriority w:val="99"/>
    <w:pPr>
      <w:ind w:left="420" w:leftChars="200"/>
    </w:pPr>
  </w:style>
  <w:style w:type="paragraph" w:styleId="12">
    <w:name w:val="Normal Indent"/>
    <w:basedOn w:val="1"/>
    <w:autoRedefine/>
    <w:qFormat/>
    <w:uiPriority w:val="0"/>
    <w:pPr>
      <w:ind w:firstLine="420" w:firstLineChars="200"/>
    </w:pPr>
  </w:style>
  <w:style w:type="paragraph" w:styleId="13">
    <w:name w:val="annotation text"/>
    <w:basedOn w:val="1"/>
    <w:autoRedefine/>
    <w:qFormat/>
    <w:uiPriority w:val="99"/>
    <w:pPr>
      <w:jc w:val="left"/>
    </w:pPr>
    <w:rPr>
      <w:szCs w:val="20"/>
    </w:rPr>
  </w:style>
  <w:style w:type="paragraph" w:styleId="14">
    <w:name w:val="Body Text"/>
    <w:basedOn w:val="1"/>
    <w:link w:val="39"/>
    <w:autoRedefine/>
    <w:qFormat/>
    <w:uiPriority w:val="99"/>
    <w:pPr>
      <w:spacing w:after="120"/>
    </w:pPr>
  </w:style>
  <w:style w:type="paragraph" w:styleId="15">
    <w:name w:val="Body Text Indent"/>
    <w:basedOn w:val="1"/>
    <w:autoRedefine/>
    <w:qFormat/>
    <w:uiPriority w:val="99"/>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6">
    <w:name w:val="toc 3"/>
    <w:basedOn w:val="1"/>
    <w:next w:val="1"/>
    <w:autoRedefine/>
    <w:qFormat/>
    <w:uiPriority w:val="0"/>
    <w:pPr>
      <w:spacing w:line="288" w:lineRule="auto"/>
      <w:ind w:left="0" w:leftChars="0"/>
    </w:pPr>
    <w:rPr>
      <w:sz w:val="21"/>
    </w:rPr>
  </w:style>
  <w:style w:type="paragraph" w:styleId="17">
    <w:name w:val="Body Text Indent 2"/>
    <w:basedOn w:val="1"/>
    <w:autoRedefine/>
    <w:qFormat/>
    <w:uiPriority w:val="0"/>
    <w:pPr>
      <w:spacing w:after="120" w:line="480" w:lineRule="auto"/>
      <w:ind w:left="420" w:leftChars="200"/>
    </w:pPr>
  </w:style>
  <w:style w:type="paragraph" w:styleId="18">
    <w:name w:val="footer"/>
    <w:basedOn w:val="1"/>
    <w:autoRedefine/>
    <w:qFormat/>
    <w:uiPriority w:val="99"/>
    <w:pPr>
      <w:tabs>
        <w:tab w:val="center" w:pos="4153"/>
        <w:tab w:val="right" w:pos="8306"/>
      </w:tabs>
      <w:snapToGrid w:val="0"/>
      <w:jc w:val="left"/>
    </w:pPr>
    <w:rPr>
      <w:sz w:val="18"/>
      <w:szCs w:val="18"/>
    </w:rPr>
  </w:style>
  <w:style w:type="paragraph" w:styleId="19">
    <w:name w:val="header"/>
    <w:basedOn w:val="1"/>
    <w:autoRedefine/>
    <w:qFormat/>
    <w:uiPriority w:val="99"/>
    <w:pPr>
      <w:pBdr>
        <w:bottom w:val="single" w:color="auto" w:sz="6" w:space="1"/>
      </w:pBdr>
      <w:tabs>
        <w:tab w:val="center" w:pos="4153"/>
        <w:tab w:val="right" w:pos="8306"/>
      </w:tabs>
      <w:snapToGrid w:val="0"/>
    </w:pPr>
    <w:rPr>
      <w:rFonts w:ascii="仿宋_GB2312" w:hAnsi="宋体" w:eastAsia="仿宋_GB2312"/>
      <w:color w:val="000000"/>
      <w:szCs w:val="21"/>
    </w:rPr>
  </w:style>
  <w:style w:type="paragraph" w:styleId="20">
    <w:name w:val="toc 1"/>
    <w:basedOn w:val="1"/>
    <w:next w:val="1"/>
    <w:autoRedefine/>
    <w:qFormat/>
    <w:uiPriority w:val="0"/>
    <w:pPr>
      <w:spacing w:line="288" w:lineRule="auto"/>
      <w:ind w:firstLine="0" w:firstLineChars="0"/>
    </w:pPr>
    <w:rPr>
      <w:sz w:val="21"/>
    </w:rPr>
  </w:style>
  <w:style w:type="paragraph" w:styleId="21">
    <w:name w:val="toc 2"/>
    <w:basedOn w:val="1"/>
    <w:next w:val="1"/>
    <w:autoRedefine/>
    <w:qFormat/>
    <w:uiPriority w:val="0"/>
    <w:pPr>
      <w:spacing w:line="288" w:lineRule="auto"/>
      <w:ind w:left="0" w:leftChars="0" w:firstLine="240" w:firstLineChars="100"/>
    </w:pPr>
    <w:rPr>
      <w:sz w:val="21"/>
    </w:rPr>
  </w:style>
  <w:style w:type="paragraph" w:styleId="22">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23">
    <w:name w:val="Body Text First Indent"/>
    <w:basedOn w:val="14"/>
    <w:autoRedefine/>
    <w:qFormat/>
    <w:uiPriority w:val="0"/>
    <w:pPr>
      <w:ind w:firstLine="420" w:firstLineChars="100"/>
    </w:pPr>
  </w:style>
  <w:style w:type="paragraph" w:styleId="24">
    <w:name w:val="Body Text First Indent 2"/>
    <w:basedOn w:val="15"/>
    <w:autoRedefine/>
    <w:unhideWhenUsed/>
    <w:qFormat/>
    <w:uiPriority w:val="99"/>
    <w:pPr>
      <w:ind w:firstLine="420" w:firstLineChars="200"/>
    </w:pPr>
  </w:style>
  <w:style w:type="table" w:styleId="26">
    <w:name w:val="Table Grid"/>
    <w:basedOn w:val="25"/>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
    <w:name w:val="首行缩进"/>
    <w:basedOn w:val="1"/>
    <w:autoRedefine/>
    <w:qFormat/>
    <w:uiPriority w:val="99"/>
    <w:pPr>
      <w:spacing w:line="360" w:lineRule="auto"/>
      <w:ind w:firstLine="480" w:firstLineChars="200"/>
    </w:pPr>
    <w:rPr>
      <w:rFonts w:ascii="Calibri" w:hAnsi="Calibri"/>
      <w:sz w:val="24"/>
      <w:szCs w:val="22"/>
      <w:lang w:val="zh-CN"/>
    </w:rPr>
  </w:style>
  <w:style w:type="paragraph" w:styleId="29">
    <w:name w:val="List Paragraph"/>
    <w:basedOn w:val="1"/>
    <w:autoRedefine/>
    <w:qFormat/>
    <w:uiPriority w:val="0"/>
    <w:pPr>
      <w:ind w:firstLine="420" w:firstLineChars="200"/>
    </w:pPr>
  </w:style>
  <w:style w:type="paragraph" w:customStyle="1" w:styleId="30">
    <w:name w:val="1_0"/>
    <w:basedOn w:val="1"/>
    <w:next w:val="1"/>
    <w:autoRedefine/>
    <w:qFormat/>
    <w:uiPriority w:val="0"/>
    <w:rPr>
      <w:rFonts w:ascii="宋体" w:hAnsi="Courier New"/>
      <w:szCs w:val="20"/>
    </w:rPr>
  </w:style>
  <w:style w:type="character" w:customStyle="1" w:styleId="31">
    <w:name w:val="正文文本 字符"/>
    <w:link w:val="14"/>
    <w:autoRedefine/>
    <w:qFormat/>
    <w:uiPriority w:val="99"/>
  </w:style>
  <w:style w:type="paragraph" w:customStyle="1" w:styleId="32">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列出段落1"/>
    <w:basedOn w:val="1"/>
    <w:autoRedefine/>
    <w:qFormat/>
    <w:uiPriority w:val="0"/>
    <w:pPr>
      <w:ind w:firstLine="420" w:firstLineChars="200"/>
    </w:pPr>
  </w:style>
  <w:style w:type="character" w:customStyle="1" w:styleId="34">
    <w:name w:val="font11"/>
    <w:basedOn w:val="27"/>
    <w:autoRedefine/>
    <w:qFormat/>
    <w:uiPriority w:val="0"/>
    <w:rPr>
      <w:rFonts w:hint="eastAsia" w:ascii="宋体" w:hAnsi="宋体" w:eastAsia="宋体" w:cs="宋体"/>
      <w:color w:val="000000"/>
      <w:sz w:val="20"/>
      <w:szCs w:val="20"/>
      <w:u w:val="none"/>
    </w:rPr>
  </w:style>
  <w:style w:type="paragraph" w:customStyle="1" w:styleId="35">
    <w:name w:val="方案正文"/>
    <w:basedOn w:val="1"/>
    <w:autoRedefine/>
    <w:qFormat/>
    <w:uiPriority w:val="0"/>
    <w:pPr>
      <w:spacing w:line="360" w:lineRule="auto"/>
      <w:ind w:firstLine="480" w:firstLineChars="200"/>
    </w:pPr>
    <w:rPr>
      <w:rFonts w:ascii="宋体" w:hAnsi="宋体"/>
      <w:sz w:val="24"/>
      <w:szCs w:val="28"/>
    </w:rPr>
  </w:style>
  <w:style w:type="character" w:customStyle="1" w:styleId="36">
    <w:name w:val="标题 7 Char"/>
    <w:link w:val="8"/>
    <w:autoRedefine/>
    <w:qFormat/>
    <w:uiPriority w:val="0"/>
    <w:rPr>
      <w:b/>
    </w:rPr>
  </w:style>
  <w:style w:type="character" w:customStyle="1" w:styleId="37">
    <w:name w:val="font51"/>
    <w:basedOn w:val="27"/>
    <w:autoRedefine/>
    <w:qFormat/>
    <w:uiPriority w:val="0"/>
    <w:rPr>
      <w:rFonts w:hint="eastAsia" w:ascii="宋体" w:hAnsi="宋体" w:eastAsia="宋体" w:cs="宋体"/>
      <w:color w:val="000000"/>
      <w:sz w:val="20"/>
      <w:szCs w:val="20"/>
      <w:u w:val="none"/>
    </w:rPr>
  </w:style>
  <w:style w:type="character" w:customStyle="1" w:styleId="38">
    <w:name w:val="font61"/>
    <w:basedOn w:val="27"/>
    <w:autoRedefine/>
    <w:qFormat/>
    <w:uiPriority w:val="0"/>
    <w:rPr>
      <w:rFonts w:hint="eastAsia" w:ascii="宋体" w:hAnsi="宋体" w:eastAsia="宋体" w:cs="宋体"/>
      <w:color w:val="FF0000"/>
      <w:sz w:val="20"/>
      <w:szCs w:val="20"/>
      <w:u w:val="none"/>
    </w:rPr>
  </w:style>
  <w:style w:type="character" w:customStyle="1" w:styleId="39">
    <w:name w:val="正文文本 Char"/>
    <w:link w:val="14"/>
    <w:autoRedefine/>
    <w:qFormat/>
    <w:uiPriority w:val="0"/>
    <w:rPr>
      <w:kern w:val="2"/>
      <w:sz w:val="21"/>
      <w:szCs w:val="24"/>
    </w:rPr>
  </w:style>
  <w:style w:type="paragraph" w:customStyle="1" w:styleId="40">
    <w:name w:val="lp1"/>
    <w:basedOn w:val="1"/>
    <w:next w:val="29"/>
    <w:autoRedefine/>
    <w:qFormat/>
    <w:uiPriority w:val="34"/>
    <w:pPr>
      <w:ind w:firstLine="420" w:firstLineChars="200"/>
    </w:pPr>
  </w:style>
  <w:style w:type="paragraph" w:customStyle="1" w:styleId="41">
    <w:name w:val="11正文"/>
    <w:basedOn w:val="1"/>
    <w:autoRedefine/>
    <w:qFormat/>
    <w:uiPriority w:val="0"/>
    <w:pPr>
      <w:widowControl/>
      <w:ind w:firstLine="480"/>
      <w:textAlignment w:val="baseline"/>
    </w:pPr>
    <w:rPr>
      <w:rFonts w:ascii="宋体" w:hAnsi="宋体" w:cs="宋体"/>
      <w:color w:val="auto"/>
      <w:kern w:val="0"/>
      <w:szCs w:val="24"/>
      <w:lang w:val="zh-CN"/>
    </w:rPr>
  </w:style>
  <w:style w:type="paragraph" w:customStyle="1" w:styleId="42">
    <w:name w:val="表内文字居中"/>
    <w:autoRedefine/>
    <w:qFormat/>
    <w:uiPriority w:val="0"/>
    <w:rPr>
      <w:rFonts w:ascii="宋体" w:hAnsi="宋体" w:eastAsia="宋体" w:cs="Times New Roman"/>
      <w:kern w:val="2"/>
      <w:sz w:val="21"/>
      <w:szCs w:val="24"/>
      <w:lang w:val="en-US" w:eastAsia="zh-CN" w:bidi="ar-SA"/>
    </w:rPr>
  </w:style>
  <w:style w:type="table" w:customStyle="1" w:styleId="43">
    <w:name w:val="表格样式1"/>
    <w:basedOn w:val="25"/>
    <w:autoRedefine/>
    <w:qFormat/>
    <w:uiPriority w:val="0"/>
    <w:tblPr>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rPr>
      <w:jc w:val="center"/>
    </w:trPr>
    <w:tblStylePr w:type="firstRow">
      <w:pPr>
        <w:jc w:val="center"/>
      </w:pPr>
      <w:rPr>
        <w:b/>
        <w:color w:val="FFFFFF"/>
      </w:rPr>
      <w:tcPr>
        <w:tcBorders>
          <w:top w:val="double" w:color="auto" w:sz="4" w:space="0"/>
          <w:left w:val="double" w:color="auto" w:sz="4" w:space="0"/>
          <w:bottom w:val="double" w:color="auto" w:sz="4" w:space="0"/>
          <w:right w:val="double" w:color="auto" w:sz="4" w:space="0"/>
          <w:insideH w:val="double" w:sz="4" w:space="0"/>
          <w:insideV w:val="double" w:sz="4" w:space="0"/>
        </w:tcBorders>
        <w:shd w:val="clear" w:color="auto" w:fill="4F81BD"/>
      </w:tcPr>
    </w:tblStylePr>
    <w:tblStylePr w:type="firstCol">
      <w:pPr>
        <w:jc w:val="both"/>
      </w:pPr>
      <w:rPr>
        <w:rFonts w:eastAsia="宋体"/>
        <w:sz w:val="21"/>
      </w:rPr>
    </w:tblStylePr>
  </w:style>
  <w:style w:type="table" w:customStyle="1" w:styleId="44">
    <w:name w:val="表格样式2"/>
    <w:basedOn w:val="25"/>
    <w:qFormat/>
    <w:uiPriority w:val="0"/>
    <w:tblPr>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rPr>
      <w:jc w:val="center"/>
    </w:trPr>
    <w:tblStylePr w:type="firstRow">
      <w:pPr>
        <w:jc w:val="center"/>
      </w:pPr>
      <w:rPr>
        <w:b/>
        <w:color w:val="FFFFFF"/>
      </w:rPr>
      <w:tcPr>
        <w:tcBorders>
          <w:top w:val="double" w:color="auto" w:sz="4" w:space="0"/>
          <w:left w:val="double" w:color="auto" w:sz="4" w:space="0"/>
          <w:bottom w:val="double" w:color="auto" w:sz="4" w:space="0"/>
          <w:right w:val="double" w:color="auto" w:sz="4" w:space="0"/>
          <w:insideH w:val="double" w:sz="4" w:space="0"/>
          <w:insideV w:val="double" w:sz="4" w:space="0"/>
        </w:tcBorders>
        <w:shd w:val="clear" w:color="auto" w:fill="4F81BD"/>
      </w:tcPr>
    </w:tblStylePr>
    <w:tblStylePr w:type="firstCol">
      <w:pPr>
        <w:jc w:val="both"/>
      </w:pPr>
      <w:rPr>
        <w:rFonts w:eastAsia="宋体"/>
        <w:sz w:val="21"/>
      </w:rPr>
    </w:tblStylePr>
  </w:style>
  <w:style w:type="table" w:customStyle="1" w:styleId="45">
    <w:name w:val="表格样式3"/>
    <w:basedOn w:val="25"/>
    <w:qFormat/>
    <w:uiPriority w:val="0"/>
    <w:tblPr>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rPr>
      <w:jc w:val="center"/>
    </w:trPr>
    <w:tblStylePr w:type="firstRow">
      <w:pPr>
        <w:jc w:val="center"/>
      </w:pPr>
      <w:rPr>
        <w:b/>
        <w:color w:val="FFFFFF"/>
      </w:rPr>
      <w:tcPr>
        <w:tcBorders>
          <w:top w:val="double" w:color="auto" w:sz="4" w:space="0"/>
          <w:left w:val="double" w:color="auto" w:sz="4" w:space="0"/>
          <w:bottom w:val="double" w:color="auto" w:sz="4" w:space="0"/>
          <w:right w:val="double" w:color="auto" w:sz="4" w:space="0"/>
          <w:insideH w:val="double" w:sz="4" w:space="0"/>
          <w:insideV w:val="double" w:sz="4" w:space="0"/>
        </w:tcBorders>
        <w:shd w:val="clear" w:color="auto" w:fill="4F81BD"/>
      </w:tcPr>
    </w:tblStylePr>
    <w:tblStylePr w:type="firstCol">
      <w:pPr>
        <w:jc w:val="both"/>
      </w:pPr>
      <w:rPr>
        <w:rFonts w:eastAsia="宋体"/>
        <w:sz w:val="21"/>
      </w:rPr>
    </w:tblStylePr>
  </w:style>
  <w:style w:type="table" w:customStyle="1" w:styleId="46">
    <w:name w:val="表格样式4"/>
    <w:basedOn w:val="25"/>
    <w:autoRedefine/>
    <w:qFormat/>
    <w:uiPriority w:val="0"/>
    <w:tblPr>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rPr>
      <w:jc w:val="center"/>
    </w:trPr>
    <w:tblStylePr w:type="firstRow">
      <w:pPr>
        <w:jc w:val="center"/>
      </w:pPr>
      <w:rPr>
        <w:b/>
        <w:color w:val="FFFFFF"/>
      </w:rPr>
      <w:tcPr>
        <w:tcBorders>
          <w:top w:val="double" w:color="auto" w:sz="4" w:space="0"/>
          <w:left w:val="double" w:color="auto" w:sz="4" w:space="0"/>
          <w:bottom w:val="double" w:color="auto" w:sz="4" w:space="0"/>
          <w:right w:val="double" w:color="auto" w:sz="4" w:space="0"/>
          <w:insideH w:val="double" w:sz="4" w:space="0"/>
          <w:insideV w:val="double" w:sz="4" w:space="0"/>
        </w:tcBorders>
        <w:shd w:val="clear" w:color="auto" w:fill="4F81BD"/>
      </w:tcPr>
    </w:tblStylePr>
    <w:tblStylePr w:type="firstCol">
      <w:pPr>
        <w:jc w:val="both"/>
      </w:pPr>
      <w:rPr>
        <w:rFonts w:eastAsia="宋体"/>
        <w:sz w:val="21"/>
      </w:rPr>
    </w:tblStylePr>
  </w:style>
  <w:style w:type="paragraph" w:customStyle="1" w:styleId="47">
    <w:name w:val="正文样式"/>
    <w:basedOn w:val="1"/>
    <w:autoRedefine/>
    <w:qFormat/>
    <w:uiPriority w:val="0"/>
    <w:pPr>
      <w:spacing w:before="30" w:beforeLines="30" w:after="20" w:afterLines="20"/>
      <w:ind w:firstLine="20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2024-11-21T06:43:00Z</dcterms:created>
  <dc:creator>65635</dc:creator>
  <cp:lastModifiedBy>admin</cp:lastModifiedBy>
  <dcterms:modified xsi:type="dcterms:W3CDTF">2026-06-23T07:45:00Z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626F353288F3488082C67650764B7F4B_12</vt:lpwstr>
  </property>
  <property fmtid="{D5CDD505-2E9C-101B-9397-08002B2CF9AE}" pid="4" name="KSOTemplateDocerSaveRecord">
    <vt:lpwstr>eyJoZGlkIjoiZDMxZTQ1MmVmY2U1Y2YyNzQ1NDc2ZGU5NGY3M2UyZjgiLCJ1c2VySWQiOiIyODE4Njc0MzgifQ==</vt:lpwstr>
  </property>
</Properties>
</file>