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djustRightInd w:val="0"/>
        <w:snapToGrid w:val="0"/>
        <w:spacing w:line="560" w:lineRule="exact"/>
        <w:jc w:val="center"/>
        <w:rPr>
          <w:rFonts w:ascii="黑体" w:eastAsia="黑体" w:cs="黑体"/>
          <w:spacing w:val="-4"/>
          <w:sz w:val="44"/>
          <w:szCs w:val="44"/>
        </w:rPr>
      </w:pPr>
      <w:bookmarkStart w:id="0" w:name="_GoBack"/>
      <w:bookmarkEnd w:id="0"/>
      <w:r>
        <w:rPr>
          <w:rFonts w:ascii="黑体" w:eastAsia="黑体" w:cs="黑体" w:hint="eastAsia"/>
          <w:spacing w:val="-4"/>
          <w:sz w:val="44"/>
          <w:szCs w:val="44"/>
        </w:rPr>
        <w:t>采购需求</w:t>
      </w:r>
      <w:r>
        <w:rPr>
          <w:rFonts w:ascii="黑体" w:eastAsia="黑体" w:cs="黑体"/>
          <w:spacing w:val="-4"/>
          <w:sz w:val="44"/>
          <w:szCs w:val="44"/>
        </w:rPr>
        <w:t>书</w:t>
      </w:r>
    </w:p>
    <w:p>
      <w:pPr>
        <w:pStyle w:val="1"/>
        <w:numPr>
          <w:ilvl w:val="0"/>
          <w:numId w:val="1"/>
        </w:numPr>
        <w:spacing w:line="240" w:lineRule="auto"/>
      </w:pPr>
      <w:r>
        <w:rPr>
          <w:rFonts w:hint="eastAsia"/>
        </w:rPr>
        <w:t>服务要求</w:t>
      </w:r>
      <w:r>
        <w:rPr>
          <w:rFonts w:ascii="方正仿宋_GBK" w:hAnsi="方正仿宋_GBK"/>
          <w:spacing w:val="-4"/>
        </w:rPr>
        <w:t xml:space="preserve"> </w:t>
      </w:r>
    </w:p>
    <w:p>
      <w:pPr>
        <w:pStyle w:val="2"/>
        <w:spacing w:line="240" w:lineRule="auto"/>
        <w:rPr>
          <w:rFonts w:hint="eastAsia"/>
        </w:rPr>
      </w:pPr>
      <w:r>
        <w:t>1.1</w:t>
      </w:r>
      <w:r>
        <w:rPr>
          <w:rFonts w:hint="eastAsia"/>
        </w:rPr>
        <w:t>服务时间要求★</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自合同签订之日起</w:t>
      </w:r>
      <w:r>
        <w:rPr>
          <w:rFonts w:ascii="方正仿宋_GBK" w:eastAsia="方正仿宋_GBK"/>
          <w:bCs/>
          <w:spacing w:val="-4"/>
        </w:rPr>
        <w:t>45</w:t>
      </w:r>
      <w:r>
        <w:rPr>
          <w:rFonts w:ascii="方正仿宋_GBK" w:eastAsia="方正仿宋_GBK" w:hint="eastAsia"/>
          <w:bCs/>
          <w:spacing w:val="-4"/>
        </w:rPr>
        <w:t>天内系统上线，自采购人验收通过之日起提供12月系统运行维护服务。</w:t>
      </w:r>
    </w:p>
    <w:p>
      <w:pPr>
        <w:pStyle w:val="2"/>
        <w:spacing w:line="240" w:lineRule="auto"/>
        <w:rPr>
          <w:rFonts w:hint="eastAsia"/>
        </w:rPr>
      </w:pPr>
      <w:r>
        <w:t>1.2</w:t>
      </w:r>
      <w:r>
        <w:rPr>
          <w:rFonts w:hint="eastAsia"/>
        </w:rPr>
        <w:t>服务地点要求★</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按采购人指定地点提供软件开发及运行维护服务。</w:t>
      </w:r>
    </w:p>
    <w:p>
      <w:pPr>
        <w:pStyle w:val="1"/>
        <w:numPr>
          <w:ilvl w:val="0"/>
          <w:numId w:val="1"/>
        </w:numPr>
        <w:spacing w:line="240" w:lineRule="auto"/>
      </w:pPr>
      <w:r>
        <w:rPr>
          <w:rFonts w:eastAsia="方正仿宋_GBK" w:hint="eastAsia"/>
        </w:rPr>
        <w:t>业务需求</w:t>
      </w:r>
    </w:p>
    <w:p>
      <w:pPr>
        <w:pStyle w:val="2"/>
        <w:spacing w:line="240" w:lineRule="auto"/>
        <w:rPr>
          <w:rFonts w:hint="eastAsia"/>
        </w:rPr>
      </w:pPr>
      <w:bookmarkStart w:id="1" w:name="_Toc91504415"/>
      <w:r>
        <w:t>2.1</w:t>
      </w:r>
      <w:bookmarkEnd w:id="1"/>
      <w:r>
        <w:rPr>
          <w:rFonts w:hint="eastAsia"/>
        </w:rPr>
        <w:t>服务内容要求</w:t>
      </w:r>
    </w:p>
    <w:p>
      <w:pPr>
        <w:adjustRightInd w:val="0"/>
        <w:snapToGrid w:val="0"/>
        <w:ind w:firstLineChars="200" w:firstLine="624"/>
        <w:rPr>
          <w:rFonts w:ascii="方正仿宋_GBK" w:eastAsia="方正仿宋_GBK"/>
          <w:bCs/>
          <w:spacing w:val="-4"/>
        </w:rPr>
      </w:pPr>
      <w:bookmarkStart w:id="2" w:name="_Toc91504416"/>
      <w:r>
        <w:rPr>
          <w:rFonts w:ascii="方正仿宋_GBK" w:eastAsia="方正仿宋_GBK"/>
          <w:bCs/>
          <w:spacing w:val="-4"/>
        </w:rPr>
        <w:t>建设AR+AI冷链查验智能辅助应用，</w:t>
      </w:r>
      <w:r>
        <w:rPr>
          <w:rFonts w:ascii="方正仿宋_GBK" w:eastAsia="方正仿宋_GBK" w:hint="eastAsia"/>
          <w:bCs/>
          <w:spacing w:val="-4"/>
        </w:rPr>
        <w:t>融合AR眼镜与AI技术，作为</w:t>
      </w:r>
      <w:r>
        <w:rPr>
          <w:rFonts w:ascii="方正仿宋_GBK" w:eastAsia="方正仿宋_GBK"/>
          <w:bCs/>
          <w:spacing w:val="-4"/>
        </w:rPr>
        <w:t>海关</w:t>
      </w:r>
      <w:r>
        <w:rPr>
          <w:rFonts w:ascii="方正仿宋_GBK" w:eastAsia="方正仿宋_GBK" w:hint="eastAsia"/>
          <w:bCs/>
          <w:spacing w:val="-4"/>
        </w:rPr>
        <w:t>现有单兵设备的升级扩展，为一线关员提供“解放双手”的智能化查验辅助，</w:t>
      </w:r>
      <w:r>
        <w:rPr>
          <w:rFonts w:ascii="方正仿宋_GBK" w:eastAsia="方正仿宋_GBK"/>
          <w:bCs/>
          <w:spacing w:val="-4"/>
        </w:rPr>
        <w:t>实现</w:t>
      </w:r>
      <w:r>
        <w:rPr>
          <w:rFonts w:ascii="方正仿宋_GBK" w:eastAsia="方正仿宋_GBK" w:hint="eastAsia"/>
          <w:bCs/>
          <w:spacing w:val="-4"/>
        </w:rPr>
        <w:t>智能信息提取</w:t>
      </w:r>
      <w:r>
        <w:rPr>
          <w:rFonts w:ascii="方正仿宋_GBK" w:eastAsia="方正仿宋_GBK"/>
          <w:bCs/>
          <w:spacing w:val="-4"/>
        </w:rPr>
        <w:t>、</w:t>
      </w:r>
      <w:r>
        <w:rPr>
          <w:rFonts w:ascii="方正仿宋_GBK" w:eastAsia="方正仿宋_GBK" w:hint="eastAsia"/>
          <w:bCs/>
          <w:spacing w:val="-4"/>
        </w:rPr>
        <w:t>智慧数据比对</w:t>
      </w:r>
      <w:r>
        <w:rPr>
          <w:rFonts w:ascii="方正仿宋_GBK" w:eastAsia="方正仿宋_GBK"/>
          <w:bCs/>
          <w:spacing w:val="-4"/>
        </w:rPr>
        <w:t>、风险分析提醒、</w:t>
      </w:r>
      <w:r>
        <w:rPr>
          <w:rFonts w:ascii="方正仿宋_GBK" w:eastAsia="方正仿宋_GBK" w:hint="eastAsia"/>
          <w:bCs/>
          <w:spacing w:val="-4"/>
        </w:rPr>
        <w:t>全程作业溯源</w:t>
      </w:r>
      <w:r>
        <w:rPr>
          <w:rFonts w:ascii="方正仿宋_GBK" w:eastAsia="方正仿宋_GBK"/>
          <w:bCs/>
          <w:spacing w:val="-4"/>
        </w:rPr>
        <w:t>等主要功能，让</w:t>
      </w:r>
      <w:r>
        <w:rPr>
          <w:rFonts w:ascii="方正仿宋_GBK" w:eastAsia="方正仿宋_GBK" w:hint="eastAsia"/>
          <w:bCs/>
          <w:spacing w:val="-4"/>
        </w:rPr>
        <w:t>现场关员通过AR眼镜</w:t>
      </w:r>
      <w:r>
        <w:rPr>
          <w:rFonts w:ascii="方正仿宋_GBK" w:eastAsia="方正仿宋_GBK"/>
          <w:bCs/>
          <w:spacing w:val="-4"/>
        </w:rPr>
        <w:t>或海关单兵</w:t>
      </w:r>
      <w:r>
        <w:rPr>
          <w:rFonts w:ascii="方正仿宋_GBK" w:eastAsia="方正仿宋_GBK" w:hint="eastAsia"/>
          <w:bCs/>
          <w:spacing w:val="-4"/>
        </w:rPr>
        <w:t>拍照，由AI技术自动识别并抓取报关单、卫生证书、商品标签等关键信息</w:t>
      </w:r>
      <w:r>
        <w:rPr>
          <w:rFonts w:ascii="方正仿宋_GBK" w:eastAsia="方正仿宋_GBK"/>
          <w:bCs/>
          <w:spacing w:val="-4"/>
        </w:rPr>
        <w:t>，并</w:t>
      </w:r>
      <w:r>
        <w:rPr>
          <w:rFonts w:ascii="方正仿宋_GBK" w:eastAsia="方正仿宋_GBK" w:hint="eastAsia"/>
          <w:bCs/>
          <w:spacing w:val="-4"/>
        </w:rPr>
        <w:t>与海关智能体、大模型及业务数据库进行自动对接与交叉比对</w:t>
      </w:r>
      <w:r>
        <w:rPr>
          <w:rFonts w:ascii="方正仿宋_GBK" w:eastAsia="方正仿宋_GBK"/>
          <w:bCs/>
          <w:spacing w:val="-4"/>
        </w:rPr>
        <w:t>、</w:t>
      </w:r>
      <w:r>
        <w:rPr>
          <w:rFonts w:ascii="方正仿宋_GBK" w:eastAsia="方正仿宋_GBK" w:hint="eastAsia"/>
          <w:bCs/>
          <w:spacing w:val="-4"/>
        </w:rPr>
        <w:t>核验</w:t>
      </w:r>
      <w:r>
        <w:rPr>
          <w:rFonts w:ascii="方正仿宋_GBK" w:eastAsia="方正仿宋_GBK"/>
          <w:bCs/>
          <w:spacing w:val="-4"/>
        </w:rPr>
        <w:t>，做出正向风险提示，</w:t>
      </w:r>
      <w:r>
        <w:rPr>
          <w:rFonts w:ascii="方正仿宋_GBK" w:eastAsia="方正仿宋_GBK" w:hint="eastAsia"/>
          <w:bCs/>
          <w:spacing w:val="-4"/>
        </w:rPr>
        <w:t>辅助关员快速完成查验判断，</w:t>
      </w:r>
      <w:r>
        <w:rPr>
          <w:rFonts w:ascii="方正仿宋_GBK" w:eastAsia="方正仿宋_GBK"/>
          <w:bCs/>
          <w:spacing w:val="-4"/>
        </w:rPr>
        <w:t>同时</w:t>
      </w:r>
      <w:r>
        <w:rPr>
          <w:rFonts w:ascii="方正仿宋_GBK" w:eastAsia="方正仿宋_GBK" w:hint="eastAsia"/>
          <w:bCs/>
          <w:spacing w:val="-4"/>
        </w:rPr>
        <w:t>通过PC管理端完整回溯查验作业记录及相关现场影像资料，确保整个监管过程留痕可查、出错可溯，强化作业监督与责任追溯。</w:t>
      </w:r>
    </w:p>
    <w:p>
      <w:pPr>
        <w:pStyle w:val="2"/>
        <w:spacing w:line="240" w:lineRule="auto"/>
      </w:pPr>
      <w:bookmarkEnd w:id="2"/>
      <w:r>
        <w:t>2.2</w:t>
      </w:r>
      <w:r>
        <w:rPr>
          <w:rFonts w:hint="eastAsia"/>
        </w:rPr>
        <w:t>业务需求</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需建设移动端及PC端，相关功能需在移动端实现</w:t>
      </w:r>
      <w:r>
        <w:rPr>
          <w:rFonts w:ascii="方正仿宋_GBK" w:eastAsia="方正仿宋_GBK"/>
          <w:bCs/>
          <w:spacing w:val="-4"/>
        </w:rPr>
        <w:t>，</w:t>
      </w:r>
      <w:r>
        <w:rPr>
          <w:rFonts w:ascii="方正仿宋_GBK" w:eastAsia="方正仿宋_GBK" w:hint="eastAsia"/>
          <w:bCs/>
          <w:spacing w:val="-4"/>
        </w:rPr>
        <w:t>AR眼镜仅作为单兵的外设。</w:t>
      </w:r>
    </w:p>
    <w:p>
      <w:pPr>
        <w:pStyle w:val="3"/>
        <w:spacing w:line="240" w:lineRule="auto"/>
        <w:rPr>
          <w:rFonts w:ascii="方正仿宋_GBK" w:eastAsia="方正仿宋_GBK" w:hint="eastAsia"/>
        </w:rPr>
      </w:pPr>
      <w:r>
        <w:rPr>
          <w:rFonts w:ascii="方正仿宋_GBK" w:eastAsia="方正仿宋_GBK" w:hint="eastAsia"/>
        </w:rPr>
        <w:t>2.</w:t>
      </w:r>
      <w:r>
        <w:rPr>
          <w:rFonts w:ascii="方正仿宋_GBK" w:eastAsia="方正仿宋_GBK"/>
        </w:rPr>
        <w:t>2</w:t>
      </w:r>
      <w:r>
        <w:rPr>
          <w:rFonts w:ascii="方正仿宋_GBK" w:eastAsia="方正仿宋_GBK" w:hint="eastAsia"/>
        </w:rPr>
        <w:t>.1 单证智能识别</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报关单识别：通过语音输入或拍摄识别纸质报关单提取方式录入报关单号开展作业。</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卫生证书识别：通过报关单号在数据库中提取已识别解析的卫生证书信息，当系统未提取到证书文件，通过AR眼镜拍照进行现场识别，并通过页面展示进行数据确认。</w:t>
      </w:r>
    </w:p>
    <w:p>
      <w:pPr>
        <w:adjustRightInd w:val="0"/>
        <w:snapToGrid w:val="0"/>
        <w:ind w:firstLineChars="200" w:firstLine="624"/>
        <w:rPr>
          <w:rFonts w:ascii="方正仿宋_GBK" w:eastAsia="方正仿宋_GBK"/>
          <w:bCs/>
        </w:rPr>
      </w:pPr>
      <w:r>
        <w:rPr>
          <w:rFonts w:ascii="方正仿宋_GBK" w:eastAsia="方正仿宋_GBK" w:hint="eastAsia"/>
          <w:bCs/>
          <w:spacing w:val="-4"/>
        </w:rPr>
        <w:t>标签识别：通过AR眼镜</w:t>
      </w:r>
      <w:r>
        <w:rPr>
          <w:rFonts w:ascii="方正仿宋_GBK" w:eastAsia="方正仿宋_GBK"/>
          <w:bCs/>
          <w:spacing w:val="-4"/>
        </w:rPr>
        <w:t>或单兵</w:t>
      </w:r>
      <w:r>
        <w:rPr>
          <w:rFonts w:ascii="方正仿宋_GBK" w:eastAsia="方正仿宋_GBK" w:hint="eastAsia"/>
          <w:bCs/>
          <w:spacing w:val="-4"/>
        </w:rPr>
        <w:t>拍照识别冷链商品外包装的标签，因储存环境原因标签会有轻微的褶皱，在肉眼可识别的情况下，准确识别并解析标签中的商品名称、生产批次、生产日期、保质期企业名称等信息，并通过页面展示并进行数据确认。</w:t>
      </w:r>
    </w:p>
    <w:p>
      <w:pPr>
        <w:adjustRightInd w:val="0"/>
        <w:snapToGrid w:val="0"/>
        <w:ind w:firstLineChars="200" w:firstLine="640"/>
        <w:rPr>
          <w:rFonts w:ascii="方正仿宋_GBK" w:eastAsia="方正仿宋_GBK" w:hint="eastAsia"/>
          <w:bCs/>
          <w:spacing w:val="-4"/>
        </w:rPr>
      </w:pPr>
      <w:r>
        <w:rPr>
          <w:rFonts w:ascii="方正仿宋_GBK" w:eastAsia="方正仿宋_GBK"/>
          <w:bCs/>
        </w:rPr>
        <w:t>其他识别：支持扩展识别其他单证、文件。</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通过智能体实现数据的快速、准确、智能提取，为后续现场单证比对、作业等环节提供数据支持。</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现场单证照片的拍摄清晰度达到人眼可辨识程度，识别准确率</w:t>
      </w:r>
      <w:r>
        <w:rPr>
          <w:rFonts w:ascii="方正仿宋_GBK" w:eastAsia="方正仿宋_GBK"/>
          <w:bCs/>
          <w:spacing w:val="-4"/>
        </w:rPr>
        <w:t>需</w:t>
      </w:r>
      <w:r>
        <w:rPr>
          <w:rFonts w:ascii="方正仿宋_GBK" w:eastAsia="方正仿宋_GBK" w:hint="eastAsia"/>
          <w:bCs/>
          <w:spacing w:val="-4"/>
        </w:rPr>
        <w:t>达到9</w:t>
      </w:r>
      <w:r>
        <w:rPr>
          <w:rFonts w:ascii="方正仿宋_GBK" w:eastAsia="方正仿宋_GBK"/>
          <w:bCs/>
          <w:spacing w:val="-4"/>
        </w:rPr>
        <w:t>0</w:t>
      </w:r>
      <w:r>
        <w:rPr>
          <w:rFonts w:ascii="方正仿宋_GBK" w:eastAsia="方正仿宋_GBK" w:hint="eastAsia"/>
          <w:bCs/>
          <w:spacing w:val="-4"/>
        </w:rPr>
        <w:t>%</w:t>
      </w:r>
      <w:r>
        <w:rPr>
          <w:rFonts w:ascii="方正仿宋_GBK" w:eastAsia="方正仿宋_GBK"/>
          <w:bCs/>
          <w:spacing w:val="-4"/>
        </w:rPr>
        <w:t>以上</w:t>
      </w:r>
      <w:r>
        <w:rPr>
          <w:rFonts w:ascii="方正仿宋_GBK" w:eastAsia="方正仿宋_GBK" w:hint="eastAsia"/>
          <w:bCs/>
          <w:spacing w:val="-4"/>
        </w:rPr>
        <w:t>。</w:t>
      </w:r>
    </w:p>
    <w:p>
      <w:pPr>
        <w:pStyle w:val="3"/>
        <w:spacing w:line="240" w:lineRule="auto"/>
        <w:rPr>
          <w:rFonts w:ascii="方正仿宋_GBK" w:eastAsia="方正仿宋_GBK" w:hint="eastAsia"/>
        </w:rPr>
      </w:pPr>
      <w:r>
        <w:rPr>
          <w:rFonts w:ascii="方正仿宋_GBK" w:eastAsia="方正仿宋_GBK" w:hint="eastAsia"/>
        </w:rPr>
        <w:t>2.</w:t>
      </w:r>
      <w:r>
        <w:rPr>
          <w:rFonts w:ascii="方正仿宋_GBK" w:eastAsia="方正仿宋_GBK"/>
        </w:rPr>
        <w:t>2</w:t>
      </w:r>
      <w:r>
        <w:rPr>
          <w:rFonts w:ascii="方正仿宋_GBK" w:eastAsia="方正仿宋_GBK" w:hint="eastAsia"/>
        </w:rPr>
        <w:t>.2 数据自动比对</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将识别出的标签信息、卫生证书信息与</w:t>
      </w:r>
      <w:r>
        <w:rPr>
          <w:rFonts w:ascii="方正仿宋_GBK" w:eastAsia="方正仿宋_GBK"/>
          <w:bCs/>
          <w:spacing w:val="-4"/>
        </w:rPr>
        <w:t>海关相关</w:t>
      </w:r>
      <w:r>
        <w:rPr>
          <w:rFonts w:ascii="方正仿宋_GBK" w:eastAsia="方正仿宋_GBK" w:hint="eastAsia"/>
          <w:bCs/>
          <w:spacing w:val="-4"/>
        </w:rPr>
        <w:t>信息进行自动比对，具体包括以下几个方面：</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商品信息验核：将标签上的商品名称、卫生证书上的商品名称与报关单数据中的商品名称进行比对，验证其一致性。</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生产企业验核：将标签上的生产企业在华注册编号、企业名称、地址及卫生证书上的生产企业名称、地址、官方注册号与数据库中的报关单数据（许可证编号、企业名称、地址信息）及境外食品生产企业信息（在华注册编号、企业名称、企业地址、注册编号）进行比对，验证其一致性。</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产品准入验核：将报关单数据中的商品编号、监管识别码与境外食品生产企业信息中的HS编码、CIQ编码进行比对，一致的还需验核启用标志、启用日期、有效日期，判断准入是否有效。</w:t>
      </w:r>
    </w:p>
    <w:p>
      <w:pPr>
        <w:adjustRightInd w:val="0"/>
        <w:snapToGrid w:val="0"/>
        <w:ind w:firstLineChars="200" w:firstLine="624"/>
        <w:rPr>
          <w:rFonts w:ascii="方正仿宋_GBK" w:eastAsia="方正仿宋_GBK"/>
          <w:bCs/>
        </w:rPr>
      </w:pPr>
      <w:r>
        <w:rPr>
          <w:rFonts w:ascii="方正仿宋_GBK" w:eastAsia="方正仿宋_GBK" w:hint="eastAsia"/>
          <w:bCs/>
          <w:spacing w:val="-4"/>
        </w:rPr>
        <w:t>货物生产日期、批次和保质期验核：将标签上的生产批次、生产日期、保质期及卫生证书上的生产日期、生产批次、保质期与报关单信息中的产品有效期、产品保质期（天）、生产日期、生产批次等信息进行比对，评估商品是否在有效期内，并对临近保质期的商品进行提示。</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支持 “三方比对” 与 “两两比对” 两种模式，覆盖商品信息、生产企业、产品准入、生产日期批次保质期四类关键验核，按字段输出 “一致 / 不一致 / 数据缺失” 状态；采用 “只正向提示” 策略，不一致项不打断现场作业，供关员人工研判。</w:t>
      </w:r>
    </w:p>
    <w:p>
      <w:pPr>
        <w:pStyle w:val="3"/>
        <w:spacing w:line="240" w:lineRule="auto"/>
        <w:rPr>
          <w:rFonts w:ascii="方正仿宋_GBK" w:eastAsia="方正仿宋_GBK" w:hint="eastAsia"/>
        </w:rPr>
      </w:pPr>
      <w:r>
        <w:rPr>
          <w:rFonts w:ascii="方正仿宋_GBK" w:eastAsia="方正仿宋_GBK" w:hint="eastAsia"/>
        </w:rPr>
        <w:t>2.</w:t>
      </w:r>
      <w:r>
        <w:rPr>
          <w:rFonts w:ascii="方正仿宋_GBK" w:eastAsia="方正仿宋_GBK"/>
        </w:rPr>
        <w:t>2</w:t>
      </w:r>
      <w:r>
        <w:rPr>
          <w:rFonts w:ascii="方正仿宋_GBK" w:eastAsia="方正仿宋_GBK" w:hint="eastAsia"/>
        </w:rPr>
        <w:t>.3 预警功能</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数据自动比对后，系统会在AR眼镜上进行正向预警提示。具体说明如下：</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按比对顺序依次展示结果，比对一致的项目发出正向预警，不一致的项目分别展示标签、卫生证书、报关单上的对应信息，提示关员人工验证。</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根据当前日期、商品生产日期及保质期智能计算商品保质期剩余时间，并在AR眼睛中展示，供关员参考。</w:t>
      </w:r>
    </w:p>
    <w:p>
      <w:pPr>
        <w:pStyle w:val="3"/>
        <w:spacing w:line="240" w:lineRule="auto"/>
        <w:rPr>
          <w:rFonts w:ascii="方正仿宋_GBK" w:eastAsia="方正仿宋_GBK" w:hint="eastAsia"/>
        </w:rPr>
      </w:pPr>
      <w:r>
        <w:rPr>
          <w:rFonts w:ascii="方正仿宋_GBK" w:eastAsia="方正仿宋_GBK" w:hint="eastAsia"/>
        </w:rPr>
        <w:t>2.</w:t>
      </w:r>
      <w:r>
        <w:rPr>
          <w:rFonts w:ascii="方正仿宋_GBK" w:eastAsia="方正仿宋_GBK"/>
        </w:rPr>
        <w:t>2</w:t>
      </w:r>
      <w:r>
        <w:rPr>
          <w:rFonts w:ascii="方正仿宋_GBK" w:eastAsia="方正仿宋_GBK" w:hint="eastAsia"/>
        </w:rPr>
        <w:t xml:space="preserve">.4 </w:t>
      </w:r>
      <w:r>
        <w:rPr>
          <w:rFonts w:ascii="方正仿宋_GBK" w:eastAsia="方正仿宋_GBK"/>
        </w:rPr>
        <w:t>溯源管理功能</w:t>
      </w:r>
    </w:p>
    <w:p>
      <w:pPr>
        <w:adjustRightInd w:val="0"/>
        <w:snapToGrid w:val="0"/>
        <w:ind w:firstLineChars="200" w:firstLine="624"/>
        <w:rPr>
          <w:rFonts w:ascii="方正仿宋_GBK" w:eastAsia="方正仿宋_GBK" w:hint="eastAsia"/>
          <w:bCs/>
          <w:spacing w:val="-4"/>
        </w:rPr>
      </w:pPr>
      <w:r>
        <w:rPr>
          <w:rFonts w:ascii="方正仿宋_GBK" w:eastAsia="方正仿宋_GBK"/>
          <w:bCs/>
          <w:spacing w:val="-4"/>
        </w:rPr>
        <w:t>可</w:t>
      </w:r>
      <w:r>
        <w:rPr>
          <w:rFonts w:ascii="方正仿宋_GBK" w:eastAsia="方正仿宋_GBK" w:hint="eastAsia"/>
          <w:bCs/>
          <w:spacing w:val="-4"/>
        </w:rPr>
        <w:t>通过PC端查询管理作业记录信息及单证图片。</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作业记录信息管理：查询和管理作业记录信息，包括作业时间、作业人员等详细信息。支持查看和管理作业过程中产生的照片，确保信息的完整性和可追溯性。系统数据留存三年。</w:t>
      </w:r>
    </w:p>
    <w:p>
      <w:pPr>
        <w:pStyle w:val="3"/>
        <w:spacing w:line="240" w:lineRule="auto"/>
        <w:rPr>
          <w:rFonts w:ascii="方正仿宋_GBK" w:eastAsia="方正仿宋_GBK" w:hint="eastAsia"/>
        </w:rPr>
      </w:pPr>
      <w:r>
        <w:rPr>
          <w:rFonts w:ascii="方正仿宋_GBK" w:eastAsia="方正仿宋_GBK" w:hint="eastAsia"/>
        </w:rPr>
        <w:t>2.</w:t>
      </w:r>
      <w:r>
        <w:rPr>
          <w:rFonts w:ascii="方正仿宋_GBK" w:eastAsia="方正仿宋_GBK"/>
        </w:rPr>
        <w:t>2</w:t>
      </w:r>
      <w:r>
        <w:rPr>
          <w:rFonts w:ascii="方正仿宋_GBK" w:eastAsia="方正仿宋_GBK" w:hint="eastAsia"/>
        </w:rPr>
        <w:t>.5 应急处置</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针对系统故障、网络中断等无法线上办理的特殊情况，设置线下应急办理业务模式</w:t>
      </w:r>
      <w:r>
        <w:rPr>
          <w:rFonts w:ascii="方正仿宋_GBK" w:eastAsia="方正仿宋_GBK"/>
          <w:bCs/>
          <w:spacing w:val="-4"/>
        </w:rPr>
        <w:t>，保障业务不间断办理。</w:t>
      </w:r>
    </w:p>
    <w:p>
      <w:pPr>
        <w:pStyle w:val="1"/>
        <w:spacing w:line="240" w:lineRule="auto"/>
      </w:pPr>
      <w:r>
        <w:t>3.</w:t>
      </w:r>
      <w:r>
        <w:rPr>
          <w:rFonts w:eastAsia="方正仿宋_GBK" w:hint="eastAsia"/>
        </w:rPr>
        <w:t>技术要求</w:t>
      </w:r>
    </w:p>
    <w:p>
      <w:pPr>
        <w:pStyle w:val="2"/>
        <w:spacing w:line="240" w:lineRule="auto"/>
        <w:rPr>
          <w:rFonts w:hint="eastAsia"/>
        </w:rPr>
      </w:pPr>
      <w:r>
        <w:t>3.1</w:t>
      </w:r>
      <w:r>
        <w:rPr>
          <w:rFonts w:hint="eastAsia"/>
        </w:rPr>
        <w:t>开发技术需求</w:t>
      </w:r>
    </w:p>
    <w:p>
      <w:pPr>
        <w:adjustRightInd w:val="0"/>
        <w:snapToGrid w:val="0"/>
        <w:ind w:firstLineChars="200" w:firstLine="624"/>
        <w:rPr>
          <w:rFonts w:ascii="方正仿宋_GBK" w:eastAsia="方正仿宋_GBK"/>
          <w:bCs/>
          <w:color w:val="000000"/>
        </w:rPr>
      </w:pPr>
      <w:r>
        <w:rPr>
          <w:rFonts w:ascii="方正仿宋_GBK" w:eastAsia="方正仿宋_GBK" w:hint="eastAsia"/>
          <w:bCs/>
          <w:color w:val="000000"/>
          <w:spacing w:val="-4"/>
        </w:rPr>
        <w:t>开发技术路线遵循采购人安全开发要求，使用海关信息化应用开发架构3.0作为本项目系统开发框架，包括采用驻场开发方式、开发技术路线、物理部署说明、数据计算环境、应用计算环境、安全运维要求、开发测试平台、原版库管控等要求，适配国产化客户端和国产化运行环境。</w:t>
      </w:r>
    </w:p>
    <w:p>
      <w:pPr>
        <w:adjustRightInd w:val="0"/>
        <w:snapToGrid w:val="0"/>
        <w:ind w:firstLineChars="200" w:firstLine="624"/>
        <w:rPr>
          <w:rFonts w:ascii="方正仿宋_GBK" w:eastAsia="方正仿宋_GBK"/>
          <w:bCs/>
        </w:rPr>
      </w:pPr>
      <w:r>
        <w:rPr>
          <w:rFonts w:ascii="方正仿宋_GBK" w:eastAsia="方正仿宋_GBK"/>
          <w:bCs/>
          <w:spacing w:val="-4"/>
        </w:rPr>
        <w:t>智能体（AI 能力承载者）选取国产开源大模型进行本地化部署，遵循海关有关智能体建设相关规范要求。</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在“智能眼镜端—移动端”、“移动端—服务端”之间</w:t>
      </w:r>
      <w:r>
        <w:rPr>
          <w:rFonts w:ascii="方正仿宋_GBK" w:eastAsia="方正仿宋_GBK"/>
          <w:bCs/>
          <w:spacing w:val="-4"/>
        </w:rPr>
        <w:t>按照海关相关技术要求进行开发。</w:t>
      </w:r>
    </w:p>
    <w:p>
      <w:pPr>
        <w:pStyle w:val="2"/>
        <w:spacing w:line="240" w:lineRule="auto"/>
        <w:rPr>
          <w:rFonts w:hint="eastAsia"/>
        </w:rPr>
      </w:pPr>
      <w:r>
        <w:t>3.2</w:t>
      </w:r>
      <w:r>
        <w:rPr>
          <w:rFonts w:hint="eastAsia"/>
        </w:rPr>
        <w:t>安全性需求★</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1．在开发中应避免对账号口令、数据库连接串进行硬编码；</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2．避免使用简单的转码或者加密算法实现重要身份鉴别信息的保护，如Base64转码、RC4、DES、MD5等，系统应用应采用限制登录失败次数或验证码等技术手段缓解暴力破解的风险；</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3．禁止应用使用sa类的权限连接数据库；</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4．做到采购人应用权限隔离,被隔离的采购人账户只能读写公共可读写的文件和隔离账户的资料库；</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5．禁止其将系统架构、开发代码、内部数据上传至Github及类似代码托管平台或在互联网上私自存储或缓存数据。</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6．及时报告系统所使用的开源及第三方组件已披露的安全问题并定期更新。</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7</w:t>
      </w:r>
      <w:r>
        <w:rPr>
          <w:rFonts w:ascii="方正仿宋_GBK" w:eastAsia="方正仿宋_GBK"/>
          <w:bCs/>
          <w:spacing w:val="-4"/>
        </w:rPr>
        <w:t xml:space="preserve">. </w:t>
      </w:r>
      <w:r>
        <w:rPr>
          <w:rFonts w:ascii="方正仿宋_GBK" w:eastAsia="方正仿宋_GBK" w:hint="eastAsia"/>
          <w:bCs/>
          <w:spacing w:val="-4"/>
        </w:rPr>
        <w:t>源代码要符合采购人的安全扫描要求。</w:t>
      </w:r>
    </w:p>
    <w:p>
      <w:pPr>
        <w:pStyle w:val="2"/>
        <w:spacing w:line="240" w:lineRule="auto"/>
        <w:rPr>
          <w:rFonts w:hint="eastAsia"/>
        </w:rPr>
      </w:pPr>
      <w:r>
        <w:t>3.4</w:t>
      </w:r>
      <w:r>
        <w:rPr>
          <w:rFonts w:hint="eastAsia"/>
        </w:rPr>
        <w:t>系统运维需求</w:t>
      </w:r>
    </w:p>
    <w:p>
      <w:pPr>
        <w:adjustRightInd w:val="0"/>
        <w:snapToGrid w:val="0"/>
        <w:ind w:firstLineChars="200" w:firstLine="624"/>
        <w:rPr>
          <w:rFonts w:ascii="方正仿宋_GBK" w:eastAsia="方正仿宋_GBK"/>
          <w:bCs/>
          <w:color w:val="000000"/>
          <w:spacing w:val="-4"/>
        </w:rPr>
      </w:pPr>
      <w:r>
        <w:rPr>
          <w:rFonts w:ascii="方正仿宋_GBK" w:eastAsia="方正仿宋_GBK" w:hint="eastAsia"/>
          <w:bCs/>
          <w:color w:val="000000"/>
          <w:spacing w:val="-4"/>
        </w:rPr>
        <w:t>运行维护服务期内应向采购人提供以下服务：</w:t>
      </w:r>
    </w:p>
    <w:p>
      <w:pPr>
        <w:adjustRightInd w:val="0"/>
        <w:snapToGrid w:val="0"/>
        <w:ind w:firstLineChars="200" w:firstLine="624"/>
        <w:rPr>
          <w:rFonts w:ascii="方正仿宋_GBK" w:eastAsia="方正仿宋_GBK"/>
          <w:bCs/>
          <w:color w:val="000000"/>
          <w:spacing w:val="-4"/>
        </w:rPr>
      </w:pPr>
      <w:r>
        <w:rPr>
          <w:rFonts w:ascii="方正仿宋_GBK" w:eastAsia="方正仿宋_GBK" w:hint="eastAsia"/>
          <w:bCs/>
          <w:color w:val="000000"/>
          <w:spacing w:val="-4"/>
        </w:rPr>
        <w:t>1．修复和优化系统在运行过程中出现的功能和性能问题，保证软件服务正常运行。</w:t>
      </w:r>
    </w:p>
    <w:p>
      <w:pPr>
        <w:adjustRightInd w:val="0"/>
        <w:snapToGrid w:val="0"/>
        <w:ind w:firstLineChars="200" w:firstLine="624"/>
        <w:rPr>
          <w:rFonts w:ascii="方正仿宋_GBK" w:eastAsia="方正仿宋_GBK"/>
          <w:bCs/>
          <w:color w:val="000000"/>
          <w:spacing w:val="-4"/>
        </w:rPr>
      </w:pPr>
      <w:r>
        <w:rPr>
          <w:rFonts w:ascii="方正仿宋_GBK" w:eastAsia="方正仿宋_GBK" w:hint="eastAsia"/>
          <w:bCs/>
          <w:color w:val="000000"/>
          <w:spacing w:val="-4"/>
        </w:rPr>
        <w:t>2．根据安全部门发布的应用漏洞情况，及时修复应用存在的安全漏洞，并完成上线发布。</w:t>
      </w:r>
    </w:p>
    <w:p>
      <w:pPr>
        <w:adjustRightInd w:val="0"/>
        <w:snapToGrid w:val="0"/>
        <w:ind w:firstLineChars="200" w:firstLine="624"/>
        <w:rPr>
          <w:rFonts w:ascii="方正仿宋_GBK" w:eastAsia="方正仿宋_GBK"/>
          <w:bCs/>
          <w:color w:val="000000"/>
          <w:spacing w:val="-4"/>
        </w:rPr>
      </w:pPr>
      <w:r>
        <w:rPr>
          <w:rFonts w:ascii="方正仿宋_GBK" w:eastAsia="方正仿宋_GBK" w:hint="eastAsia"/>
          <w:bCs/>
          <w:color w:val="000000"/>
          <w:spacing w:val="-4"/>
        </w:rPr>
        <w:t>3．协助完成系统扩容、升级或迁移时的资源评估、环境搭建、程序部署和功能验证等工作。</w:t>
      </w:r>
    </w:p>
    <w:p>
      <w:pPr>
        <w:adjustRightInd w:val="0"/>
        <w:snapToGrid w:val="0"/>
        <w:ind w:firstLineChars="200" w:firstLine="624"/>
        <w:rPr>
          <w:rFonts w:ascii="方正仿宋_GBK" w:eastAsia="方正仿宋_GBK"/>
          <w:bCs/>
          <w:color w:val="000000"/>
          <w:spacing w:val="-4"/>
        </w:rPr>
      </w:pPr>
      <w:r>
        <w:rPr>
          <w:rFonts w:ascii="方正仿宋_GBK" w:eastAsia="方正仿宋_GBK" w:hint="eastAsia"/>
          <w:bCs/>
          <w:color w:val="000000"/>
          <w:spacing w:val="-4"/>
        </w:rPr>
        <w:t>4．根据海关要求，配合评估系统等保、密评级别要求达标情况，对存在的安全风险状况，提出整改建议方案并配合实施。</w:t>
      </w:r>
    </w:p>
    <w:p>
      <w:pPr>
        <w:adjustRightInd w:val="0"/>
        <w:snapToGrid w:val="0"/>
        <w:ind w:firstLineChars="200" w:firstLine="624"/>
        <w:rPr>
          <w:rFonts w:ascii="方正仿宋_GBK" w:eastAsia="方正仿宋_GBK"/>
          <w:bCs/>
          <w:color w:val="000000"/>
          <w:spacing w:val="-4"/>
        </w:rPr>
      </w:pPr>
      <w:r>
        <w:rPr>
          <w:rFonts w:ascii="方正仿宋_GBK" w:eastAsia="方正仿宋_GBK" w:hint="eastAsia"/>
          <w:bCs/>
          <w:color w:val="000000"/>
          <w:spacing w:val="-4"/>
        </w:rPr>
        <w:t>5．对系统审计日志及其他日志文件进行安全性分析，根据海关要求对存在的安全风险进行持续优化。</w:t>
      </w:r>
    </w:p>
    <w:p>
      <w:pPr>
        <w:adjustRightInd w:val="0"/>
        <w:snapToGrid w:val="0"/>
        <w:ind w:firstLineChars="200" w:firstLine="624"/>
        <w:rPr>
          <w:rFonts w:ascii="方正仿宋_GBK" w:eastAsia="方正仿宋_GBK"/>
          <w:bCs/>
          <w:spacing w:val="-4"/>
        </w:rPr>
      </w:pPr>
      <w:r>
        <w:rPr>
          <w:rFonts w:ascii="方正仿宋_GBK" w:eastAsia="方正仿宋_GBK" w:hint="eastAsia"/>
          <w:bCs/>
          <w:color w:val="000000"/>
          <w:spacing w:val="-4"/>
        </w:rPr>
        <w:t>6. 安排参与驻场开发的人员提供驻场运维服务，采购人提供工作场所、工作环境，供应商服务期间的食宿及交通等费用自行承担。</w:t>
      </w:r>
    </w:p>
    <w:p>
      <w:pPr>
        <w:pStyle w:val="2"/>
        <w:spacing w:line="240" w:lineRule="auto"/>
        <w:rPr>
          <w:rFonts w:hint="eastAsia"/>
        </w:rPr>
      </w:pPr>
      <w:r>
        <w:t>3.5</w:t>
      </w:r>
      <w:r>
        <w:rPr>
          <w:rFonts w:hint="eastAsia"/>
        </w:rPr>
        <w:t>功能完善和集成需求</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运行维护服务期内应向采购人提供以下服务：</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1．根据采购人使用或运维过程中发现的功能性问题或优化需求，仅限于对原系统进行完善和优化。</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2．为海关应用系统使用遇到的功能问题、技术问题，提供技术支持，并根据海关要求开展培训工作。</w:t>
      </w:r>
    </w:p>
    <w:p>
      <w:pPr>
        <w:adjustRightInd w:val="0"/>
        <w:snapToGrid w:val="0"/>
        <w:ind w:firstLineChars="200" w:firstLine="624"/>
        <w:rPr>
          <w:rFonts w:ascii="方正仿宋_GBK" w:eastAsia="方正仿宋_GBK"/>
          <w:bCs/>
          <w:color w:val="000000"/>
          <w:spacing w:val="-4"/>
        </w:rPr>
      </w:pPr>
      <w:r>
        <w:rPr>
          <w:rFonts w:ascii="方正仿宋_GBK" w:eastAsia="方正仿宋_GBK" w:hint="eastAsia"/>
          <w:bCs/>
          <w:color w:val="000000"/>
          <w:spacing w:val="-4"/>
        </w:rPr>
        <w:t>3. 具备所需的系统集成能力（如海关H4A系统单点登录、授权管理接口等系统；如智慧海关系统作为本项目的系统框架）保证单点登录和授权管理业务正常开展。</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4.</w:t>
      </w:r>
      <w:r>
        <w:rPr>
          <w:rFonts w:ascii="方正仿宋_GBK" w:eastAsia="方正仿宋_GBK"/>
          <w:bCs/>
          <w:spacing w:val="-4"/>
        </w:rPr>
        <w:t xml:space="preserve"> </w:t>
      </w:r>
      <w:r>
        <w:rPr>
          <w:rFonts w:ascii="方正仿宋_GBK" w:eastAsia="方正仿宋_GBK" w:hint="eastAsia"/>
          <w:bCs/>
          <w:spacing w:val="-4"/>
        </w:rPr>
        <w:t>配合海关对国产化客户端使用的适配需求。</w:t>
      </w:r>
    </w:p>
    <w:p>
      <w:pPr>
        <w:adjustRightInd w:val="0"/>
        <w:snapToGrid w:val="0"/>
        <w:ind w:firstLineChars="200" w:firstLine="624"/>
        <w:rPr>
          <w:rFonts w:ascii="方正仿宋_GBK" w:eastAsia="方正仿宋_GBK" w:hint="eastAsia"/>
          <w:bCs/>
          <w:spacing w:val="-4"/>
        </w:rPr>
      </w:pPr>
      <w:r>
        <w:rPr>
          <w:rFonts w:ascii="方正仿宋_GBK" w:eastAsia="方正仿宋_GBK" w:hint="eastAsia"/>
          <w:bCs/>
          <w:spacing w:val="-4"/>
        </w:rPr>
        <w:t>5．供应商应根据采购人要求，积极组织资源，配合制定进度，确保软件开发、测试、部署上线等工作在规定的时间内，准确、及时、安全、稳定地完成。</w:t>
      </w:r>
    </w:p>
    <w:p>
      <w:pPr>
        <w:pStyle w:val="2"/>
        <w:spacing w:line="240" w:lineRule="auto"/>
        <w:rPr>
          <w:rFonts w:hint="eastAsia"/>
        </w:rPr>
      </w:pPr>
      <w:r>
        <w:t>3.6</w:t>
      </w:r>
      <w:r>
        <w:rPr>
          <w:rFonts w:hint="eastAsia"/>
        </w:rPr>
        <w:t>性能调优需求</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运行维护服务期内根据采购人安全管控、漏洞更新、架构升级、中间件变更、公共组件升级等安排对原系统进行升级；在保证业务系统平稳运行、保证业务系统数据的可用性、完整性和安全性的前提下，通过调整和优化提升系统整体运行性能，满足采购人对业务系统的性能要求；协助检查数据库运行情况，协助对数据库进行优化，提高数据库运行效率；配合硬件维护，及时完成涉及数据库和应用系统的相关工作等。配合海关安全运行要求，及时协助完成涉及护网及安全加固等工作。</w:t>
      </w:r>
    </w:p>
    <w:p>
      <w:pPr>
        <w:pStyle w:val="1"/>
        <w:spacing w:line="240" w:lineRule="auto"/>
      </w:pPr>
      <w:r>
        <w:t>4.</w:t>
      </w:r>
      <w:r>
        <w:rPr>
          <w:rFonts w:eastAsia="方正仿宋_GBK" w:hint="eastAsia"/>
        </w:rPr>
        <w:t>服务要求</w:t>
      </w:r>
    </w:p>
    <w:p>
      <w:pPr>
        <w:pStyle w:val="2"/>
        <w:spacing w:line="240" w:lineRule="auto"/>
        <w:rPr>
          <w:rFonts w:hint="eastAsia"/>
        </w:rPr>
      </w:pPr>
      <w:r>
        <w:t>4.1</w:t>
      </w:r>
      <w:r>
        <w:rPr>
          <w:rFonts w:hint="eastAsia"/>
        </w:rPr>
        <w:t>故障修复</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服务期内负责对系统运行过程中的异常现象（数据异常、程序异常等）进行排查及分析，找出故障原因并解决；处理系统运行过程中的应用故障，供应商应具备对信息系统突发事件分类分级的能力，熟悉采购人关于信息系统应急预案的处理流程、具备现场应急处理能力，对分类突发事件应急事件具备应急处理预案和处理能力。</w:t>
      </w:r>
    </w:p>
    <w:p>
      <w:pPr>
        <w:pStyle w:val="2"/>
        <w:spacing w:line="240" w:lineRule="auto"/>
        <w:rPr>
          <w:rFonts w:hint="eastAsia"/>
        </w:rPr>
      </w:pPr>
      <w:r>
        <w:t>4.2</w:t>
      </w:r>
      <w:r>
        <w:rPr>
          <w:rFonts w:hint="eastAsia"/>
        </w:rPr>
        <w:t>技术支持</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服务期内提供技术支持服务，为采购人在使用业务系统过程中遇到的疑问，协助进行解答或处理；承担采购人安排的与项目相关的技术支持服务相关工作。</w:t>
      </w:r>
    </w:p>
    <w:p>
      <w:pPr>
        <w:pStyle w:val="2"/>
        <w:spacing w:line="240" w:lineRule="auto"/>
        <w:rPr>
          <w:rFonts w:hint="eastAsia"/>
        </w:rPr>
      </w:pPr>
      <w:r>
        <w:t>4.3</w:t>
      </w:r>
      <w:r>
        <w:rPr>
          <w:rFonts w:hint="eastAsia"/>
        </w:rPr>
        <w:t>开发人员要求</w:t>
      </w:r>
    </w:p>
    <w:p>
      <w:pPr>
        <w:adjustRightInd w:val="0"/>
        <w:snapToGrid w:val="0"/>
        <w:ind w:firstLineChars="200" w:firstLine="624"/>
        <w:rPr>
          <w:rFonts w:ascii="方正仿宋_GBK" w:eastAsia="方正仿宋_GBK"/>
          <w:bCs/>
          <w:color w:val="000000"/>
          <w:spacing w:val="-4"/>
        </w:rPr>
      </w:pPr>
      <w:r>
        <w:rPr>
          <w:rFonts w:ascii="方正仿宋_GBK" w:eastAsia="方正仿宋_GBK" w:hint="eastAsia"/>
          <w:bCs/>
          <w:color w:val="000000"/>
          <w:spacing w:val="-4"/>
        </w:rPr>
        <w:t>1．供应商应提供专业技术人员不少于</w:t>
      </w:r>
      <w:r>
        <w:rPr>
          <w:rFonts w:ascii="方正仿宋_GBK" w:eastAsia="方正仿宋_GBK"/>
          <w:bCs/>
          <w:color w:val="000000"/>
          <w:spacing w:val="-4"/>
        </w:rPr>
        <w:t>3</w:t>
      </w:r>
      <w:r>
        <w:rPr>
          <w:rFonts w:ascii="方正仿宋_GBK" w:eastAsia="方正仿宋_GBK" w:hint="eastAsia"/>
          <w:bCs/>
          <w:color w:val="000000"/>
          <w:spacing w:val="-4"/>
        </w:rPr>
        <w:t>人实施驻场开发，服务地点为采购人指定地点。</w:t>
      </w:r>
    </w:p>
    <w:p>
      <w:pPr>
        <w:adjustRightInd w:val="0"/>
        <w:snapToGrid w:val="0"/>
        <w:ind w:firstLineChars="200" w:firstLine="624"/>
        <w:rPr>
          <w:rFonts w:ascii="方正仿宋_GBK" w:eastAsia="方正仿宋_GBK"/>
          <w:bCs/>
          <w:color w:val="000000"/>
          <w:spacing w:val="-4"/>
        </w:rPr>
      </w:pPr>
      <w:r>
        <w:rPr>
          <w:rFonts w:ascii="方正仿宋_GBK" w:eastAsia="方正仿宋_GBK"/>
          <w:bCs/>
          <w:color w:val="000000"/>
          <w:spacing w:val="-4"/>
        </w:rPr>
        <w:t>2</w:t>
      </w:r>
      <w:r>
        <w:rPr>
          <w:rFonts w:ascii="方正仿宋_GBK" w:eastAsia="方正仿宋_GBK" w:hint="eastAsia"/>
          <w:bCs/>
          <w:color w:val="000000"/>
          <w:spacing w:val="-4"/>
        </w:rPr>
        <w:t>．供应商及其服务人员在项目执行过程中应严格遵守采购人相关管理制度、工作纪律，不得违反采购人安全生产、安全保密等要求。对于开发技术服务，采购人提供工作场所、工作环境，供应商服务期间的食宿及交通等费用自行承担。</w:t>
      </w:r>
    </w:p>
    <w:p>
      <w:pPr>
        <w:adjustRightInd w:val="0"/>
        <w:snapToGrid w:val="0"/>
        <w:ind w:firstLineChars="200" w:firstLine="624"/>
        <w:rPr>
          <w:rFonts w:ascii="方正仿宋_GBK" w:eastAsia="方正仿宋_GBK"/>
          <w:bCs/>
          <w:color w:val="000000"/>
          <w:spacing w:val="-4"/>
        </w:rPr>
      </w:pPr>
      <w:r>
        <w:rPr>
          <w:rFonts w:ascii="方正仿宋_GBK" w:eastAsia="方正仿宋_GBK"/>
          <w:bCs/>
          <w:color w:val="000000"/>
          <w:spacing w:val="-4"/>
        </w:rPr>
        <w:t>3</w:t>
      </w:r>
      <w:r>
        <w:rPr>
          <w:rFonts w:ascii="方正仿宋_GBK" w:eastAsia="方正仿宋_GBK" w:hint="eastAsia"/>
          <w:bCs/>
          <w:color w:val="000000"/>
          <w:spacing w:val="-4"/>
        </w:rPr>
        <w:t>．根据采购人需要，供应商人员须在实际开始提供技术服务前通过采购人的面试。</w:t>
      </w:r>
    </w:p>
    <w:p>
      <w:pPr>
        <w:adjustRightInd w:val="0"/>
        <w:snapToGrid w:val="0"/>
        <w:ind w:firstLineChars="200" w:firstLine="624"/>
        <w:rPr>
          <w:rFonts w:ascii="方正仿宋_GBK" w:eastAsia="方正仿宋_GBK"/>
          <w:bCs/>
          <w:color w:val="000000"/>
          <w:spacing w:val="-4"/>
        </w:rPr>
      </w:pPr>
      <w:r>
        <w:rPr>
          <w:rFonts w:ascii="方正仿宋_GBK" w:eastAsia="方正仿宋_GBK"/>
          <w:bCs/>
          <w:color w:val="000000"/>
          <w:spacing w:val="-4"/>
        </w:rPr>
        <w:t>4</w:t>
      </w:r>
      <w:r>
        <w:rPr>
          <w:rFonts w:ascii="方正仿宋_GBK" w:eastAsia="方正仿宋_GBK" w:hint="eastAsia"/>
          <w:bCs/>
          <w:color w:val="000000"/>
          <w:spacing w:val="-4"/>
        </w:rPr>
        <w:t>．后端开发工程师需熟练使用Ja</w:t>
      </w:r>
      <w:r>
        <w:rPr>
          <w:rFonts w:ascii="方正仿宋_GBK" w:eastAsia="方正仿宋_GBK"/>
          <w:bCs/>
          <w:color w:val="000000"/>
          <w:spacing w:val="-4"/>
        </w:rPr>
        <w:t>va</w:t>
      </w:r>
      <w:r>
        <w:rPr>
          <w:rFonts w:ascii="方正仿宋_GBK" w:eastAsia="方正仿宋_GBK" w:hint="eastAsia"/>
          <w:bCs/>
          <w:color w:val="000000"/>
          <w:spacing w:val="-4"/>
        </w:rPr>
        <w:t>开发,具备较强的SQL编写与调优能力</w:t>
      </w:r>
      <w:r>
        <w:rPr>
          <w:rFonts w:ascii="方正仿宋_GBK" w:eastAsia="方正仿宋_GBK"/>
          <w:bCs/>
          <w:color w:val="000000"/>
          <w:spacing w:val="-4"/>
        </w:rPr>
        <w:t>,</w:t>
      </w:r>
      <w:r>
        <w:rPr>
          <w:rFonts w:ascii="方正仿宋_GBK" w:eastAsia="方正仿宋_GBK" w:hint="eastAsia"/>
          <w:bCs/>
          <w:color w:val="000000"/>
          <w:spacing w:val="-4"/>
        </w:rPr>
        <w:t>熟练使用国产化数据库。</w:t>
      </w:r>
    </w:p>
    <w:p>
      <w:pPr>
        <w:adjustRightInd w:val="0"/>
        <w:snapToGrid w:val="0"/>
        <w:ind w:firstLineChars="200" w:firstLine="624"/>
        <w:rPr>
          <w:rFonts w:ascii="方正仿宋_GBK" w:eastAsia="方正仿宋_GBK"/>
          <w:bCs/>
          <w:color w:val="000000"/>
          <w:spacing w:val="-4"/>
        </w:rPr>
      </w:pPr>
      <w:r>
        <w:rPr>
          <w:rFonts w:ascii="方正仿宋_GBK" w:eastAsia="方正仿宋_GBK"/>
          <w:bCs/>
          <w:color w:val="000000"/>
          <w:spacing w:val="-4"/>
        </w:rPr>
        <w:t xml:space="preserve">5. </w:t>
      </w:r>
      <w:r>
        <w:rPr>
          <w:rFonts w:ascii="方正仿宋_GBK" w:eastAsia="方正仿宋_GBK" w:hint="eastAsia"/>
          <w:bCs/>
          <w:color w:val="000000"/>
          <w:spacing w:val="-4"/>
        </w:rPr>
        <w:t>前端工程师需熟练使用javascript、HTML、HTML5、CSS、 vue等主流前端类库、框架、工具等。</w:t>
      </w:r>
    </w:p>
    <w:p>
      <w:pPr>
        <w:pStyle w:val="2"/>
        <w:spacing w:line="240" w:lineRule="auto"/>
        <w:rPr>
          <w:rFonts w:hint="eastAsia"/>
        </w:rPr>
      </w:pPr>
      <w:r>
        <w:t>4.4</w:t>
      </w:r>
      <w:r>
        <w:rPr>
          <w:rFonts w:hint="eastAsia"/>
        </w:rPr>
        <w:t>服务标准</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服务期内应向采购人提供以下服务：</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1．工作时间供应商提供5</w:t>
      </w:r>
      <w:r>
        <w:rPr>
          <w:rFonts w:ascii="方正仿宋_GBK" w:eastAsia="方正仿宋_GBK"/>
          <w:bCs/>
          <w:spacing w:val="-4"/>
        </w:rPr>
        <w:t>×</w:t>
      </w:r>
      <w:r>
        <w:rPr>
          <w:rFonts w:ascii="方正仿宋_GBK" w:eastAsia="方正仿宋_GBK" w:hint="eastAsia"/>
          <w:bCs/>
          <w:spacing w:val="-4"/>
        </w:rPr>
        <w:t>8小时即时响应服务；服务类别包括软件开发、测试、运维、技术支持等。</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2．非工作时间供应商提供7</w:t>
      </w:r>
      <w:r>
        <w:rPr>
          <w:rFonts w:ascii="方正仿宋_GBK" w:eastAsia="方正仿宋_GBK"/>
          <w:bCs/>
          <w:spacing w:val="-4"/>
        </w:rPr>
        <w:t>×</w:t>
      </w:r>
      <w:r>
        <w:rPr>
          <w:rFonts w:ascii="方正仿宋_GBK" w:eastAsia="方正仿宋_GBK" w:hint="eastAsia"/>
          <w:bCs/>
          <w:spacing w:val="-4"/>
        </w:rPr>
        <w:t>24小时电话、邮件、远程支持服务。</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3.系统出现故障提供现场技术支持，响应时间为：10分钟内电话响应，2小时内提供现场服务和故障响应。</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4.提供紧急情况专人电话支持；提供现场技术支持服务。</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5.如采购人需要，中标人可安排专人节假日值班。</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6.根据系统运行情况，定期向采购人反馈发现的问题，并形成改进建议及时上报采购人。</w:t>
      </w:r>
    </w:p>
    <w:p>
      <w:pPr>
        <w:pStyle w:val="2"/>
        <w:spacing w:line="240" w:lineRule="auto"/>
        <w:rPr>
          <w:rFonts w:hint="eastAsia"/>
        </w:rPr>
      </w:pPr>
      <w:r>
        <w:t>4.5</w:t>
      </w:r>
      <w:r>
        <w:rPr>
          <w:rFonts w:hint="eastAsia"/>
        </w:rPr>
        <w:t>培训标准</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1．供应商需根据系统功能变更情况及时维护系统操作手册，及时向采购人提供。</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2．供应商需对采购人提供持续1周的跟踪培训服务，服务形式按采购人要求，包括现场、远程桌面、视频会议、即时通讯工具等。</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3．服务期内系统功能出现重大变更，在组织业务测试前应向采购人提供1周的集中培训服务。</w:t>
      </w:r>
    </w:p>
    <w:p>
      <w:pPr>
        <w:pStyle w:val="1"/>
        <w:spacing w:line="240" w:lineRule="auto"/>
      </w:pPr>
      <w:r>
        <w:t>5.</w:t>
      </w:r>
      <w:r>
        <w:rPr>
          <w:rFonts w:eastAsia="方正仿宋_GBK" w:hint="eastAsia"/>
        </w:rPr>
        <w:t>其他内容</w:t>
      </w:r>
    </w:p>
    <w:p>
      <w:pPr>
        <w:pStyle w:val="2"/>
        <w:spacing w:line="240" w:lineRule="auto"/>
        <w:rPr>
          <w:rFonts w:hint="eastAsia"/>
        </w:rPr>
      </w:pPr>
      <w:r>
        <w:t>5.1</w:t>
      </w:r>
      <w:r>
        <w:rPr>
          <w:rFonts w:hint="eastAsia"/>
        </w:rPr>
        <w:t>知识产权归属</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服务期内，供应商为采购人提供服务而产生的技术成果的专利申请权、计算机软件的著作权、技术秘密以及技术资料的所有权及其它任何成果的知识产权全部归采购人所有。采购人对供应商进行透漏并不意味着任何所有权、专利权的转让。</w:t>
      </w:r>
    </w:p>
    <w:p>
      <w:pPr>
        <w:pStyle w:val="2"/>
        <w:spacing w:line="240" w:lineRule="auto"/>
        <w:rPr>
          <w:rFonts w:hint="eastAsia"/>
        </w:rPr>
      </w:pPr>
      <w:r>
        <w:t>5.2</w:t>
      </w:r>
      <w:r>
        <w:rPr>
          <w:rFonts w:hint="eastAsia"/>
        </w:rPr>
        <w:t>安全保密要求</w:t>
      </w:r>
    </w:p>
    <w:p>
      <w:pPr>
        <w:adjustRightInd w:val="0"/>
        <w:snapToGrid w:val="0"/>
        <w:ind w:firstLineChars="200" w:firstLine="624"/>
        <w:rPr>
          <w:rFonts w:ascii="方正仿宋_GBK" w:eastAsia="方正仿宋_GBK"/>
          <w:bCs/>
          <w:spacing w:val="-4"/>
        </w:rPr>
      </w:pPr>
      <w:r>
        <w:rPr>
          <w:rFonts w:ascii="方正仿宋_GBK" w:eastAsia="方正仿宋_GBK" w:hint="eastAsia"/>
          <w:bCs/>
          <w:spacing w:val="-4"/>
        </w:rPr>
        <w:t>供应商应对在采购人工作过程中所获知的全部技术资料和技术秘密采取保密措施。除非法律法规要求或取得采购人事先书面同意，供应商不得对外透漏。在本项目服务期结束后，供应商保证归还采购人提供的所有技术资料和文件，并承诺不保留任何副本。供应商应保证供应商人员保守其获悉的采购人秘密，并采取必要措施确保供应商人员遵守上述有关知识产权、保密等方面的约定。为保护采购人的权益不受侵犯，供应商须按采购人要求签订保密协议。</w:t>
      </w:r>
    </w:p>
    <w:sectPr>
      <w:footerReference w:type="default" r:id="rId2"/>
      <w:footerReference w:type="even" r:id="rId3"/>
      <w:pgSz w:w="11906" w:h="16838"/>
      <w:pgMar w:top="1440" w:right="1800" w:bottom="1440" w:left="1800" w:header="851" w:footer="992" w:gutter="0"/>
      <w:pgNumType w:start="1"/>
      <w:docGrid w:type="lines" w:linePitch="435"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xi Sans">
    <w:altName w:val="Times New Roman"/>
    <w:panose1 w:val="00000000000000000000"/>
    <w:charset w:val="00"/>
    <w:family w:val="auto"/>
    <w:pitch w:val="variable"/>
  </w:font>
  <w:font w:name="等线">
    <w:altName w:val="黑体"/>
    <w:panose1 w:val="02010600030101010101"/>
    <w:charset w:val="86"/>
    <w:family w:val="auto"/>
    <w:pitch w:val="variable"/>
    <w:sig w:usb0="A00002BF" w:usb1="38CF7CFA" w:usb2="00000016" w:usb3="00000000" w:csb0="0004000F" w:csb1="00000000"/>
  </w:font>
  <w:font w:name="Arial">
    <w:altName w:val="DejaVu Sans"/>
    <w:panose1 w:val="020B0604020202020204"/>
    <w:charset w:val="00"/>
    <w:family w:val="swiss"/>
    <w:pitch w:val="variable"/>
    <w:sig w:usb0="E0002EFF" w:usb1="C000785B" w:usb2="00000009" w:usb3="00000000" w:csb0="000001FF" w:csb1="00000000"/>
  </w:font>
  <w:font w:name="Calibri">
    <w:altName w:val="DejaVu Sans"/>
    <w:panose1 w:val="020F05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34"/>
      </w:rPr>
      <w:fldChar w:fldCharType="begin"/>
    </w:r>
    <w:r>
      <w:rPr>
        <w:rStyle w:val="134"/>
      </w:rPr>
      <w:instrText>Page</w:instrText>
    </w:r>
    <w:r>
      <w:rPr>
        <w:rStyle w:val="134"/>
      </w:rPr>
      <w:fldChar w:fldCharType="separate"/>
    </w:r>
    <w:r>
      <w:rPr>
        <w:rStyle w:val="134"/>
      </w:rPr>
      <w:t>2</w:t>
    </w:r>
    <w:r>
      <w:rPr>
        <w:rStyle w:val="134"/>
      </w:rPr>
      <w:fldChar w:fldCharType="end"/>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34"/>
      </w:rPr>
      <w:fldChar w:fldCharType="begin"/>
    </w:r>
    <w:r>
      <w:rPr>
        <w:rStyle w:val="134"/>
      </w:rPr>
      <w:instrText>Page</w:instrText>
    </w:r>
    <w:r>
      <w:rPr>
        <w:rStyle w:val="134"/>
      </w:rPr>
      <w:fldChar w:fldCharType="separate"/>
    </w:r>
    <w:r>
      <w:rPr>
        <w:rStyle w:val="134"/>
      </w:rPr>
      <w:t>1</w:t>
    </w:r>
    <w:r>
      <w:rPr>
        <w:rStyle w:val="134"/>
      </w:rP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1FB46A3E"/>
    <w:lvl w:ilvl="0">
      <w:start w:val="1"/>
      <w:numFmt w:val="decimal"/>
      <w:lvlRestart w:val="0"/>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bordersDoNotSurroundHeader/>
  <w:bordersDoNotSurroundFooter/>
  <w:defaultTabStop w:val="420"/>
  <w:drawingGridHorizontalSpacing w:val="160"/>
  <w:drawingGridVerticalSpacing w:val="435"/>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WMxY2U1YzJjNjg2ZjQyMmY2ZTIzNzFmNDE4ZjJkZW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2"/>
      <w:szCs w:val="3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100" w:beforeAutospacing="1" w:after="100" w:afterAutospacing="1"/>
      <w:jc w:val="left"/>
    </w:pPr>
    <w:rPr>
      <w:kern w:val="0"/>
      <w:sz w:val="24"/>
    </w:rPr>
  </w:style>
  <w:style w:type="paragraph" w:customStyle="1" w:styleId="19">
    <w:name w:val="样式 三号"/>
    <w:pPr>
      <w:widowControl w:val="0"/>
      <w:jc w:val="both"/>
    </w:pPr>
    <w:rPr>
      <w:rFonts w:ascii="Times New Roman" w:eastAsia="宋体" w:cs="Times New Roman" w:hAnsi="Times New Roman"/>
      <w:kern w:val="2"/>
      <w:sz w:val="32"/>
      <w:szCs w:val="32"/>
      <w:lang w:val="en-US" w:eastAsia="zh-CN" w:bidi="ar-SA"/>
    </w:rPr>
  </w:style>
  <w:style w:type="paragraph" w:customStyle="1" w:styleId="20">
    <w:name w:val="样式 1 三号"/>
    <w:pPr>
      <w:widowControl w:val="0"/>
      <w:jc w:val="both"/>
    </w:pPr>
    <w:rPr>
      <w:rFonts w:ascii="Times New Roman" w:eastAsia="宋体" w:cs="Times New Roman" w:hAnsi="Times New Roman"/>
      <w:kern w:val="2"/>
      <w:sz w:val="32"/>
      <w:szCs w:val="32"/>
      <w:lang w:val="en-US" w:eastAsia="zh-CN" w:bidi="ar-SA"/>
    </w:rPr>
  </w:style>
  <w:style w:type="paragraph" w:customStyle="1" w:styleId="21">
    <w:name w:val="样式 2 三号"/>
    <w:next w:val="22"/>
    <w:pPr>
      <w:widowControl w:val="0"/>
      <w:jc w:val="both"/>
    </w:pPr>
    <w:rPr>
      <w:rFonts w:ascii="Times New Roman" w:eastAsia="宋体" w:cs="Times New Roman" w:hAnsi="Times New Roman"/>
      <w:kern w:val="2"/>
      <w:sz w:val="32"/>
      <w:szCs w:val="32"/>
      <w:lang w:val="en-US" w:eastAsia="zh-CN" w:bidi="ar-SA"/>
    </w:rPr>
  </w:style>
  <w:style w:type="paragraph" w:customStyle="1" w:styleId="22">
    <w:name w:val="样式 5 三号"/>
    <w:pPr>
      <w:widowControl w:val="0"/>
      <w:jc w:val="both"/>
    </w:pPr>
    <w:rPr>
      <w:rFonts w:ascii="Times New Roman" w:eastAsia="宋体" w:cs="Times New Roman" w:hAnsi="Times New Roman"/>
      <w:kern w:val="2"/>
      <w:sz w:val="32"/>
      <w:szCs w:val="32"/>
      <w:lang w:val="en-US" w:eastAsia="zh-CN" w:bidi="ar-SA"/>
    </w:rPr>
  </w:style>
  <w:style w:type="paragraph" w:customStyle="1" w:styleId="23">
    <w:name w:val="样式 3 三号"/>
    <w:next w:val="24"/>
    <w:pPr>
      <w:widowControl w:val="0"/>
      <w:jc w:val="both"/>
    </w:pPr>
    <w:rPr>
      <w:rFonts w:ascii="Times New Roman" w:eastAsia="宋体" w:cs="Times New Roman" w:hAnsi="Times New Roman"/>
      <w:kern w:val="2"/>
      <w:sz w:val="32"/>
      <w:szCs w:val="28"/>
      <w:lang w:val="en-US" w:eastAsia="zh-CN" w:bidi="ar-SA"/>
    </w:rPr>
  </w:style>
  <w:style w:type="paragraph" w:customStyle="1" w:styleId="24">
    <w:name w:val="样式 9 三号"/>
    <w:pPr>
      <w:widowControl w:val="0"/>
      <w:jc w:val="both"/>
    </w:pPr>
    <w:rPr>
      <w:rFonts w:ascii="Times New Roman" w:eastAsia="宋体" w:cs="Times New Roman" w:hAnsi="Times New Roman"/>
      <w:kern w:val="2"/>
      <w:sz w:val="32"/>
      <w:szCs w:val="32"/>
      <w:lang w:val="en-US" w:eastAsia="zh-CN" w:bidi="ar-SA"/>
    </w:rPr>
  </w:style>
  <w:style w:type="paragraph" w:customStyle="1" w:styleId="25">
    <w:name w:val="样式 4 三号"/>
    <w:pPr>
      <w:widowControl w:val="0"/>
      <w:jc w:val="both"/>
    </w:pPr>
    <w:rPr>
      <w:rFonts w:ascii="Times New Roman" w:eastAsia="宋体" w:cs="Times New Roman" w:hAnsi="Times New Roman"/>
      <w:kern w:val="2"/>
      <w:sz w:val="32"/>
      <w:szCs w:val="32"/>
      <w:lang w:val="en-US" w:eastAsia="zh-CN" w:bidi="ar-SA"/>
    </w:rPr>
  </w:style>
  <w:style w:type="paragraph" w:customStyle="1" w:styleId="26">
    <w:name w:val="样式 小四"/>
    <w:pPr>
      <w:widowControl w:val="0"/>
    </w:pPr>
    <w:rPr>
      <w:rFonts w:ascii="宋体" w:eastAsia="宋体" w:cs="Times New Roman"/>
      <w:kern w:val="2"/>
      <w:sz w:val="24"/>
      <w:szCs w:val="21"/>
      <w:lang w:val="en-US" w:eastAsia="zh-CN" w:bidi="ar-SA"/>
    </w:rPr>
  </w:style>
  <w:style w:type="paragraph" w:customStyle="1" w:styleId="27">
    <w:name w:val="样式 1 小四"/>
    <w:pPr>
      <w:widowControl w:val="0"/>
    </w:pPr>
    <w:rPr>
      <w:rFonts w:ascii="宋体" w:eastAsia="宋体" w:cs="Times New Roman"/>
      <w:kern w:val="2"/>
      <w:sz w:val="24"/>
      <w:szCs w:val="21"/>
      <w:lang w:val="en-US" w:eastAsia="zh-CN" w:bidi="ar-SA"/>
    </w:rPr>
  </w:style>
  <w:style w:type="paragraph" w:customStyle="1" w:styleId="28">
    <w:name w:val="样式 2 小四"/>
    <w:pPr>
      <w:widowControl w:val="0"/>
    </w:pPr>
    <w:rPr>
      <w:rFonts w:ascii="宋体" w:eastAsia="宋体" w:cs="Times New Roman"/>
      <w:kern w:val="2"/>
      <w:sz w:val="24"/>
      <w:szCs w:val="21"/>
      <w:lang w:val="en-US" w:eastAsia="zh-CN" w:bidi="ar-SA"/>
    </w:rPr>
  </w:style>
  <w:style w:type="paragraph" w:customStyle="1" w:styleId="29">
    <w:name w:val="样式 6 三号"/>
    <w:pPr>
      <w:widowControl w:val="0"/>
      <w:jc w:val="both"/>
    </w:pPr>
    <w:rPr>
      <w:rFonts w:ascii="Times New Roman" w:eastAsia="宋体" w:cs="Times New Roman" w:hAnsi="Times New Roman"/>
      <w:kern w:val="2"/>
      <w:sz w:val="32"/>
      <w:szCs w:val="32"/>
      <w:lang w:val="en-US" w:eastAsia="zh-CN" w:bidi="ar-SA"/>
    </w:rPr>
  </w:style>
  <w:style w:type="paragraph" w:customStyle="1" w:styleId="30">
    <w:name w:val="样式 7 三号"/>
    <w:pPr>
      <w:widowControl w:val="0"/>
      <w:jc w:val="both"/>
    </w:pPr>
    <w:rPr>
      <w:rFonts w:ascii="Times New Roman" w:eastAsia="宋体" w:cs="Times New Roman" w:hAnsi="Times New Roman"/>
      <w:kern w:val="2"/>
      <w:sz w:val="32"/>
      <w:szCs w:val="32"/>
      <w:lang w:val="en-US" w:eastAsia="zh-CN" w:bidi="ar-SA"/>
    </w:rPr>
  </w:style>
  <w:style w:type="paragraph" w:customStyle="1" w:styleId="31">
    <w:name w:val="样式 8 三号"/>
    <w:pPr>
      <w:widowControl w:val="0"/>
      <w:jc w:val="both"/>
    </w:pPr>
    <w:rPr>
      <w:rFonts w:ascii="Times New Roman" w:eastAsia="宋体" w:cs="Times New Roman" w:hAnsi="Times New Roman"/>
      <w:kern w:val="2"/>
      <w:sz w:val="32"/>
      <w:szCs w:val="32"/>
      <w:lang w:val="en-US" w:eastAsia="zh-CN" w:bidi="ar-SA"/>
    </w:rPr>
  </w:style>
  <w:style w:type="paragraph" w:customStyle="1" w:styleId="32">
    <w:name w:val="样式 10 三号"/>
    <w:pPr>
      <w:widowControl w:val="0"/>
      <w:jc w:val="both"/>
    </w:pPr>
    <w:rPr>
      <w:rFonts w:ascii="Times New Roman" w:eastAsia="宋体" w:cs="Times New Roman" w:hAnsi="Times New Roman"/>
      <w:kern w:val="2"/>
      <w:sz w:val="32"/>
      <w:szCs w:val="32"/>
      <w:lang w:val="en-US" w:eastAsia="zh-CN" w:bidi="ar-SA"/>
    </w:rPr>
  </w:style>
  <w:style w:type="paragraph" w:customStyle="1" w:styleId="33">
    <w:name w:val="样式 11 三号"/>
    <w:pPr>
      <w:widowControl w:val="0"/>
      <w:jc w:val="both"/>
    </w:pPr>
    <w:rPr>
      <w:rFonts w:ascii="Times New Roman" w:eastAsia="宋体" w:cs="Times New Roman" w:hAnsi="Times New Roman"/>
      <w:kern w:val="2"/>
      <w:sz w:val="32"/>
      <w:szCs w:val="32"/>
      <w:lang w:val="en-US" w:eastAsia="zh-CN" w:bidi="ar-SA"/>
    </w:rPr>
  </w:style>
  <w:style w:type="paragraph" w:customStyle="1" w:styleId="34">
    <w:name w:val="样式 12 三号"/>
    <w:pPr>
      <w:widowControl w:val="0"/>
      <w:jc w:val="both"/>
    </w:pPr>
    <w:rPr>
      <w:rFonts w:ascii="Times New Roman" w:eastAsia="宋体" w:cs="Times New Roman" w:hAnsi="Times New Roman"/>
      <w:kern w:val="2"/>
      <w:sz w:val="32"/>
      <w:szCs w:val="32"/>
      <w:lang w:val="en-US" w:eastAsia="zh-CN" w:bidi="ar-SA"/>
    </w:rPr>
  </w:style>
  <w:style w:type="paragraph" w:customStyle="1" w:styleId="35">
    <w:name w:val="样式 10 磅"/>
    <w:pPr>
      <w:widowControl w:val="0"/>
      <w:jc w:val="both"/>
    </w:pPr>
    <w:rPr>
      <w:rFonts w:ascii="等线" w:eastAsia="等线" w:cs="Arial"/>
      <w:kern w:val="2"/>
      <w:sz w:val="21"/>
      <w:szCs w:val="22"/>
      <w:lang w:val="en-US" w:eastAsia="zh-CN" w:bidi="ar-SA"/>
    </w:rPr>
  </w:style>
  <w:style w:type="paragraph" w:customStyle="1" w:styleId="36">
    <w:name w:val="样式 1 10 磅"/>
    <w:pPr>
      <w:widowControl w:val="0"/>
      <w:jc w:val="both"/>
    </w:pPr>
    <w:rPr>
      <w:rFonts w:ascii="等线" w:eastAsia="等线" w:cs="Arial"/>
      <w:kern w:val="2"/>
      <w:sz w:val="21"/>
      <w:szCs w:val="22"/>
      <w:lang w:val="en-US" w:eastAsia="zh-CN" w:bidi="ar-SA"/>
    </w:rPr>
  </w:style>
  <w:style w:type="paragraph" w:customStyle="1" w:styleId="37">
    <w:name w:val="样式 2 10 磅"/>
    <w:pPr>
      <w:widowControl w:val="0"/>
      <w:jc w:val="both"/>
    </w:pPr>
    <w:rPr>
      <w:rFonts w:ascii="等线" w:eastAsia="等线" w:cs="Arial"/>
      <w:kern w:val="2"/>
      <w:sz w:val="21"/>
      <w:szCs w:val="22"/>
      <w:lang w:val="en-US" w:eastAsia="zh-CN" w:bidi="ar-SA"/>
    </w:rPr>
  </w:style>
  <w:style w:type="paragraph" w:customStyle="1" w:styleId="38">
    <w:name w:val="样式 3 10 磅"/>
    <w:pPr>
      <w:widowControl w:val="0"/>
      <w:jc w:val="both"/>
    </w:pPr>
    <w:rPr>
      <w:rFonts w:ascii="等线" w:eastAsia="等线" w:cs="Arial"/>
      <w:kern w:val="2"/>
      <w:sz w:val="21"/>
      <w:szCs w:val="22"/>
      <w:lang w:val="en-US" w:eastAsia="zh-CN" w:bidi="ar-SA"/>
    </w:rPr>
  </w:style>
  <w:style w:type="paragraph" w:customStyle="1" w:styleId="39">
    <w:name w:val="样式 4 10 磅"/>
    <w:pPr>
      <w:widowControl w:val="0"/>
      <w:jc w:val="both"/>
    </w:pPr>
    <w:rPr>
      <w:rFonts w:ascii="等线" w:eastAsia="等线" w:cs="Arial"/>
      <w:kern w:val="2"/>
      <w:sz w:val="21"/>
      <w:szCs w:val="22"/>
      <w:lang w:val="en-US" w:eastAsia="zh-CN" w:bidi="ar-SA"/>
    </w:rPr>
  </w:style>
  <w:style w:type="paragraph" w:customStyle="1" w:styleId="40">
    <w:name w:val="样式 13 三号"/>
    <w:pPr>
      <w:widowControl w:val="0"/>
      <w:jc w:val="both"/>
    </w:pPr>
    <w:rPr>
      <w:rFonts w:ascii="Times New Roman" w:eastAsia="宋体" w:cs="Times New Roman" w:hAnsi="Times New Roman"/>
      <w:kern w:val="2"/>
      <w:sz w:val="32"/>
      <w:szCs w:val="32"/>
      <w:lang w:val="en-US" w:eastAsia="zh-CN" w:bidi="ar-SA"/>
    </w:rPr>
  </w:style>
  <w:style w:type="paragraph" w:customStyle="1" w:styleId="41">
    <w:name w:val="样式 5 10 磅"/>
    <w:pPr>
      <w:widowControl w:val="0"/>
      <w:jc w:val="both"/>
    </w:pPr>
    <w:rPr>
      <w:rFonts w:ascii="等线" w:eastAsia="等线" w:cs="Arial"/>
      <w:kern w:val="2"/>
      <w:sz w:val="21"/>
      <w:szCs w:val="22"/>
      <w:lang w:val="en-US" w:eastAsia="zh-CN" w:bidi="ar-SA"/>
    </w:rPr>
  </w:style>
  <w:style w:type="paragraph" w:customStyle="1" w:styleId="42">
    <w:name w:val="样式 6 10 磅"/>
    <w:pPr>
      <w:widowControl w:val="0"/>
      <w:jc w:val="both"/>
    </w:pPr>
    <w:rPr>
      <w:rFonts w:ascii="等线" w:eastAsia="等线" w:cs="Arial"/>
      <w:kern w:val="2"/>
      <w:sz w:val="21"/>
      <w:szCs w:val="22"/>
      <w:lang w:val="en-US" w:eastAsia="zh-CN" w:bidi="ar-SA"/>
    </w:rPr>
  </w:style>
  <w:style w:type="paragraph" w:customStyle="1" w:styleId="43">
    <w:name w:val="样式 14 三号"/>
    <w:pPr>
      <w:widowControl w:val="0"/>
      <w:jc w:val="both"/>
    </w:pPr>
    <w:rPr>
      <w:rFonts w:ascii="Times New Roman" w:eastAsia="宋体" w:cs="Times New Roman" w:hAnsi="Times New Roman"/>
      <w:kern w:val="2"/>
      <w:sz w:val="32"/>
      <w:szCs w:val="32"/>
      <w:lang w:val="en-US" w:eastAsia="zh-CN" w:bidi="ar-SA"/>
    </w:rPr>
  </w:style>
  <w:style w:type="paragraph" w:customStyle="1" w:styleId="44">
    <w:name w:val="样式 15 三号"/>
    <w:pPr>
      <w:widowControl w:val="0"/>
      <w:jc w:val="both"/>
    </w:pPr>
    <w:rPr>
      <w:rFonts w:ascii="Times New Roman" w:eastAsia="宋体" w:cs="Times New Roman" w:hAnsi="Times New Roman"/>
      <w:kern w:val="2"/>
      <w:sz w:val="32"/>
      <w:szCs w:val="32"/>
      <w:lang w:val="en-US" w:eastAsia="zh-CN" w:bidi="ar-SA"/>
    </w:rPr>
  </w:style>
  <w:style w:type="paragraph" w:customStyle="1" w:styleId="45">
    <w:name w:val="样式 16 三号"/>
    <w:pPr>
      <w:widowControl w:val="0"/>
      <w:jc w:val="both"/>
    </w:pPr>
    <w:rPr>
      <w:rFonts w:ascii="Times New Roman" w:eastAsia="宋体" w:cs="Times New Roman" w:hAnsi="Times New Roman"/>
      <w:kern w:val="2"/>
      <w:sz w:val="32"/>
      <w:szCs w:val="32"/>
      <w:lang w:val="en-US" w:eastAsia="zh-CN" w:bidi="ar-SA"/>
    </w:rPr>
  </w:style>
  <w:style w:type="paragraph" w:customStyle="1" w:styleId="46">
    <w:name w:val="样式 17 三号"/>
    <w:pPr>
      <w:widowControl w:val="0"/>
      <w:jc w:val="both"/>
    </w:pPr>
    <w:rPr>
      <w:rFonts w:ascii="Times New Roman" w:eastAsia="宋体" w:cs="Times New Roman" w:hAnsi="Times New Roman"/>
      <w:kern w:val="2"/>
      <w:sz w:val="32"/>
      <w:szCs w:val="32"/>
      <w:lang w:val="en-US" w:eastAsia="zh-CN" w:bidi="ar-SA"/>
    </w:rPr>
  </w:style>
  <w:style w:type="paragraph" w:customStyle="1" w:styleId="47">
    <w:name w:val="样式 7 10 磅"/>
    <w:pPr>
      <w:widowControl w:val="0"/>
      <w:jc w:val="both"/>
    </w:pPr>
    <w:rPr>
      <w:rFonts w:ascii="等线" w:eastAsia="等线" w:cs="Arial"/>
      <w:kern w:val="2"/>
      <w:sz w:val="21"/>
      <w:szCs w:val="22"/>
      <w:lang w:val="en-US" w:eastAsia="zh-CN" w:bidi="ar-SA"/>
    </w:rPr>
  </w:style>
  <w:style w:type="paragraph" w:customStyle="1" w:styleId="48">
    <w:name w:val="样式 8 10 磅"/>
    <w:pPr>
      <w:widowControl w:val="0"/>
      <w:jc w:val="both"/>
    </w:pPr>
    <w:rPr>
      <w:rFonts w:ascii="等线" w:eastAsia="等线" w:cs="Arial"/>
      <w:kern w:val="2"/>
      <w:sz w:val="21"/>
      <w:szCs w:val="22"/>
      <w:lang w:val="en-US" w:eastAsia="zh-CN" w:bidi="ar-SA"/>
    </w:rPr>
  </w:style>
  <w:style w:type="paragraph" w:customStyle="1" w:styleId="49">
    <w:name w:val="样式 18 三号"/>
    <w:pPr>
      <w:widowControl w:val="0"/>
      <w:jc w:val="both"/>
    </w:pPr>
    <w:rPr>
      <w:rFonts w:ascii="Times New Roman" w:eastAsia="宋体" w:cs="Times New Roman" w:hAnsi="Times New Roman"/>
      <w:kern w:val="2"/>
      <w:sz w:val="32"/>
      <w:szCs w:val="32"/>
      <w:lang w:val="en-US" w:eastAsia="zh-CN" w:bidi="ar-SA"/>
    </w:rPr>
  </w:style>
  <w:style w:type="paragraph" w:customStyle="1" w:styleId="50">
    <w:name w:val="样式 19 三号"/>
    <w:pPr>
      <w:widowControl w:val="0"/>
      <w:jc w:val="both"/>
    </w:pPr>
    <w:rPr>
      <w:rFonts w:ascii="Times New Roman" w:eastAsia="宋体" w:cs="Times New Roman" w:hAnsi="Times New Roman"/>
      <w:kern w:val="2"/>
      <w:sz w:val="32"/>
      <w:szCs w:val="32"/>
      <w:lang w:val="en-US" w:eastAsia="zh-CN" w:bidi="ar-SA"/>
    </w:rPr>
  </w:style>
  <w:style w:type="paragraph" w:customStyle="1" w:styleId="51">
    <w:name w:val="样式 9 10 磅"/>
    <w:pPr>
      <w:widowControl w:val="0"/>
      <w:jc w:val="both"/>
    </w:pPr>
    <w:rPr>
      <w:rFonts w:ascii="Calibri" w:eastAsia="宋体" w:cs="Times New Roman" w:hAnsi="Calibri"/>
      <w:kern w:val="2"/>
      <w:sz w:val="21"/>
      <w:szCs w:val="24"/>
      <w:lang w:val="en-US" w:eastAsia="zh-CN" w:bidi="ar-SA"/>
    </w:rPr>
  </w:style>
  <w:style w:type="paragraph" w:customStyle="1" w:styleId="52">
    <w:name w:val="样式 20 三号"/>
    <w:pPr>
      <w:widowControl w:val="0"/>
      <w:jc w:val="both"/>
    </w:pPr>
    <w:rPr>
      <w:rFonts w:ascii="Times New Roman" w:eastAsia="宋体" w:cs="Times New Roman" w:hAnsi="Times New Roman"/>
      <w:kern w:val="2"/>
      <w:sz w:val="32"/>
      <w:szCs w:val="32"/>
      <w:lang w:val="en-US" w:eastAsia="zh-CN" w:bidi="ar-SA"/>
    </w:rPr>
  </w:style>
  <w:style w:type="paragraph" w:customStyle="1" w:styleId="53">
    <w:name w:val="样式 10 10 磅"/>
    <w:pPr>
      <w:widowControl w:val="0"/>
      <w:jc w:val="both"/>
    </w:pPr>
    <w:rPr>
      <w:rFonts w:ascii="Calibri" w:eastAsia="宋体" w:cs="Times New Roman" w:hAnsi="Calibri"/>
      <w:kern w:val="2"/>
      <w:sz w:val="21"/>
      <w:szCs w:val="24"/>
      <w:lang w:val="en-US" w:eastAsia="zh-CN" w:bidi="ar-SA"/>
    </w:rPr>
  </w:style>
  <w:style w:type="paragraph" w:customStyle="1" w:styleId="54">
    <w:name w:val="样式 11 10 磅"/>
    <w:pPr>
      <w:widowControl w:val="0"/>
      <w:jc w:val="both"/>
    </w:pPr>
    <w:rPr>
      <w:rFonts w:ascii="Calibri" w:eastAsia="宋体" w:cs="Times New Roman" w:hAnsi="Calibri"/>
      <w:kern w:val="2"/>
      <w:sz w:val="21"/>
      <w:szCs w:val="24"/>
      <w:lang w:val="en-US" w:eastAsia="zh-CN" w:bidi="ar-SA"/>
    </w:rPr>
  </w:style>
  <w:style w:type="paragraph" w:customStyle="1" w:styleId="55">
    <w:name w:val="样式 21 三号"/>
    <w:pPr>
      <w:widowControl w:val="0"/>
      <w:jc w:val="both"/>
    </w:pPr>
    <w:rPr>
      <w:rFonts w:ascii="Times New Roman" w:eastAsia="宋体" w:cs="Times New Roman" w:hAnsi="Times New Roman"/>
      <w:kern w:val="2"/>
      <w:sz w:val="32"/>
      <w:szCs w:val="32"/>
      <w:lang w:val="en-US" w:eastAsia="zh-CN" w:bidi="ar-SA"/>
    </w:rPr>
  </w:style>
  <w:style w:type="paragraph" w:customStyle="1" w:styleId="56">
    <w:name w:val="样式 12 10 磅"/>
    <w:pPr>
      <w:widowControl w:val="0"/>
      <w:jc w:val="both"/>
    </w:pPr>
    <w:rPr>
      <w:rFonts w:ascii="Calibri" w:eastAsia="宋体" w:cs="Times New Roman" w:hAnsi="Calibri"/>
      <w:kern w:val="2"/>
      <w:sz w:val="21"/>
      <w:szCs w:val="24"/>
      <w:lang w:val="en-US" w:eastAsia="zh-CN" w:bidi="ar-SA"/>
    </w:rPr>
  </w:style>
  <w:style w:type="paragraph" w:customStyle="1" w:styleId="57">
    <w:name w:val="样式 22 三号"/>
    <w:pPr>
      <w:widowControl w:val="0"/>
      <w:jc w:val="both"/>
    </w:pPr>
    <w:rPr>
      <w:rFonts w:ascii="Times New Roman" w:eastAsia="宋体" w:cs="Times New Roman" w:hAnsi="Times New Roman"/>
      <w:kern w:val="2"/>
      <w:sz w:val="32"/>
      <w:szCs w:val="32"/>
      <w:lang w:val="en-US" w:eastAsia="zh-CN" w:bidi="ar-SA"/>
    </w:rPr>
  </w:style>
  <w:style w:type="paragraph" w:customStyle="1" w:styleId="58">
    <w:name w:val="样式 13 10 磅"/>
    <w:pPr>
      <w:widowControl w:val="0"/>
      <w:jc w:val="both"/>
    </w:pPr>
    <w:rPr>
      <w:rFonts w:ascii="Calibri" w:eastAsia="宋体" w:cs="Times New Roman" w:hAnsi="Calibri"/>
      <w:kern w:val="2"/>
      <w:sz w:val="21"/>
      <w:szCs w:val="24"/>
      <w:lang w:val="en-US" w:eastAsia="zh-CN" w:bidi="ar-SA"/>
    </w:rPr>
  </w:style>
  <w:style w:type="paragraph" w:customStyle="1" w:styleId="59">
    <w:name w:val="样式 14 10 磅"/>
    <w:pPr>
      <w:widowControl w:val="0"/>
      <w:jc w:val="both"/>
    </w:pPr>
    <w:rPr>
      <w:rFonts w:ascii="Calibri" w:eastAsia="宋体" w:cs="Times New Roman" w:hAnsi="Calibri"/>
      <w:kern w:val="2"/>
      <w:sz w:val="21"/>
      <w:szCs w:val="24"/>
      <w:lang w:val="en-US" w:eastAsia="zh-CN" w:bidi="ar-SA"/>
    </w:rPr>
  </w:style>
  <w:style w:type="paragraph" w:customStyle="1" w:styleId="60">
    <w:name w:val="样式 15 10 磅"/>
    <w:pPr>
      <w:widowControl w:val="0"/>
      <w:jc w:val="both"/>
    </w:pPr>
    <w:rPr>
      <w:rFonts w:ascii="Calibri" w:eastAsia="宋体" w:cs="Times New Roman" w:hAnsi="Calibri"/>
      <w:kern w:val="2"/>
      <w:sz w:val="21"/>
      <w:szCs w:val="24"/>
      <w:lang w:val="en-US" w:eastAsia="zh-CN" w:bidi="ar-SA"/>
    </w:rPr>
  </w:style>
  <w:style w:type="paragraph" w:customStyle="1" w:styleId="61">
    <w:name w:val="样式 16 10 磅"/>
    <w:pPr>
      <w:widowControl w:val="0"/>
      <w:jc w:val="both"/>
    </w:pPr>
    <w:rPr>
      <w:rFonts w:ascii="Calibri" w:eastAsia="宋体" w:cs="Times New Roman" w:hAnsi="Calibri"/>
      <w:kern w:val="2"/>
      <w:sz w:val="21"/>
      <w:szCs w:val="24"/>
      <w:lang w:val="en-US" w:eastAsia="zh-CN" w:bidi="ar-SA"/>
    </w:rPr>
  </w:style>
  <w:style w:type="paragraph" w:customStyle="1" w:styleId="62">
    <w:name w:val="样式 17 10 磅"/>
    <w:pPr>
      <w:widowControl w:val="0"/>
      <w:jc w:val="both"/>
    </w:pPr>
    <w:rPr>
      <w:rFonts w:ascii="Calibri" w:eastAsia="宋体" w:cs="Times New Roman" w:hAnsi="Calibri"/>
      <w:kern w:val="2"/>
      <w:sz w:val="21"/>
      <w:szCs w:val="24"/>
      <w:lang w:val="en-US" w:eastAsia="zh-CN" w:bidi="ar-SA"/>
    </w:rPr>
  </w:style>
  <w:style w:type="paragraph" w:customStyle="1" w:styleId="63">
    <w:name w:val="样式 18 10 磅"/>
    <w:pPr>
      <w:widowControl w:val="0"/>
      <w:jc w:val="both"/>
    </w:pPr>
    <w:rPr>
      <w:rFonts w:ascii="Calibri" w:eastAsia="宋体" w:cs="Times New Roman" w:hAnsi="Calibri"/>
      <w:kern w:val="2"/>
      <w:sz w:val="21"/>
      <w:szCs w:val="24"/>
      <w:lang w:val="en-US" w:eastAsia="zh-CN" w:bidi="ar-SA"/>
    </w:rPr>
  </w:style>
  <w:style w:type="paragraph" w:customStyle="1" w:styleId="64">
    <w:name w:val="样式 19 10 磅"/>
    <w:pPr>
      <w:widowControl w:val="0"/>
      <w:jc w:val="both"/>
    </w:pPr>
    <w:rPr>
      <w:rFonts w:ascii="Calibri" w:eastAsia="宋体" w:cs="Times New Roman" w:hAnsi="Calibri"/>
      <w:kern w:val="2"/>
      <w:sz w:val="21"/>
      <w:szCs w:val="24"/>
      <w:lang w:val="en-US" w:eastAsia="zh-CN" w:bidi="ar-SA"/>
    </w:rPr>
  </w:style>
  <w:style w:type="paragraph" w:customStyle="1" w:styleId="65">
    <w:name w:val="样式 20 10 磅"/>
    <w:pPr>
      <w:widowControl w:val="0"/>
      <w:jc w:val="both"/>
    </w:pPr>
    <w:rPr>
      <w:rFonts w:ascii="Calibri" w:eastAsia="宋体" w:cs="Times New Roman" w:hAnsi="Calibri"/>
      <w:kern w:val="2"/>
      <w:sz w:val="21"/>
      <w:szCs w:val="24"/>
      <w:lang w:val="en-US" w:eastAsia="zh-CN" w:bidi="ar-SA"/>
    </w:rPr>
  </w:style>
  <w:style w:type="paragraph" w:customStyle="1" w:styleId="66">
    <w:name w:val="样式 21 10 磅"/>
    <w:pPr>
      <w:widowControl w:val="0"/>
      <w:jc w:val="both"/>
    </w:pPr>
    <w:rPr>
      <w:rFonts w:ascii="Calibri" w:eastAsia="宋体" w:cs="Times New Roman" w:hAnsi="Calibri"/>
      <w:kern w:val="2"/>
      <w:sz w:val="21"/>
      <w:szCs w:val="24"/>
      <w:lang w:val="en-US" w:eastAsia="zh-CN" w:bidi="ar-SA"/>
    </w:rPr>
  </w:style>
  <w:style w:type="paragraph" w:customStyle="1" w:styleId="67">
    <w:name w:val="样式 23 三号"/>
    <w:pPr>
      <w:widowControl w:val="0"/>
      <w:jc w:val="both"/>
    </w:pPr>
    <w:rPr>
      <w:rFonts w:ascii="Times New Roman" w:eastAsia="宋体" w:cs="Times New Roman" w:hAnsi="Times New Roman"/>
      <w:kern w:val="2"/>
      <w:sz w:val="32"/>
      <w:szCs w:val="32"/>
      <w:lang w:val="en-US" w:eastAsia="zh-CN" w:bidi="ar-SA"/>
    </w:rPr>
  </w:style>
  <w:style w:type="paragraph" w:customStyle="1" w:styleId="68">
    <w:name w:val="样式 24 三号"/>
    <w:pPr>
      <w:widowControl w:val="0"/>
      <w:jc w:val="both"/>
    </w:pPr>
    <w:rPr>
      <w:rFonts w:ascii="Times New Roman" w:eastAsia="宋体" w:cs="Times New Roman" w:hAnsi="Times New Roman"/>
      <w:kern w:val="2"/>
      <w:sz w:val="32"/>
      <w:szCs w:val="32"/>
      <w:lang w:val="en-US" w:eastAsia="zh-CN" w:bidi="ar-SA"/>
    </w:rPr>
  </w:style>
  <w:style w:type="paragraph" w:customStyle="1" w:styleId="69">
    <w:name w:val="样式 25 三号"/>
    <w:pPr>
      <w:widowControl w:val="0"/>
      <w:jc w:val="both"/>
    </w:pPr>
    <w:rPr>
      <w:rFonts w:ascii="Times New Roman" w:eastAsia="宋体" w:cs="Times New Roman" w:hAnsi="Times New Roman"/>
      <w:kern w:val="2"/>
      <w:sz w:val="32"/>
      <w:szCs w:val="32"/>
      <w:lang w:val="en-US" w:eastAsia="zh-CN" w:bidi="ar-SA"/>
    </w:rPr>
  </w:style>
  <w:style w:type="paragraph" w:customStyle="1" w:styleId="70">
    <w:name w:val="样式 26 三号"/>
    <w:pPr>
      <w:widowControl w:val="0"/>
      <w:jc w:val="both"/>
    </w:pPr>
    <w:rPr>
      <w:rFonts w:ascii="Times New Roman" w:eastAsia="宋体" w:cs="Times New Roman" w:hAnsi="Times New Roman"/>
      <w:kern w:val="2"/>
      <w:sz w:val="32"/>
      <w:szCs w:val="32"/>
      <w:lang w:val="en-US" w:eastAsia="zh-CN" w:bidi="ar-SA"/>
    </w:rPr>
  </w:style>
  <w:style w:type="paragraph" w:customStyle="1" w:styleId="71">
    <w:name w:val="样式 27 三号"/>
    <w:pPr>
      <w:widowControl w:val="0"/>
      <w:jc w:val="both"/>
    </w:pPr>
    <w:rPr>
      <w:rFonts w:ascii="Times New Roman" w:eastAsia="宋体" w:cs="Times New Roman" w:hAnsi="Times New Roman"/>
      <w:kern w:val="2"/>
      <w:sz w:val="32"/>
      <w:szCs w:val="32"/>
      <w:lang w:val="en-US" w:eastAsia="zh-CN" w:bidi="ar-SA"/>
    </w:rPr>
  </w:style>
  <w:style w:type="paragraph" w:customStyle="1" w:styleId="72">
    <w:name w:val="样式 28 三号"/>
    <w:pPr>
      <w:widowControl w:val="0"/>
      <w:jc w:val="both"/>
    </w:pPr>
    <w:rPr>
      <w:rFonts w:ascii="Times New Roman" w:eastAsia="宋体" w:cs="Times New Roman" w:hAnsi="Times New Roman"/>
      <w:kern w:val="2"/>
      <w:sz w:val="32"/>
      <w:szCs w:val="32"/>
      <w:lang w:val="en-US" w:eastAsia="zh-CN" w:bidi="ar-SA"/>
    </w:rPr>
  </w:style>
  <w:style w:type="paragraph" w:customStyle="1" w:styleId="73">
    <w:name w:val="样式 29 三号"/>
    <w:pPr>
      <w:widowControl w:val="0"/>
      <w:jc w:val="both"/>
    </w:pPr>
    <w:rPr>
      <w:rFonts w:ascii="Times New Roman" w:eastAsia="宋体" w:cs="Times New Roman" w:hAnsi="Times New Roman"/>
      <w:kern w:val="2"/>
      <w:sz w:val="32"/>
      <w:szCs w:val="32"/>
      <w:lang w:val="en-US" w:eastAsia="zh-CN" w:bidi="ar-SA"/>
    </w:rPr>
  </w:style>
  <w:style w:type="paragraph" w:customStyle="1" w:styleId="74">
    <w:name w:val="样式 30 三号"/>
    <w:pPr>
      <w:widowControl w:val="0"/>
      <w:jc w:val="both"/>
    </w:pPr>
    <w:rPr>
      <w:rFonts w:ascii="Times New Roman" w:eastAsia="宋体" w:cs="Times New Roman" w:hAnsi="Times New Roman"/>
      <w:kern w:val="2"/>
      <w:sz w:val="32"/>
      <w:szCs w:val="32"/>
      <w:lang w:val="en-US" w:eastAsia="zh-CN" w:bidi="ar-SA"/>
    </w:rPr>
  </w:style>
  <w:style w:type="paragraph" w:customStyle="1" w:styleId="75">
    <w:name w:val="样式 22 10 磅"/>
    <w:pPr>
      <w:widowControl w:val="0"/>
      <w:jc w:val="both"/>
    </w:pPr>
    <w:rPr>
      <w:rFonts w:ascii="Calibri" w:eastAsia="宋体" w:cs="Times New Roman" w:hAnsi="Calibri"/>
      <w:kern w:val="2"/>
      <w:sz w:val="21"/>
      <w:szCs w:val="24"/>
      <w:lang w:val="en-US" w:eastAsia="zh-CN" w:bidi="ar-SA"/>
    </w:rPr>
  </w:style>
  <w:style w:type="paragraph" w:customStyle="1" w:styleId="76">
    <w:name w:val="样式 23 10 磅"/>
    <w:pPr>
      <w:widowControl w:val="0"/>
      <w:jc w:val="both"/>
    </w:pPr>
    <w:rPr>
      <w:rFonts w:ascii="等线" w:eastAsia="等线" w:cs="Arial"/>
      <w:kern w:val="2"/>
      <w:sz w:val="21"/>
      <w:szCs w:val="22"/>
      <w:lang w:val="en-US" w:eastAsia="zh-CN" w:bidi="ar-SA"/>
    </w:rPr>
  </w:style>
  <w:style w:type="paragraph" w:customStyle="1" w:styleId="77">
    <w:name w:val="样式 小二"/>
    <w:pPr>
      <w:textAlignment w:val="baseline"/>
      <w:outlineLvl w:val="0"/>
    </w:pPr>
    <w:rPr>
      <w:rFonts w:ascii="Arial" w:eastAsia="宋体" w:cs="Arial" w:hAnsi="Arial"/>
      <w:color w:val="000000"/>
      <w:sz w:val="36"/>
      <w:szCs w:val="36"/>
      <w:lang w:val="en-US" w:eastAsia="zh-CN" w:bidi="ar-SA"/>
    </w:rPr>
  </w:style>
  <w:style w:type="paragraph" w:customStyle="1" w:styleId="78">
    <w:name w:val="样式 1 小二"/>
    <w:pPr>
      <w:textAlignment w:val="baseline"/>
      <w:outlineLvl w:val="0"/>
    </w:pPr>
    <w:rPr>
      <w:rFonts w:ascii="Arial" w:eastAsia="宋体" w:cs="Arial" w:hAnsi="Arial"/>
      <w:color w:val="000000"/>
      <w:sz w:val="36"/>
      <w:szCs w:val="36"/>
      <w:lang w:val="en-US" w:eastAsia="zh-CN" w:bidi="ar-SA"/>
    </w:rPr>
  </w:style>
  <w:style w:type="paragraph" w:customStyle="1" w:styleId="79">
    <w:name w:val="样式 2 小二"/>
    <w:pPr>
      <w:textAlignment w:val="baseline"/>
      <w:outlineLvl w:val="0"/>
    </w:pPr>
    <w:rPr>
      <w:rFonts w:ascii="Arial" w:eastAsia="宋体" w:cs="Arial" w:hAnsi="Arial"/>
      <w:color w:val="000000"/>
      <w:sz w:val="36"/>
      <w:szCs w:val="36"/>
      <w:lang w:val="en-US" w:eastAsia="zh-CN" w:bidi="ar-SA"/>
    </w:rPr>
  </w:style>
  <w:style w:type="paragraph" w:customStyle="1" w:styleId="80">
    <w:name w:val="样式 3 小二"/>
    <w:pPr>
      <w:textAlignment w:val="baseline"/>
      <w:outlineLvl w:val="0"/>
    </w:pPr>
    <w:rPr>
      <w:rFonts w:ascii="Arial" w:eastAsia="宋体" w:cs="Arial" w:hAnsi="Arial"/>
      <w:color w:val="000000"/>
      <w:sz w:val="36"/>
      <w:szCs w:val="36"/>
      <w:lang w:val="en-US" w:eastAsia="zh-CN" w:bidi="ar-SA"/>
    </w:rPr>
  </w:style>
  <w:style w:type="paragraph" w:customStyle="1" w:styleId="81">
    <w:name w:val="样式 4 小二"/>
    <w:pPr>
      <w:textAlignment w:val="baseline"/>
      <w:outlineLvl w:val="0"/>
    </w:pPr>
    <w:rPr>
      <w:rFonts w:ascii="Arial" w:eastAsia="宋体" w:cs="Arial" w:hAnsi="Arial"/>
      <w:color w:val="000000"/>
      <w:sz w:val="36"/>
      <w:szCs w:val="36"/>
      <w:lang w:val="en-US" w:eastAsia="zh-CN" w:bidi="ar-SA"/>
    </w:rPr>
  </w:style>
  <w:style w:type="paragraph" w:customStyle="1" w:styleId="82">
    <w:name w:val="样式 5 小二"/>
    <w:pPr>
      <w:textAlignment w:val="baseline"/>
      <w:outlineLvl w:val="0"/>
    </w:pPr>
    <w:rPr>
      <w:rFonts w:ascii="Arial" w:eastAsia="宋体" w:cs="Arial" w:hAnsi="Arial"/>
      <w:color w:val="000000"/>
      <w:sz w:val="36"/>
      <w:szCs w:val="36"/>
      <w:lang w:val="en-US" w:eastAsia="zh-CN" w:bidi="ar-SA"/>
    </w:rPr>
  </w:style>
  <w:style w:type="paragraph" w:customStyle="1" w:styleId="83">
    <w:name w:val="样式 31 三号"/>
    <w:pPr>
      <w:widowControl w:val="0"/>
      <w:jc w:val="both"/>
    </w:pPr>
    <w:rPr>
      <w:rFonts w:ascii="Times New Roman" w:eastAsia="宋体" w:cs="Times New Roman" w:hAnsi="Times New Roman"/>
      <w:kern w:val="2"/>
      <w:sz w:val="32"/>
      <w:szCs w:val="32"/>
      <w:lang w:val="en-US" w:eastAsia="zh-CN" w:bidi="ar-SA"/>
    </w:rPr>
  </w:style>
  <w:style w:type="paragraph" w:customStyle="1" w:styleId="84">
    <w:name w:val="样式 32 三号"/>
    <w:pPr>
      <w:widowControl w:val="0"/>
      <w:jc w:val="both"/>
    </w:pPr>
    <w:rPr>
      <w:rFonts w:ascii="Times New Roman" w:eastAsia="宋体" w:cs="Times New Roman" w:hAnsi="Times New Roman"/>
      <w:kern w:val="2"/>
      <w:sz w:val="32"/>
      <w:szCs w:val="32"/>
      <w:lang w:val="en-US" w:eastAsia="zh-CN" w:bidi="ar-SA"/>
    </w:rPr>
  </w:style>
  <w:style w:type="paragraph" w:customStyle="1" w:styleId="85">
    <w:name w:val="样式 33 三号"/>
    <w:pPr>
      <w:widowControl w:val="0"/>
      <w:jc w:val="both"/>
    </w:pPr>
    <w:rPr>
      <w:rFonts w:ascii="Times New Roman" w:eastAsia="宋体" w:cs="Times New Roman" w:hAnsi="Times New Roman"/>
      <w:kern w:val="2"/>
      <w:sz w:val="32"/>
      <w:szCs w:val="32"/>
      <w:lang w:val="en-US" w:eastAsia="zh-CN" w:bidi="ar-SA"/>
    </w:rPr>
  </w:style>
  <w:style w:type="paragraph" w:customStyle="1" w:styleId="86">
    <w:name w:val="样式 34 三号"/>
    <w:pPr>
      <w:widowControl w:val="0"/>
      <w:jc w:val="both"/>
    </w:pPr>
    <w:rPr>
      <w:rFonts w:ascii="Times New Roman" w:eastAsia="宋体" w:cs="Times New Roman" w:hAnsi="Times New Roman"/>
      <w:kern w:val="2"/>
      <w:sz w:val="32"/>
      <w:szCs w:val="32"/>
      <w:lang w:val="en-US" w:eastAsia="zh-CN" w:bidi="ar-SA"/>
    </w:rPr>
  </w:style>
  <w:style w:type="paragraph" w:customStyle="1" w:styleId="87">
    <w:name w:val="样式 35 三号"/>
    <w:pPr>
      <w:widowControl w:val="0"/>
      <w:jc w:val="both"/>
    </w:pPr>
    <w:rPr>
      <w:rFonts w:ascii="Times New Roman" w:eastAsia="宋体" w:cs="Times New Roman" w:hAnsi="Times New Roman"/>
      <w:kern w:val="2"/>
      <w:sz w:val="32"/>
      <w:szCs w:val="32"/>
      <w:lang w:val="en-US" w:eastAsia="zh-CN" w:bidi="ar-SA"/>
    </w:rPr>
  </w:style>
  <w:style w:type="paragraph" w:customStyle="1" w:styleId="88">
    <w:name w:val="样式 36 三号"/>
    <w:pPr>
      <w:widowControl w:val="0"/>
      <w:jc w:val="both"/>
    </w:pPr>
    <w:rPr>
      <w:rFonts w:ascii="Times New Roman" w:eastAsia="宋体" w:cs="Times New Roman" w:hAnsi="Times New Roman"/>
      <w:kern w:val="2"/>
      <w:sz w:val="32"/>
      <w:szCs w:val="32"/>
      <w:lang w:val="en-US" w:eastAsia="zh-CN" w:bidi="ar-SA"/>
    </w:rPr>
  </w:style>
  <w:style w:type="paragraph" w:customStyle="1" w:styleId="89">
    <w:name w:val="样式 24 10 磅"/>
    <w:pPr>
      <w:widowControl w:val="0"/>
      <w:jc w:val="both"/>
    </w:pPr>
    <w:rPr>
      <w:rFonts w:ascii="Calibri" w:eastAsia="宋体" w:cs="Times New Roman" w:hAnsi="Calibri"/>
      <w:kern w:val="2"/>
      <w:sz w:val="21"/>
      <w:szCs w:val="24"/>
      <w:lang w:val="en-US" w:eastAsia="zh-CN" w:bidi="ar-SA"/>
    </w:rPr>
  </w:style>
  <w:style w:type="paragraph" w:customStyle="1" w:styleId="90">
    <w:name w:val="修订1"/>
    <w:rPr>
      <w:rFonts w:ascii="Times New Roman" w:eastAsia="宋体" w:cs="Times New Roman" w:hAnsi="Times New Roman"/>
      <w:kern w:val="2"/>
      <w:sz w:val="32"/>
      <w:szCs w:val="32"/>
      <w:lang w:val="en-US" w:eastAsia="zh-CN" w:bidi="ar-SA"/>
    </w:rPr>
  </w:style>
  <w:style w:type="paragraph" w:customStyle="1" w:styleId="91">
    <w:name w:val="样式 37 三号"/>
    <w:pPr>
      <w:widowControl w:val="0"/>
      <w:jc w:val="both"/>
    </w:pPr>
    <w:rPr>
      <w:rFonts w:ascii="Times New Roman" w:eastAsia="宋体" w:cs="Times New Roman" w:hAnsi="Times New Roman"/>
      <w:kern w:val="2"/>
      <w:sz w:val="32"/>
      <w:szCs w:val="32"/>
      <w:lang w:val="en-US" w:eastAsia="zh-CN" w:bidi="ar-SA"/>
    </w:rPr>
  </w:style>
  <w:style w:type="paragraph" w:customStyle="1" w:styleId="92">
    <w:name w:val="样式 38 三号"/>
    <w:pPr>
      <w:widowControl w:val="0"/>
      <w:jc w:val="both"/>
    </w:pPr>
    <w:rPr>
      <w:rFonts w:ascii="Times New Roman" w:eastAsia="宋体" w:cs="Times New Roman" w:hAnsi="Times New Roman"/>
      <w:kern w:val="2"/>
      <w:sz w:val="32"/>
      <w:szCs w:val="32"/>
      <w:lang w:val="en-US" w:eastAsia="zh-CN" w:bidi="ar-SA"/>
    </w:rPr>
  </w:style>
  <w:style w:type="paragraph" w:customStyle="1" w:styleId="93">
    <w:name w:val="样式 39 三号"/>
    <w:pPr>
      <w:widowControl w:val="0"/>
      <w:jc w:val="both"/>
    </w:pPr>
    <w:rPr>
      <w:rFonts w:ascii="Times New Roman" w:eastAsia="宋体" w:cs="Times New Roman" w:hAnsi="Times New Roman"/>
      <w:kern w:val="2"/>
      <w:sz w:val="32"/>
      <w:szCs w:val="32"/>
      <w:lang w:val="en-US" w:eastAsia="zh-CN" w:bidi="ar-SA"/>
    </w:rPr>
  </w:style>
  <w:style w:type="paragraph" w:customStyle="1" w:styleId="94">
    <w:name w:val="样式 40 三号"/>
    <w:pPr>
      <w:widowControl w:val="0"/>
      <w:jc w:val="both"/>
    </w:pPr>
    <w:rPr>
      <w:rFonts w:ascii="Times New Roman" w:eastAsia="宋体" w:cs="Times New Roman" w:hAnsi="Times New Roman"/>
      <w:kern w:val="2"/>
      <w:sz w:val="32"/>
      <w:szCs w:val="32"/>
      <w:lang w:val="en-US" w:eastAsia="zh-CN" w:bidi="ar-SA"/>
    </w:rPr>
  </w:style>
  <w:style w:type="paragraph" w:customStyle="1" w:styleId="95">
    <w:name w:val="样式 41 三号"/>
    <w:pPr>
      <w:widowControl w:val="0"/>
      <w:jc w:val="both"/>
    </w:pPr>
    <w:rPr>
      <w:rFonts w:ascii="Times New Roman" w:eastAsia="宋体" w:cs="Times New Roman" w:hAnsi="Times New Roman"/>
      <w:kern w:val="2"/>
      <w:sz w:val="32"/>
      <w:szCs w:val="32"/>
      <w:lang w:val="en-US" w:eastAsia="zh-CN" w:bidi="ar-SA"/>
    </w:rPr>
  </w:style>
  <w:style w:type="paragraph" w:customStyle="1" w:styleId="96">
    <w:name w:val="样式 42 三号"/>
    <w:pPr>
      <w:widowControl w:val="0"/>
      <w:jc w:val="both"/>
    </w:pPr>
    <w:rPr>
      <w:rFonts w:ascii="Times New Roman" w:eastAsia="宋体" w:cs="Times New Roman" w:hAnsi="Times New Roman"/>
      <w:kern w:val="2"/>
      <w:sz w:val="32"/>
      <w:szCs w:val="32"/>
      <w:lang w:val="en-US" w:eastAsia="zh-CN" w:bidi="ar-SA"/>
    </w:rPr>
  </w:style>
  <w:style w:type="paragraph" w:customStyle="1" w:styleId="97">
    <w:name w:val="样式 43 三号"/>
    <w:pPr>
      <w:widowControl w:val="0"/>
      <w:jc w:val="both"/>
    </w:pPr>
    <w:rPr>
      <w:rFonts w:ascii="Times New Roman" w:eastAsia="宋体" w:cs="Times New Roman" w:hAnsi="Times New Roman"/>
      <w:kern w:val="2"/>
      <w:sz w:val="32"/>
      <w:szCs w:val="32"/>
      <w:lang w:val="en-US" w:eastAsia="zh-CN" w:bidi="ar-SA"/>
    </w:rPr>
  </w:style>
  <w:style w:type="paragraph" w:customStyle="1" w:styleId="98">
    <w:name w:val="样式 44 三号"/>
    <w:pPr>
      <w:widowControl w:val="0"/>
      <w:jc w:val="both"/>
    </w:pPr>
    <w:rPr>
      <w:rFonts w:ascii="Times New Roman" w:eastAsia="宋体" w:cs="Times New Roman" w:hAnsi="Times New Roman"/>
      <w:kern w:val="2"/>
      <w:sz w:val="32"/>
      <w:szCs w:val="32"/>
      <w:lang w:val="en-US" w:eastAsia="zh-CN" w:bidi="ar-SA"/>
    </w:rPr>
  </w:style>
  <w:style w:type="paragraph" w:customStyle="1" w:styleId="99">
    <w:name w:val="样式 45 三号"/>
    <w:pPr>
      <w:widowControl w:val="0"/>
      <w:jc w:val="both"/>
    </w:pPr>
    <w:rPr>
      <w:rFonts w:ascii="Times New Roman" w:eastAsia="宋体" w:cs="Times New Roman" w:hAnsi="Times New Roman"/>
      <w:kern w:val="2"/>
      <w:sz w:val="32"/>
      <w:szCs w:val="32"/>
      <w:lang w:val="en-US" w:eastAsia="zh-CN" w:bidi="ar-SA"/>
    </w:rPr>
  </w:style>
  <w:style w:type="paragraph" w:customStyle="1" w:styleId="100">
    <w:name w:val="样式 46 三号"/>
    <w:pPr>
      <w:widowControl w:val="0"/>
      <w:jc w:val="both"/>
    </w:pPr>
    <w:rPr>
      <w:rFonts w:ascii="Times New Roman" w:eastAsia="宋体" w:cs="Times New Roman" w:hAnsi="Times New Roman"/>
      <w:kern w:val="2"/>
      <w:sz w:val="32"/>
      <w:szCs w:val="32"/>
      <w:lang w:val="en-US" w:eastAsia="zh-CN" w:bidi="ar-SA"/>
    </w:rPr>
  </w:style>
  <w:style w:type="paragraph" w:customStyle="1" w:styleId="101">
    <w:name w:val="样式 47 三号"/>
    <w:pPr>
      <w:widowControl w:val="0"/>
      <w:jc w:val="both"/>
    </w:pPr>
    <w:rPr>
      <w:rFonts w:ascii="Times New Roman" w:eastAsia="宋体" w:cs="Times New Roman" w:hAnsi="Times New Roman"/>
      <w:kern w:val="2"/>
      <w:sz w:val="32"/>
      <w:szCs w:val="32"/>
      <w:lang w:val="en-US" w:eastAsia="zh-CN" w:bidi="ar-SA"/>
    </w:rPr>
  </w:style>
  <w:style w:type="paragraph" w:customStyle="1" w:styleId="102">
    <w:name w:val="样式 48 三号"/>
    <w:pPr>
      <w:widowControl w:val="0"/>
      <w:jc w:val="both"/>
    </w:pPr>
    <w:rPr>
      <w:rFonts w:ascii="Times New Roman" w:eastAsia="宋体" w:cs="Times New Roman" w:hAnsi="Times New Roman"/>
      <w:kern w:val="2"/>
      <w:sz w:val="32"/>
      <w:szCs w:val="32"/>
      <w:lang w:val="en-US" w:eastAsia="zh-CN" w:bidi="ar-SA"/>
    </w:rPr>
  </w:style>
  <w:style w:type="paragraph" w:customStyle="1" w:styleId="103">
    <w:name w:val="样式 49 三号"/>
    <w:pPr>
      <w:widowControl w:val="0"/>
      <w:jc w:val="both"/>
    </w:pPr>
    <w:rPr>
      <w:rFonts w:ascii="Times New Roman" w:eastAsia="宋体" w:cs="Times New Roman" w:hAnsi="Times New Roman"/>
      <w:kern w:val="2"/>
      <w:sz w:val="32"/>
      <w:szCs w:val="32"/>
      <w:lang w:val="en-US" w:eastAsia="zh-CN" w:bidi="ar-SA"/>
    </w:rPr>
  </w:style>
  <w:style w:type="paragraph" w:customStyle="1" w:styleId="104">
    <w:name w:val="样式 50 三号"/>
    <w:pPr>
      <w:widowControl w:val="0"/>
      <w:jc w:val="both"/>
    </w:pPr>
    <w:rPr>
      <w:rFonts w:ascii="Times New Roman" w:eastAsia="宋体" w:cs="Times New Roman" w:hAnsi="Times New Roman"/>
      <w:kern w:val="2"/>
      <w:sz w:val="32"/>
      <w:szCs w:val="32"/>
      <w:lang w:val="en-US" w:eastAsia="zh-CN" w:bidi="ar-SA"/>
    </w:rPr>
  </w:style>
  <w:style w:type="paragraph" w:customStyle="1" w:styleId="105">
    <w:name w:val="样式 51 三号"/>
    <w:pPr>
      <w:widowControl w:val="0"/>
      <w:jc w:val="both"/>
    </w:pPr>
    <w:rPr>
      <w:rFonts w:ascii="Times New Roman" w:eastAsia="宋体" w:cs="Times New Roman" w:hAnsi="Times New Roman"/>
      <w:kern w:val="2"/>
      <w:sz w:val="32"/>
      <w:szCs w:val="32"/>
      <w:lang w:val="en-US" w:eastAsia="zh-CN" w:bidi="ar-SA"/>
    </w:rPr>
  </w:style>
  <w:style w:type="paragraph" w:customStyle="1" w:styleId="106">
    <w:name w:val="样式 52 三号"/>
    <w:pPr>
      <w:widowControl w:val="0"/>
      <w:jc w:val="both"/>
    </w:pPr>
    <w:rPr>
      <w:rFonts w:ascii="Times New Roman" w:eastAsia="宋体" w:cs="Times New Roman" w:hAnsi="Times New Roman"/>
      <w:kern w:val="2"/>
      <w:sz w:val="32"/>
      <w:szCs w:val="32"/>
      <w:lang w:val="en-US" w:eastAsia="zh-CN" w:bidi="ar-SA"/>
    </w:rPr>
  </w:style>
  <w:style w:type="paragraph" w:customStyle="1" w:styleId="107">
    <w:name w:val="样式 53 三号"/>
    <w:pPr>
      <w:widowControl w:val="0"/>
      <w:jc w:val="both"/>
    </w:pPr>
    <w:rPr>
      <w:rFonts w:ascii="Times New Roman" w:eastAsia="宋体" w:cs="Times New Roman" w:hAnsi="Times New Roman"/>
      <w:kern w:val="2"/>
      <w:sz w:val="32"/>
      <w:szCs w:val="32"/>
      <w:lang w:val="en-US" w:eastAsia="zh-CN" w:bidi="ar-SA"/>
    </w:rPr>
  </w:style>
  <w:style w:type="paragraph" w:customStyle="1" w:styleId="108">
    <w:name w:val="样式 54 三号"/>
    <w:pPr>
      <w:widowControl w:val="0"/>
      <w:jc w:val="both"/>
    </w:pPr>
    <w:rPr>
      <w:rFonts w:ascii="Times New Roman" w:eastAsia="宋体" w:cs="Times New Roman" w:hAnsi="Times New Roman"/>
      <w:kern w:val="2"/>
      <w:sz w:val="32"/>
      <w:szCs w:val="32"/>
      <w:lang w:val="en-US" w:eastAsia="zh-CN" w:bidi="ar-SA"/>
    </w:rPr>
  </w:style>
  <w:style w:type="character" w:styleId="134">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534</TotalTime>
  <Application>Yozo_Office</Application>
  <Pages>9</Pages>
  <Words>4031</Words>
  <Characters>4175</Characters>
  <Lines>202</Lines>
  <Paragraphs>92</Paragraphs>
  <CharactersWithSpaces>4202</CharactersWithSpaces>
  <Company>DLHG</Company>
</Properties>
</file>

<file path=docProps/core.xml><?xml version="1.0" encoding="utf-8"?>
<cp:coreProperties xmlns:cp="http://schemas.openxmlformats.org/package/2006/metadata/core-properties" xmlns:dc="http://purl.org/dc/elements/1.1/" xmlns:dcterms="http://purl.org/dc/terms/" xmlns:xsi="http://www.w3.org/2001/XMLSchema-instance">
  <dc:creator>伟彬 苗</dc:creator>
  <cp:lastModifiedBy>郁风</cp:lastModifiedBy>
  <cp:revision>33</cp:revision>
  <cp:lastPrinted>2020-05-28T09:01:00Z</cp:lastPrinted>
  <dcterms:created xsi:type="dcterms:W3CDTF">2025-07-04T09:58:00Z</dcterms:created>
  <dcterms:modified xsi:type="dcterms:W3CDTF">2026-07-16T06:15:21Z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2052-11.1.0.10920</vt:lpwstr>
  </property>
  <property fmtid="{D5CDD505-2E9C-101B-9397-08002B2CF9AE}" pid="3" name="ICV">
    <vt:lpwstr>058AA5394B744B9EA20777FBEB9AABC5_13</vt:lpwstr>
  </property>
</Properties>
</file>