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after="0" w:line="480" w:lineRule="auto"/>
        <w:jc w:val="center"/>
        <w:rPr>
          <w:b/>
          <w:sz w:val="28"/>
          <w:szCs w:val="21"/>
        </w:rPr>
      </w:pPr>
      <w:r>
        <w:rPr>
          <w:b/>
          <w:sz w:val="28"/>
          <w:szCs w:val="21"/>
        </w:rPr>
        <w:t>评分标准</w:t>
      </w:r>
      <w:bookmarkStart w:id="0" w:name="_GoBack"/>
      <w:bookmarkEnd w:id="0"/>
    </w:p>
    <w:p>
      <w:pPr>
        <w:spacing w:after="0" w:line="480" w:lineRule="auto"/>
        <w:jc w:val="center"/>
        <w:rPr>
          <w:sz w:val="16"/>
          <w:szCs w:val="21"/>
        </w:rPr>
      </w:pPr>
    </w:p>
    <w:tbl>
      <w:tblPr>
        <w:jc w:val="left"/>
        <w:tblW w:w="4992"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15" w:type="dxa"/>
          <w:left w:w="15" w:type="dxa"/>
          <w:bottom w:w="15" w:type="dxa"/>
          <w:right w:w="15" w:type="dxa"/>
        </w:tblCellMar>
      </w:tblPr>
      <w:tblGrid>
        <w:gridCol w:w="1803"/>
        <w:gridCol w:w="1485"/>
        <w:gridCol w:w="770"/>
        <w:gridCol w:w="5589"/>
      </w:tblGrid>
      <w:tr>
        <w:tc>
          <w:tcPr>
            <w:tcW w:w="934" w:type="pct"/>
            <w:tcBorders>
              <w:top w:val="single" w:sz="4" w:space="0" w:color="auto"/>
              <w:left w:val="single" w:sz="4" w:space="0" w:color="auto"/>
              <w:bottom w:val="single" w:sz="4" w:space="0" w:color="auto"/>
              <w:right w:val="single" w:sz="4" w:space="0" w:color="auto"/>
            </w:tcBorders>
            <w:shd w:val="clear" w:color="auto" w:fill="EEECE1"/>
            <w:vAlign w:val="center"/>
          </w:tcPr>
          <w:p>
            <w:pPr>
              <w:pStyle w:val="34"/>
              <w:spacing w:after="0"/>
              <w:jc w:val="center"/>
              <w:rPr>
                <w:sz w:val="21"/>
                <w:szCs w:val="21"/>
              </w:rPr>
            </w:pPr>
            <w:r>
              <w:rPr>
                <w:rStyle w:val="37"/>
                <w:sz w:val="21"/>
                <w:szCs w:val="21"/>
              </w:rPr>
              <w:t>大类</w:t>
            </w:r>
          </w:p>
        </w:tc>
        <w:tc>
          <w:tcPr>
            <w:tcW w:w="769" w:type="pct"/>
            <w:tcBorders>
              <w:top w:val="single" w:sz="4" w:space="0" w:color="auto"/>
              <w:left w:val="single" w:sz="4" w:space="0" w:color="auto"/>
              <w:bottom w:val="single" w:sz="4" w:space="0" w:color="auto"/>
              <w:right w:val="single" w:sz="4" w:space="0" w:color="auto"/>
            </w:tcBorders>
            <w:shd w:val="clear" w:color="auto" w:fill="EEECE1"/>
            <w:vAlign w:val="center"/>
          </w:tcPr>
          <w:p>
            <w:pPr>
              <w:pStyle w:val="34"/>
              <w:spacing w:after="0"/>
              <w:jc w:val="center"/>
              <w:rPr>
                <w:sz w:val="21"/>
                <w:szCs w:val="21"/>
              </w:rPr>
            </w:pPr>
            <w:r>
              <w:rPr>
                <w:rStyle w:val="37"/>
                <w:sz w:val="21"/>
                <w:szCs w:val="21"/>
              </w:rPr>
              <w:t>评审项目</w:t>
            </w:r>
          </w:p>
        </w:tc>
        <w:tc>
          <w:tcPr>
            <w:tcW w:w="399" w:type="pct"/>
            <w:tcBorders>
              <w:top w:val="single" w:sz="4" w:space="0" w:color="auto"/>
              <w:left w:val="single" w:sz="4" w:space="0" w:color="auto"/>
              <w:bottom w:val="single" w:sz="4" w:space="0" w:color="auto"/>
              <w:right w:val="single" w:sz="4" w:space="0" w:color="auto"/>
            </w:tcBorders>
            <w:shd w:val="clear" w:color="auto" w:fill="EEECE1"/>
            <w:vAlign w:val="center"/>
          </w:tcPr>
          <w:p>
            <w:pPr>
              <w:pStyle w:val="34"/>
              <w:spacing w:after="0"/>
              <w:jc w:val="center"/>
              <w:rPr>
                <w:sz w:val="21"/>
                <w:szCs w:val="21"/>
              </w:rPr>
            </w:pPr>
            <w:r>
              <w:rPr>
                <w:rStyle w:val="37"/>
                <w:sz w:val="21"/>
                <w:szCs w:val="21"/>
              </w:rPr>
              <w:t>分值</w:t>
            </w:r>
          </w:p>
        </w:tc>
        <w:tc>
          <w:tcPr>
            <w:tcW w:w="2895" w:type="pct"/>
            <w:tcBorders>
              <w:top w:val="single" w:sz="4" w:space="0" w:color="auto"/>
              <w:left w:val="single" w:sz="4" w:space="0" w:color="auto"/>
              <w:bottom w:val="single" w:sz="4" w:space="0" w:color="auto"/>
              <w:right w:val="single" w:sz="4" w:space="0" w:color="auto"/>
            </w:tcBorders>
            <w:shd w:val="clear" w:color="auto" w:fill="EEECE1"/>
            <w:vAlign w:val="center"/>
          </w:tcPr>
          <w:p>
            <w:pPr>
              <w:pStyle w:val="34"/>
              <w:spacing w:after="0"/>
              <w:jc w:val="center"/>
              <w:rPr>
                <w:sz w:val="21"/>
                <w:szCs w:val="21"/>
              </w:rPr>
            </w:pPr>
            <w:r>
              <w:rPr>
                <w:rStyle w:val="37"/>
                <w:sz w:val="21"/>
                <w:szCs w:val="21"/>
              </w:rPr>
              <w:t>评分标准</w:t>
            </w:r>
          </w:p>
        </w:tc>
      </w:tr>
      <w:tr>
        <w:tc>
          <w:tcPr>
            <w:tcW w:w="934"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报价部分</w:t>
            </w: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投标报价</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10</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b/>
                <w:bCs/>
                <w:sz w:val="21"/>
                <w:szCs w:val="21"/>
                <w:lang w:eastAsia="zh-CN"/>
              </w:rPr>
              <w:t>投标人报价得分＝〔1－｜投标人报价－评审基准价｜÷ 评审基准价〕×10</w:t>
            </w:r>
            <w:r>
              <w:rPr>
                <w:sz w:val="21"/>
                <w:szCs w:val="21"/>
                <w:lang w:eastAsia="zh-CN"/>
              </w:rPr>
              <w:t xml:space="preserve"> </w:t>
            </w:r>
          </w:p>
          <w:p>
            <w:pPr>
              <w:pStyle w:val="34"/>
              <w:spacing w:after="0"/>
              <w:rPr>
                <w:sz w:val="21"/>
                <w:szCs w:val="21"/>
                <w:lang w:eastAsia="zh-CN"/>
              </w:rPr>
            </w:pPr>
            <w:r>
              <w:rPr>
                <w:sz w:val="21"/>
                <w:szCs w:val="21"/>
                <w:lang w:eastAsia="zh-CN"/>
              </w:rPr>
              <w:t>注：</w:t>
            </w:r>
          </w:p>
          <w:p>
            <w:pPr>
              <w:pStyle w:val="34"/>
              <w:spacing w:after="0"/>
              <w:rPr>
                <w:sz w:val="21"/>
                <w:szCs w:val="21"/>
                <w:lang w:eastAsia="zh-CN"/>
              </w:rPr>
            </w:pPr>
            <w:r>
              <w:rPr>
                <w:sz w:val="21"/>
                <w:szCs w:val="21"/>
                <w:lang w:eastAsia="zh-CN"/>
              </w:rPr>
              <w:t>评审基准价为满足采购文件要求且经评审的所有有效投标报价的算术平均值；</w:t>
            </w:r>
          </w:p>
          <w:p>
            <w:pPr>
              <w:pStyle w:val="34"/>
              <w:spacing w:after="0"/>
              <w:rPr>
                <w:sz w:val="21"/>
                <w:szCs w:val="21"/>
                <w:lang w:eastAsia="zh-CN"/>
              </w:rPr>
            </w:pPr>
            <w:r>
              <w:rPr>
                <w:sz w:val="21"/>
                <w:szCs w:val="21"/>
                <w:lang w:eastAsia="zh-CN"/>
              </w:rPr>
              <w:t>报价为报价函中的总报价；</w:t>
            </w:r>
          </w:p>
          <w:p>
            <w:pPr>
              <w:pStyle w:val="34"/>
              <w:spacing w:after="0"/>
              <w:rPr>
                <w:rFonts w:hint="eastAsia"/>
                <w:sz w:val="21"/>
                <w:szCs w:val="21"/>
                <w:lang w:eastAsia="zh-CN"/>
              </w:rPr>
            </w:pPr>
            <w:r>
              <w:rPr>
                <w:sz w:val="21"/>
                <w:szCs w:val="21"/>
                <w:lang w:eastAsia="zh-CN"/>
              </w:rPr>
              <w:t>得分最低为 0 分，计算得分小于 0 时按 0 分计。</w:t>
            </w:r>
          </w:p>
        </w:tc>
      </w:tr>
      <w:tr>
        <w:tc>
          <w:tcPr>
            <w:tcW w:w="934" w:type="pct"/>
            <w:vMerge w:val="restart"/>
            <w:tcBorders>
              <w:top w:val="single" w:sz="4" w:space="0" w:color="auto"/>
              <w:left w:val="single" w:sz="4" w:space="0" w:color="auto"/>
              <w:right w:val="single" w:sz="4" w:space="0" w:color="auto"/>
            </w:tcBorders>
            <w:vAlign w:val="center"/>
          </w:tcPr>
          <w:p>
            <w:pPr>
              <w:pStyle w:val="34"/>
              <w:spacing w:after="0"/>
              <w:jc w:val="center"/>
              <w:rPr>
                <w:sz w:val="21"/>
                <w:szCs w:val="21"/>
              </w:rPr>
            </w:pPr>
            <w:r>
              <w:rPr>
                <w:sz w:val="21"/>
                <w:szCs w:val="21"/>
              </w:rPr>
              <w:t>技术部分</w:t>
            </w:r>
          </w:p>
          <w:p>
            <w:pPr>
              <w:pStyle w:val="34"/>
              <w:spacing w:after="0"/>
              <w:jc w:val="center"/>
              <w:rPr>
                <w:sz w:val="21"/>
                <w:szCs w:val="21"/>
              </w:rPr>
            </w:p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需求分析方案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12</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1.对项目背景、建设目标、业务现状、使用场景、需求形成有针对性的分析，内容完整、逻辑清晰</w:t>
            </w:r>
            <w:r>
              <w:rPr>
                <w:rFonts w:hint="eastAsia"/>
                <w:sz w:val="21"/>
                <w:szCs w:val="21"/>
                <w:lang w:eastAsia="zh-CN"/>
              </w:rPr>
              <w:t>，</w:t>
            </w:r>
            <w:r>
              <w:rPr>
                <w:sz w:val="21"/>
                <w:szCs w:val="21"/>
                <w:lang w:eastAsia="zh-CN"/>
              </w:rPr>
              <w:t>得</w:t>
            </w:r>
            <w:r>
              <w:rPr>
                <w:rFonts w:hint="eastAsia"/>
                <w:sz w:val="21"/>
                <w:szCs w:val="21"/>
                <w:lang w:eastAsia="zh-CN"/>
              </w:rPr>
              <w:t>9</w:t>
            </w:r>
            <w:r>
              <w:rPr>
                <w:sz w:val="21"/>
                <w:szCs w:val="21"/>
                <w:lang w:eastAsia="zh-CN"/>
              </w:rPr>
              <w:t>-</w:t>
            </w:r>
            <w:r>
              <w:rPr>
                <w:rFonts w:hint="eastAsia"/>
                <w:sz w:val="21"/>
                <w:szCs w:val="21"/>
                <w:lang w:eastAsia="zh-CN"/>
              </w:rPr>
              <w:t>12</w:t>
            </w:r>
            <w:r>
              <w:rPr>
                <w:sz w:val="21"/>
                <w:szCs w:val="21"/>
                <w:lang w:eastAsia="zh-CN"/>
              </w:rPr>
              <w:t>分；</w:t>
            </w:r>
          </w:p>
          <w:p>
            <w:pPr>
              <w:pStyle w:val="34"/>
              <w:spacing w:after="0"/>
              <w:rPr>
                <w:sz w:val="21"/>
                <w:szCs w:val="21"/>
                <w:lang w:eastAsia="zh-CN"/>
              </w:rPr>
            </w:pPr>
            <w:r>
              <w:rPr>
                <w:sz w:val="21"/>
                <w:szCs w:val="21"/>
                <w:lang w:eastAsia="zh-CN"/>
              </w:rPr>
              <w:t>2.对项目需求和建设约束理解较为清楚，能够覆盖主要建设内容和实施关注点，但针对性、完整性或分析深度一般，得</w:t>
            </w:r>
            <w:r>
              <w:rPr>
                <w:rFonts w:hint="eastAsia"/>
                <w:sz w:val="21"/>
                <w:szCs w:val="21"/>
                <w:lang w:eastAsia="zh-CN"/>
              </w:rPr>
              <w:t>5</w:t>
            </w:r>
            <w:r>
              <w:rPr>
                <w:sz w:val="21"/>
                <w:szCs w:val="21"/>
                <w:lang w:eastAsia="zh-CN"/>
              </w:rPr>
              <w:t>-</w:t>
            </w:r>
            <w:r>
              <w:rPr>
                <w:rFonts w:hint="eastAsia"/>
                <w:sz w:val="21"/>
                <w:szCs w:val="21"/>
                <w:lang w:eastAsia="zh-CN"/>
              </w:rPr>
              <w:t>8</w:t>
            </w:r>
            <w:r>
              <w:rPr>
                <w:sz w:val="21"/>
                <w:szCs w:val="21"/>
                <w:lang w:eastAsia="zh-CN"/>
              </w:rPr>
              <w:t>分；</w:t>
            </w:r>
          </w:p>
          <w:p>
            <w:pPr>
              <w:pStyle w:val="34"/>
              <w:spacing w:after="0"/>
              <w:rPr>
                <w:sz w:val="21"/>
                <w:szCs w:val="21"/>
                <w:lang w:eastAsia="zh-CN"/>
              </w:rPr>
            </w:pPr>
            <w:r>
              <w:rPr>
                <w:sz w:val="21"/>
                <w:szCs w:val="21"/>
                <w:lang w:eastAsia="zh-CN"/>
              </w:rPr>
              <w:t>3.需求分析较简单或泛化，缺少对项目实际场景、建设边界或风险重点的有效说明，得1-</w:t>
            </w:r>
            <w:r>
              <w:rPr>
                <w:rFonts w:hint="eastAsia"/>
                <w:sz w:val="21"/>
                <w:szCs w:val="21"/>
                <w:lang w:eastAsia="zh-CN"/>
              </w:rPr>
              <w:t>4</w:t>
            </w:r>
            <w:r>
              <w:rPr>
                <w:sz w:val="21"/>
                <w:szCs w:val="21"/>
                <w:lang w:eastAsia="zh-CN"/>
              </w:rPr>
              <w:t>分；未提供或与本项目无关的，不得分。</w:t>
            </w:r>
          </w:p>
        </w:tc>
      </w:tr>
      <w:tr>
        <w:tc>
          <w:tcPr>
            <w:tcW w:w="934" w:type="pct"/>
            <w:vMerge/>
            <w:tcBorders>
              <w:left w:val="single" w:sz="4" w:space="0" w:color="auto"/>
              <w:right w:val="single" w:sz="4" w:space="0" w:color="auto"/>
            </w:tcBorders>
            <w:vAlign w:val="center"/>
          </w:tc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技术设计方案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28</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总体技术路线清晰，能够从系统架构、功能组织、数据处理、智能化能力、部署运行、安全控制和扩展维护等方面形成完整设计，并结合方案提供必要的系统架构图、部署架构图、关键页面原型或交互示意，方案针对性强、可实施性高，得19-28分；</w:t>
            </w:r>
          </w:p>
          <w:p>
            <w:pPr>
              <w:pStyle w:val="34"/>
              <w:spacing w:after="0"/>
              <w:rPr>
                <w:sz w:val="21"/>
                <w:szCs w:val="21"/>
                <w:lang w:eastAsia="zh-CN"/>
              </w:rPr>
            </w:pPr>
            <w:r>
              <w:rPr>
                <w:sz w:val="21"/>
                <w:szCs w:val="21"/>
                <w:lang w:eastAsia="zh-CN"/>
              </w:rPr>
              <w:t>2.技术方案能够覆盖主要建设内容和部署要求，基本说明技术路线、系统组成、数据处理、安全控制和运行保障思路，能够提供部分架构或原型示意，但设计深度、完整性或实施细节不够充分，得8-18分；</w:t>
            </w:r>
          </w:p>
          <w:p>
            <w:pPr>
              <w:pStyle w:val="34"/>
              <w:spacing w:after="0"/>
              <w:rPr>
                <w:sz w:val="21"/>
                <w:szCs w:val="21"/>
                <w:lang w:eastAsia="zh-CN"/>
              </w:rPr>
            </w:pPr>
            <w:r>
              <w:rPr>
                <w:sz w:val="21"/>
                <w:szCs w:val="21"/>
                <w:lang w:eastAsia="zh-CN"/>
              </w:rPr>
              <w:t>3.技术方案描述笼统，缺少总体架构、关键设计、运行保障、风险控制或必要的架构原型支撑，得1-7分；未提供或与本项目无关的，不得分。</w:t>
            </w:r>
          </w:p>
        </w:tc>
      </w:tr>
      <w:tr>
        <w:tc>
          <w:tcPr>
            <w:tcW w:w="934" w:type="pct"/>
            <w:vMerge/>
            <w:tcBorders>
              <w:left w:val="single" w:sz="4" w:space="0" w:color="auto"/>
              <w:right w:val="single" w:sz="4" w:space="0" w:color="auto"/>
            </w:tcBorders>
            <w:vAlign w:val="center"/>
          </w:tc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业务集成方案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22</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1.能够结合既有业务流程和系统运行实际，提出清晰的集成衔接思路，覆盖业务协同、数据交互、权限控制、使用入口、异常处理和职责边界等主要方面，方案完整、衔接顺畅、可落地，得15-22分；</w:t>
            </w:r>
          </w:p>
          <w:p>
            <w:pPr>
              <w:pStyle w:val="34"/>
              <w:spacing w:after="0"/>
              <w:rPr>
                <w:sz w:val="21"/>
                <w:szCs w:val="21"/>
                <w:lang w:eastAsia="zh-CN"/>
              </w:rPr>
            </w:pPr>
            <w:r>
              <w:rPr>
                <w:sz w:val="21"/>
                <w:szCs w:val="21"/>
                <w:lang w:eastAsia="zh-CN"/>
              </w:rPr>
              <w:t>2.业务集成方案能够覆盖主要衔接事项，基本说明系统接入、数据交互和流程配合方式，但对协同关系、异常场景、边界控制或落地措施说明不够充分，得7-14分；</w:t>
            </w:r>
          </w:p>
          <w:p>
            <w:pPr>
              <w:pStyle w:val="34"/>
              <w:spacing w:after="0"/>
              <w:rPr>
                <w:sz w:val="21"/>
                <w:szCs w:val="21"/>
                <w:lang w:eastAsia="zh-CN"/>
              </w:rPr>
            </w:pPr>
            <w:r>
              <w:rPr>
                <w:sz w:val="21"/>
                <w:szCs w:val="21"/>
                <w:lang w:eastAsia="zh-CN"/>
              </w:rPr>
              <w:t>3.业务集成方案较粗略，仅作一般性描述，缺少对业务流程、系统衔接、数据交互或权限边界的有效说明，得1-6分；未提供或与本项目无关的，不得分。</w:t>
            </w:r>
          </w:p>
        </w:tc>
      </w:tr>
      <w:tr>
        <w:tc>
          <w:tcPr>
            <w:tcW w:w="934" w:type="pct"/>
            <w:vMerge/>
            <w:tcBorders>
              <w:left w:val="single" w:sz="4" w:space="0" w:color="auto"/>
              <w:right w:val="single" w:sz="4" w:space="0" w:color="auto"/>
            </w:tcBorders>
            <w:vAlign w:val="center"/>
          </w:tc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联调测试方案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10</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1.联调测试安排完整，能够明确测试范围、测试组织、测试方法、重点场景、问题闭环、验收材料和风险控制要求，测试安排具有可执行性，得7-10分；</w:t>
            </w:r>
          </w:p>
          <w:p>
            <w:pPr>
              <w:pStyle w:val="34"/>
              <w:spacing w:after="0"/>
              <w:rPr>
                <w:sz w:val="21"/>
                <w:szCs w:val="21"/>
                <w:lang w:eastAsia="zh-CN"/>
              </w:rPr>
            </w:pPr>
            <w:r>
              <w:rPr>
                <w:sz w:val="21"/>
                <w:szCs w:val="21"/>
                <w:lang w:eastAsia="zh-CN"/>
              </w:rPr>
              <w:t>2.联调测试方案基本可行，能够覆盖主要功能、接口、环境和验收要求，但测试深度、边界场景、问题闭环或验收证据要求不够充分，得4-6分；</w:t>
            </w:r>
          </w:p>
          <w:p>
            <w:pPr>
              <w:pStyle w:val="34"/>
              <w:spacing w:after="0"/>
              <w:rPr>
                <w:sz w:val="21"/>
                <w:szCs w:val="21"/>
                <w:lang w:eastAsia="zh-CN"/>
              </w:rPr>
            </w:pPr>
            <w:r>
              <w:rPr>
                <w:sz w:val="21"/>
                <w:szCs w:val="21"/>
                <w:lang w:eastAsia="zh-CN"/>
              </w:rPr>
              <w:t>3.测试安排简单，缺少联调范围、测试方法、问题跟踪或验收材料要求，得1-3分；未提供或与本项目无关的，不得分。</w:t>
            </w:r>
          </w:p>
        </w:tc>
      </w:tr>
      <w:tr>
        <w:tc>
          <w:tcPr>
            <w:tcW w:w="934" w:type="pct"/>
            <w:vMerge/>
            <w:tcBorders>
              <w:left w:val="single" w:sz="4" w:space="0" w:color="auto"/>
              <w:right w:val="single" w:sz="4" w:space="0" w:color="auto"/>
            </w:tcBorders>
            <w:vAlign w:val="center"/>
          </w:tc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项目实施方案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5</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1.实施计划清晰可执行，能够围绕开发调试周期明确阶段任务、时间节点、人员组织、沟通机制、交付物、培训安排、上线准备和风险应对，组织安排合理，得4-5分；</w:t>
            </w:r>
          </w:p>
          <w:p>
            <w:pPr>
              <w:pStyle w:val="34"/>
              <w:spacing w:after="0"/>
              <w:rPr>
                <w:sz w:val="21"/>
                <w:szCs w:val="21"/>
                <w:lang w:eastAsia="zh-CN"/>
              </w:rPr>
            </w:pPr>
            <w:r>
              <w:rPr>
                <w:sz w:val="21"/>
                <w:szCs w:val="21"/>
                <w:lang w:eastAsia="zh-CN"/>
              </w:rPr>
              <w:t>2.实施计划基本完整，能够覆盖开发、联调、部署、培训和验收等主要环节，但节点安排、组织协同或风险措施不够细化，得2-3分；</w:t>
            </w:r>
          </w:p>
          <w:p>
            <w:pPr>
              <w:pStyle w:val="34"/>
              <w:spacing w:after="0"/>
              <w:rPr>
                <w:sz w:val="21"/>
                <w:szCs w:val="21"/>
                <w:lang w:eastAsia="zh-CN"/>
              </w:rPr>
            </w:pPr>
            <w:r>
              <w:rPr>
                <w:sz w:val="21"/>
                <w:szCs w:val="21"/>
                <w:lang w:eastAsia="zh-CN"/>
              </w:rPr>
              <w:t>3.实施方案较为笼统，缺少明确进度、交付物、驻场安排、沟通机制或风险应对措施，得1分；未提供或与本项目无关的，不得分。</w:t>
            </w:r>
          </w:p>
        </w:tc>
      </w:tr>
      <w:tr>
        <w:tc>
          <w:tcPr>
            <w:tcW w:w="934" w:type="pct"/>
            <w:vMerge/>
            <w:tcBorders>
              <w:left w:val="single" w:sz="4" w:space="0" w:color="auto"/>
              <w:bottom w:val="single" w:sz="4" w:space="0" w:color="auto"/>
              <w:right w:val="single" w:sz="4" w:space="0" w:color="auto"/>
            </w:tcBorders>
            <w:vAlign w:val="center"/>
          </w:tcP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质量保障方案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8</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1.质量保障体系完整，能够覆盖需求控制、设计评审、开发管理、测试验证、版本配置、数据质量、安全合规、问题闭环和应急处置等主要环节，过程管控措施明确，得6-8分；</w:t>
            </w:r>
          </w:p>
          <w:p>
            <w:pPr>
              <w:pStyle w:val="34"/>
              <w:spacing w:after="0"/>
              <w:rPr>
                <w:sz w:val="21"/>
                <w:szCs w:val="21"/>
                <w:lang w:eastAsia="zh-CN"/>
              </w:rPr>
            </w:pPr>
            <w:r>
              <w:rPr>
                <w:sz w:val="21"/>
                <w:szCs w:val="21"/>
                <w:lang w:eastAsia="zh-CN"/>
              </w:rPr>
              <w:t>2.质量保障措施基本可行，能够覆盖开发测试、版本管理、问题处理和安全管理等主要内容，但过程控制、责任闭环或风险处置说明不够充分，得3-5分；</w:t>
            </w:r>
          </w:p>
          <w:p>
            <w:pPr>
              <w:pStyle w:val="34"/>
              <w:spacing w:after="0"/>
              <w:rPr>
                <w:sz w:val="21"/>
                <w:szCs w:val="21"/>
                <w:lang w:eastAsia="zh-CN"/>
              </w:rPr>
            </w:pPr>
            <w:r>
              <w:rPr>
                <w:sz w:val="21"/>
                <w:szCs w:val="21"/>
                <w:lang w:eastAsia="zh-CN"/>
              </w:rPr>
              <w:t>3.质量保障措施简单，缺少过程控制、交付检查、问题闭环、安全管理或回退措施，得1-2分；未提供或与本项目无关的，不得分。</w:t>
            </w:r>
          </w:p>
        </w:tc>
      </w:tr>
      <w:tr>
        <w:tc>
          <w:tcPr>
            <w:tcW w:w="934"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商务部分</w:t>
            </w:r>
          </w:p>
        </w:tc>
        <w:tc>
          <w:tcPr>
            <w:tcW w:w="76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售后服务方案</w:t>
            </w:r>
          </w:p>
        </w:tc>
        <w:tc>
          <w:tcPr>
            <w:tcW w:w="399" w:type="pct"/>
            <w:tcBorders>
              <w:top w:val="single" w:sz="4" w:space="0" w:color="auto"/>
              <w:left w:val="single" w:sz="4" w:space="0" w:color="auto"/>
              <w:bottom w:val="single" w:sz="4" w:space="0" w:color="auto"/>
              <w:right w:val="single" w:sz="4" w:space="0" w:color="auto"/>
            </w:tcBorders>
            <w:vAlign w:val="center"/>
          </w:tcPr>
          <w:p>
            <w:pPr>
              <w:pStyle w:val="34"/>
              <w:spacing w:after="0"/>
              <w:jc w:val="center"/>
              <w:rPr>
                <w:sz w:val="21"/>
                <w:szCs w:val="21"/>
              </w:rPr>
            </w:pPr>
            <w:r>
              <w:rPr>
                <w:sz w:val="21"/>
                <w:szCs w:val="21"/>
              </w:rPr>
              <w:t>5</w:t>
            </w:r>
          </w:p>
        </w:tc>
        <w:tc>
          <w:tcPr>
            <w:tcW w:w="2895" w:type="pct"/>
            <w:tcBorders>
              <w:top w:val="single" w:sz="4" w:space="0" w:color="auto"/>
              <w:left w:val="single" w:sz="4" w:space="0" w:color="auto"/>
              <w:bottom w:val="single" w:sz="4" w:space="0" w:color="auto"/>
              <w:right w:val="single" w:sz="4" w:space="0" w:color="auto"/>
            </w:tcBorders>
            <w:vAlign w:val="center"/>
          </w:tcPr>
          <w:p>
            <w:pPr>
              <w:pStyle w:val="34"/>
              <w:spacing w:after="0"/>
              <w:rPr>
                <w:sz w:val="21"/>
                <w:szCs w:val="21"/>
                <w:lang w:eastAsia="zh-CN"/>
              </w:rPr>
            </w:pPr>
            <w:r>
              <w:rPr>
                <w:sz w:val="21"/>
                <w:szCs w:val="21"/>
                <w:lang w:eastAsia="zh-CN"/>
              </w:rPr>
              <w:t>1.售后服务安排完整，能够明确免费运维期限、服务组织、响应时限、问题处理、版本维护、培训答疑、资料移交和重大问题报告机制，服务保障措施具体可行，得4-5分；</w:t>
            </w:r>
          </w:p>
          <w:p>
            <w:pPr>
              <w:pStyle w:val="34"/>
              <w:spacing w:after="0"/>
              <w:rPr>
                <w:sz w:val="21"/>
                <w:szCs w:val="21"/>
                <w:lang w:eastAsia="zh-CN"/>
              </w:rPr>
            </w:pPr>
            <w:r>
              <w:rPr>
                <w:sz w:val="21"/>
                <w:szCs w:val="21"/>
                <w:lang w:eastAsia="zh-CN"/>
              </w:rPr>
              <w:t>2.售后服务方案基本可行，能够说明免费运维、响应处理和日常支持安排，但服务流程、响应时限或资料移交不够细化，得2-3分；</w:t>
            </w:r>
          </w:p>
          <w:p>
            <w:pPr>
              <w:pStyle w:val="34"/>
              <w:spacing w:after="0"/>
              <w:rPr>
                <w:sz w:val="21"/>
                <w:szCs w:val="21"/>
                <w:lang w:eastAsia="zh-CN"/>
              </w:rPr>
            </w:pPr>
            <w:r>
              <w:rPr>
                <w:sz w:val="21"/>
                <w:szCs w:val="21"/>
                <w:lang w:eastAsia="zh-CN"/>
              </w:rPr>
              <w:t>3.售后服务说明简单，缺少明确服务期限、响应机制、故障处理或运维交付要求，得1分；未提供或与本项目无关的，不得分。</w:t>
            </w:r>
          </w:p>
        </w:tc>
      </w:tr>
    </w:tbl>
    <w:p/>
    <w:sectPr>
      <w:pgSz w:w="11906" w:h="16838"/>
      <w:pgMar w:top="1134" w:right="1134" w:bottom="1134" w:left="1134" w:header="680" w:footer="680" w:gutter="0"/>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Calibri">
    <w:altName w:val="Times New Roman"/>
    <w:panose1 w:val="020F0502020204030204"/>
    <w:charset w:val="00"/>
    <w:family w:val="swiss"/>
    <w:pitch w:val="variable"/>
    <w:sig w:usb0="E0002AFF" w:usb1="C000247B" w:usb2="00000009" w:usb3="00000000" w:csb0="000001FF" w:csb1="00000000"/>
  </w:font>
  <w:font w:name="ＭＳ ゴシック">
    <w:altName w:val="黑体"/>
    <w:panose1 w:val="00000000000000000000"/>
    <w:charset w:val="00"/>
    <w:family w:val="auto"/>
    <w:pitch w:val="variable"/>
    <w:sig w:usb0="00000000" w:usb1="00000000" w:usb2="00000000" w:usb3="00000000" w:csb0="00000000" w:csb1="00000000"/>
  </w:font>
  <w:font w:name="Courier">
    <w:altName w:val="Courier New"/>
    <w:panose1 w:val="02070309020205020404"/>
    <w:charset w:val="00"/>
    <w:family w:val="auto"/>
    <w:pitch w:val="variable"/>
    <w:sig w:usb0="00000000" w:usb1="00000000" w:usb2="00000000" w:usb3="00000000" w:csb0="00000001" w:csb1="00000000"/>
  </w:font>
  <w:font w:name="ＭＳ 明朝">
    <w:altName w:val="黑体"/>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2FF" w:usb1="400004FF" w:usb2="00000000" w:usb3="00000000" w:csb0="0000019F" w:csb1="00000000"/>
  </w:font>
  <w:font w:name="Symbol">
    <w:altName w:val="DejaVu Sans"/>
    <w:panose1 w:val="05050102010706020507"/>
    <w:charset w:val="02"/>
    <w:family w:val="decorative"/>
    <w:pitch w:val="variable"/>
    <w:sig w:usb0="00000000" w:usb1="1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FFFF7F"/>
    <w:multiLevelType w:val="singleLevel"/>
    <w:tmpl w:val="FFFFFF7F"/>
    <w:lvl w:ilvl="0">
      <w:start w:val="1"/>
      <w:numFmt w:val="decimal"/>
      <w:lvlRestart w:val="0"/>
      <w:pStyle w:val="17"/>
      <w:lvlText w:val="%1."/>
      <w:lvlJc w:val="left"/>
      <w:pPr>
        <w:tabs>
          <w:tab w:val="num" w:pos="720"/>
        </w:tabs>
        <w:ind w:left="720" w:hanging="360"/>
      </w:pPr>
    </w:lvl>
  </w:abstractNum>
  <w:abstractNum w:abstractNumId="1">
    <w:nsid w:val="FFFFFF88"/>
    <w:multiLevelType w:val="singleLevel"/>
    <w:tmpl w:val="FFFFFF88"/>
    <w:lvl w:ilvl="0">
      <w:start w:val="1"/>
      <w:numFmt w:val="decimal"/>
      <w:lvlRestart w:val="0"/>
      <w:pStyle w:val="18"/>
      <w:lvlText w:val="%1."/>
      <w:lvlJc w:val="left"/>
      <w:pPr>
        <w:tabs>
          <w:tab w:val="num" w:pos="360"/>
        </w:tabs>
        <w:ind w:left="360" w:hanging="360"/>
      </w:pPr>
    </w:lvl>
  </w:abstractNum>
  <w:abstractNum w:abstractNumId="2">
    <w:nsid w:val="FFFFFF89"/>
    <w:multiLevelType w:val="singleLevel"/>
    <w:tmpl w:val="FFFFFF89"/>
    <w:lvl w:ilvl="0">
      <w:start w:val="1"/>
      <w:numFmt w:val="bullet"/>
      <w:lvlRestart w:val="0"/>
      <w:pStyle w:val="20"/>
      <w:lvlText w:val=""/>
      <w:lvlJc w:val="left"/>
      <w:pPr>
        <w:tabs>
          <w:tab w:val="num" w:pos="360"/>
        </w:tabs>
        <w:ind w:left="360" w:hanging="360"/>
      </w:pPr>
      <w:rPr>
        <w:rFonts w:ascii="Symbol" w:hAnsi="Symbol" w:hint="default"/>
      </w:rPr>
    </w:lvl>
  </w:abstractNum>
  <w:abstractNum w:abstractNumId="3">
    <w:nsid w:val="FFFFFF82"/>
    <w:multiLevelType w:val="singleLevel"/>
    <w:tmpl w:val="FFFFFF82"/>
    <w:lvl w:ilvl="0">
      <w:start w:val="1"/>
      <w:numFmt w:val="bullet"/>
      <w:lvlRestart w:val="0"/>
      <w:pStyle w:val="22"/>
      <w:lvlText w:val=""/>
      <w:lvlJc w:val="left"/>
      <w:pPr>
        <w:tabs>
          <w:tab w:val="num" w:pos="1080"/>
        </w:tabs>
        <w:ind w:left="1080" w:hanging="360"/>
      </w:pPr>
      <w:rPr>
        <w:rFonts w:ascii="Symbol" w:hAnsi="Symbol" w:hint="default"/>
      </w:rPr>
    </w:lvl>
  </w:abstractNum>
  <w:abstractNum w:abstractNumId="4">
    <w:nsid w:val="FFFFFF7E"/>
    <w:multiLevelType w:val="singleLevel"/>
    <w:tmpl w:val="FFFFFF7E"/>
    <w:lvl w:ilvl="0">
      <w:start w:val="1"/>
      <w:numFmt w:val="decimal"/>
      <w:lvlRestart w:val="0"/>
      <w:pStyle w:val="24"/>
      <w:lvlText w:val="%1."/>
      <w:lvlJc w:val="left"/>
      <w:pPr>
        <w:tabs>
          <w:tab w:val="num" w:pos="1080"/>
        </w:tabs>
        <w:ind w:left="1080" w:hanging="360"/>
      </w:pPr>
    </w:lvl>
  </w:abstractNum>
  <w:abstractNum w:abstractNumId="5">
    <w:nsid w:val="FFFFFF83"/>
    <w:multiLevelType w:val="singleLevel"/>
    <w:tmpl w:val="FFFFFF83"/>
    <w:lvl w:ilvl="0">
      <w:start w:val="1"/>
      <w:numFmt w:val="bullet"/>
      <w:lvlRestart w:val="0"/>
      <w:pStyle w:val="27"/>
      <w:lvlText w:val=""/>
      <w:lvlJc w:val="left"/>
      <w:pPr>
        <w:tabs>
          <w:tab w:val="num" w:pos="720"/>
        </w:tabs>
        <w:ind w:left="72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bordersDoNotSurroundHeader/>
  <w:bordersDoNotSurroundFooter/>
  <w:defaultTabStop w:val="720"/>
  <w:drawingGridHorizontalSpacing w:val="90"/>
  <w:drawingGridVerticalSpacing w:val="156"/>
  <w:displayHorizontalDrawingGridEvery w:val="0"/>
  <w:displayVerticalDrawingGridEvery w:val="1"/>
  <w:noPunctuationKerning/>
  <w:compat>
    <w:spaceForUL/>
    <w:doNotExpandShiftReturn/>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spacing w:after="200" w:line="276" w:lineRule="auto"/>
    </w:pPr>
    <w:rPr>
      <w:rFonts w:ascii="Times New Roman" w:eastAsia="宋体" w:cs="Arial" w:hAnsi="Times New Roman"/>
      <w:sz w:val="18"/>
      <w:szCs w:val="22"/>
      <w:lang w:val="en-US" w:eastAsia="zh-CN" w:bidi="ar-SA"/>
    </w:rPr>
  </w:style>
  <w:style w:type="paragraph" w:styleId="1">
    <w:name w:val="heading 1"/>
    <w:basedOn w:val="0"/>
    <w:next w:val="0"/>
    <w:pPr>
      <w:keepNext/>
      <w:keepLines/>
      <w:spacing w:before="480" w:after="0"/>
      <w:outlineLvl w:val="0"/>
    </w:pPr>
    <w:rPr>
      <w:rFonts w:ascii="Calibri" w:eastAsia="ＭＳ ゴシック" w:cs="Times New Roman" w:hAnsi="Calibri"/>
      <w:b/>
      <w:bCs/>
      <w:color w:val="365F91"/>
      <w:sz w:val="28"/>
      <w:szCs w:val="28"/>
    </w:rPr>
  </w:style>
  <w:style w:type="paragraph" w:styleId="2">
    <w:name w:val="heading 2"/>
    <w:basedOn w:val="0"/>
    <w:next w:val="0"/>
    <w:pPr>
      <w:keepNext/>
      <w:keepLines/>
      <w:spacing w:before="200" w:after="0"/>
      <w:outlineLvl w:val="1"/>
    </w:pPr>
    <w:rPr>
      <w:rFonts w:ascii="Calibri" w:eastAsia="ＭＳ ゴシック" w:cs="Times New Roman" w:hAnsi="Calibri"/>
      <w:b/>
      <w:bCs/>
      <w:color w:val="4F81BD"/>
      <w:sz w:val="26"/>
      <w:szCs w:val="26"/>
    </w:rPr>
  </w:style>
  <w:style w:type="paragraph" w:styleId="3">
    <w:name w:val="heading 3"/>
    <w:basedOn w:val="0"/>
    <w:next w:val="0"/>
    <w:pPr>
      <w:keepNext/>
      <w:keepLines/>
      <w:spacing w:before="200" w:after="0"/>
      <w:outlineLvl w:val="2"/>
    </w:pPr>
    <w:rPr>
      <w:rFonts w:ascii="Calibri" w:eastAsia="ＭＳ ゴシック" w:cs="Times New Roman" w:hAnsi="Calibri"/>
      <w:b/>
      <w:bCs/>
      <w:color w:val="4F81BD"/>
    </w:rPr>
  </w:style>
  <w:style w:type="paragraph" w:styleId="4">
    <w:name w:val="heading 4"/>
    <w:basedOn w:val="0"/>
    <w:next w:val="0"/>
    <w:pPr>
      <w:keepNext/>
      <w:keepLines/>
      <w:spacing w:before="200" w:after="0"/>
      <w:outlineLvl w:val="3"/>
    </w:pPr>
    <w:rPr>
      <w:rFonts w:ascii="Calibri" w:eastAsia="ＭＳ ゴシック" w:cs="Times New Roman" w:hAnsi="Calibri"/>
      <w:b/>
      <w:bCs/>
      <w:i/>
      <w:iCs/>
      <w:color w:val="4F81BD"/>
    </w:rPr>
  </w:style>
  <w:style w:type="paragraph" w:styleId="5">
    <w:name w:val="heading 5"/>
    <w:basedOn w:val="0"/>
    <w:next w:val="0"/>
    <w:pPr>
      <w:keepNext/>
      <w:keepLines/>
      <w:spacing w:before="200" w:after="0"/>
      <w:outlineLvl w:val="4"/>
    </w:pPr>
    <w:rPr>
      <w:rFonts w:ascii="Calibri" w:eastAsia="ＭＳ ゴシック" w:cs="Times New Roman" w:hAnsi="Calibri"/>
      <w:color w:val="244061"/>
    </w:rPr>
  </w:style>
  <w:style w:type="paragraph" w:styleId="6">
    <w:name w:val="heading 6"/>
    <w:basedOn w:val="0"/>
    <w:next w:val="0"/>
    <w:pPr>
      <w:keepNext/>
      <w:keepLines/>
      <w:spacing w:before="200" w:after="0"/>
      <w:outlineLvl w:val="5"/>
    </w:pPr>
    <w:rPr>
      <w:rFonts w:ascii="Calibri" w:eastAsia="ＭＳ ゴシック" w:cs="Times New Roman" w:hAnsi="Calibri"/>
      <w:i/>
      <w:iCs/>
      <w:color w:val="244061"/>
    </w:rPr>
  </w:style>
  <w:style w:type="paragraph" w:styleId="7">
    <w:name w:val="heading 7"/>
    <w:basedOn w:val="0"/>
    <w:next w:val="0"/>
    <w:pPr>
      <w:keepNext/>
      <w:keepLines/>
      <w:spacing w:before="200" w:after="0"/>
      <w:outlineLvl w:val="6"/>
    </w:pPr>
    <w:rPr>
      <w:rFonts w:ascii="Calibri" w:eastAsia="ＭＳ ゴシック" w:cs="Times New Roman" w:hAnsi="Calibri"/>
      <w:i/>
      <w:iCs/>
      <w:color w:val="404040"/>
    </w:rPr>
  </w:style>
  <w:style w:type="paragraph" w:styleId="8">
    <w:name w:val="heading 8"/>
    <w:basedOn w:val="0"/>
    <w:next w:val="0"/>
    <w:pPr>
      <w:keepNext/>
      <w:keepLines/>
      <w:spacing w:before="200" w:after="0"/>
      <w:outlineLvl w:val="7"/>
    </w:pPr>
    <w:rPr>
      <w:rFonts w:ascii="Calibri" w:eastAsia="ＭＳ ゴシック" w:cs="Times New Roman" w:hAnsi="Calibri"/>
      <w:color w:val="4F81BD"/>
      <w:sz w:val="20"/>
      <w:szCs w:val="20"/>
    </w:rPr>
  </w:style>
  <w:style w:type="paragraph" w:styleId="9">
    <w:name w:val="heading 9"/>
    <w:basedOn w:val="0"/>
    <w:next w:val="0"/>
    <w:pPr>
      <w:keepNext/>
      <w:keepLines/>
      <w:spacing w:before="200" w:after="0"/>
      <w:outlineLvl w:val="8"/>
    </w:pPr>
    <w:rPr>
      <w:rFonts w:ascii="Calibri" w:eastAsia="ＭＳ ゴシック" w:cs="Times New Roman" w:hAnsi="Calibri"/>
      <w:i/>
      <w:iCs/>
      <w:color w:val="404040"/>
      <w:sz w:val="20"/>
      <w:szCs w:val="20"/>
    </w:rPr>
  </w:style>
  <w:style w:type="character" w:default="1" w:styleId="10">
    <w:name w:val="Default Paragraph Font"/>
  </w:style>
  <w:style w:type="paragraph" w:styleId="15">
    <w:name w:val="macro"/>
    <w:pPr>
      <w:tabs>
        <w:tab w:val="left" w:pos="576"/>
        <w:tab w:val="left" w:pos="1152"/>
        <w:tab w:val="left" w:pos="1728"/>
        <w:tab w:val="left" w:pos="2304"/>
        <w:tab w:val="left" w:pos="2880"/>
        <w:tab w:val="left" w:pos="3456"/>
        <w:tab w:val="left" w:pos="4032"/>
      </w:tabs>
      <w:spacing w:after="200" w:line="276" w:lineRule="auto"/>
    </w:pPr>
    <w:rPr>
      <w:rFonts w:ascii="Courier" w:eastAsia="ＭＳ 明朝" w:cs="Arial" w:hAnsi="Courier"/>
      <w:sz w:val="20"/>
      <w:szCs w:val="20"/>
      <w:lang w:val="en-US" w:eastAsia="zh-CN" w:bidi="ar-SA"/>
    </w:rPr>
  </w:style>
  <w:style w:type="paragraph" w:styleId="16">
    <w:name w:val="List 3"/>
    <w:basedOn w:val="0"/>
    <w:pPr>
      <w:ind w:left="1080" w:hanging="360"/>
      <w:contextualSpacing/>
    </w:pPr>
  </w:style>
  <w:style w:type="paragraph" w:styleId="17">
    <w:name w:val="List Number 2"/>
    <w:basedOn w:val="0"/>
    <w:pPr>
      <w:numPr>
        <w:ilvl w:val="0"/>
        <w:numId w:val="1"/>
      </w:numPr>
      <w:contextualSpacing/>
    </w:pPr>
  </w:style>
  <w:style w:type="paragraph" w:styleId="18">
    <w:name w:val="List Number"/>
    <w:basedOn w:val="0"/>
    <w:pPr>
      <w:numPr>
        <w:ilvl w:val="0"/>
        <w:numId w:val="2"/>
      </w:numPr>
      <w:contextualSpacing/>
    </w:pPr>
  </w:style>
  <w:style w:type="paragraph" w:styleId="19">
    <w:name w:val="caption"/>
    <w:basedOn w:val="0"/>
    <w:next w:val="0"/>
    <w:pPr>
      <w:spacing w:line="240" w:lineRule="auto"/>
    </w:pPr>
    <w:rPr>
      <w:b/>
      <w:bCs/>
      <w:color w:val="4F81BD"/>
      <w:szCs w:val="18"/>
    </w:rPr>
  </w:style>
  <w:style w:type="paragraph" w:styleId="20">
    <w:name w:val="List Bullet"/>
    <w:basedOn w:val="0"/>
    <w:pPr>
      <w:numPr>
        <w:ilvl w:val="0"/>
        <w:numId w:val="3"/>
      </w:numPr>
      <w:contextualSpacing/>
    </w:pPr>
  </w:style>
  <w:style w:type="paragraph" w:styleId="21">
    <w:name w:val="Body Text 3"/>
    <w:basedOn w:val="0"/>
    <w:pPr>
      <w:spacing w:after="120"/>
    </w:pPr>
    <w:rPr>
      <w:sz w:val="16"/>
      <w:szCs w:val="16"/>
    </w:rPr>
  </w:style>
  <w:style w:type="paragraph" w:styleId="22">
    <w:name w:val="List Bullet 3"/>
    <w:basedOn w:val="0"/>
    <w:pPr>
      <w:numPr>
        <w:ilvl w:val="0"/>
        <w:numId w:val="4"/>
      </w:numPr>
      <w:contextualSpacing/>
    </w:pPr>
  </w:style>
  <w:style w:type="paragraph" w:styleId="23">
    <w:name w:val="Body Text"/>
    <w:basedOn w:val="0"/>
    <w:pPr>
      <w:spacing w:after="120"/>
    </w:pPr>
  </w:style>
  <w:style w:type="paragraph" w:styleId="24">
    <w:name w:val="List Number 3"/>
    <w:basedOn w:val="0"/>
    <w:pPr>
      <w:numPr>
        <w:ilvl w:val="0"/>
        <w:numId w:val="5"/>
      </w:numPr>
      <w:contextualSpacing/>
    </w:pPr>
  </w:style>
  <w:style w:type="paragraph" w:styleId="25">
    <w:name w:val="List 2"/>
    <w:basedOn w:val="0"/>
    <w:pPr>
      <w:ind w:left="720" w:hanging="360"/>
      <w:contextualSpacing/>
    </w:pPr>
  </w:style>
  <w:style w:type="paragraph" w:styleId="26">
    <w:name w:val="List Continue"/>
    <w:basedOn w:val="0"/>
    <w:pPr>
      <w:spacing w:after="120"/>
      <w:ind w:left="360"/>
      <w:contextualSpacing/>
    </w:pPr>
  </w:style>
  <w:style w:type="paragraph" w:styleId="27">
    <w:name w:val="List Bullet 2"/>
    <w:basedOn w:val="0"/>
    <w:pPr>
      <w:numPr>
        <w:ilvl w:val="0"/>
        <w:numId w:val="6"/>
      </w:numPr>
      <w:contextualSpacing/>
    </w:pPr>
  </w:style>
  <w:style w:type="paragraph" w:styleId="28">
    <w:name w:val="footer"/>
    <w:basedOn w:val="0"/>
    <w:pPr>
      <w:tabs>
        <w:tab w:val="center" w:pos="4680"/>
        <w:tab w:val="right" w:pos="9360"/>
      </w:tabs>
      <w:spacing w:after="0" w:line="240" w:lineRule="auto"/>
    </w:pPr>
  </w:style>
  <w:style w:type="paragraph" w:styleId="29">
    <w:name w:val="header"/>
    <w:basedOn w:val="0"/>
    <w:pPr>
      <w:tabs>
        <w:tab w:val="center" w:pos="4680"/>
        <w:tab w:val="right" w:pos="9360"/>
      </w:tabs>
      <w:spacing w:after="0" w:line="240" w:lineRule="auto"/>
    </w:pPr>
  </w:style>
  <w:style w:type="paragraph" w:styleId="30">
    <w:name w:val="Subtitle"/>
    <w:basedOn w:val="0"/>
    <w:next w:val="0"/>
    <w:rPr>
      <w:rFonts w:ascii="Calibri" w:eastAsia="ＭＳ ゴシック" w:cs="Times New Roman" w:hAnsi="Calibri"/>
      <w:i/>
      <w:iCs/>
      <w:color w:val="4F81BD"/>
      <w:spacing w:val="15"/>
      <w:sz w:val="24"/>
      <w:szCs w:val="24"/>
    </w:rPr>
  </w:style>
  <w:style w:type="paragraph" w:styleId="31">
    <w:name w:val="List"/>
    <w:basedOn w:val="0"/>
    <w:pPr>
      <w:ind w:left="360" w:hanging="360"/>
      <w:contextualSpacing/>
    </w:pPr>
  </w:style>
  <w:style w:type="paragraph" w:styleId="32">
    <w:name w:val="Body Text 2"/>
    <w:basedOn w:val="0"/>
    <w:pPr>
      <w:spacing w:after="120" w:line="480" w:lineRule="auto"/>
    </w:pPr>
  </w:style>
  <w:style w:type="paragraph" w:styleId="33">
    <w:name w:val="List Continue 2"/>
    <w:basedOn w:val="0"/>
    <w:pPr>
      <w:spacing w:after="120"/>
      <w:ind w:left="720"/>
      <w:contextualSpacing/>
    </w:pPr>
  </w:style>
  <w:style w:type="paragraph" w:styleId="34">
    <w:name w:val="Normal (Web)"/>
    <w:basedOn w:val="0"/>
    <w:rPr>
      <w:sz w:val="24"/>
    </w:rPr>
  </w:style>
  <w:style w:type="paragraph" w:styleId="35">
    <w:name w:val="List Continue 3"/>
    <w:basedOn w:val="0"/>
    <w:pPr>
      <w:spacing w:after="120"/>
      <w:ind w:left="1080"/>
      <w:contextualSpacing/>
    </w:pPr>
  </w:style>
  <w:style w:type="paragraph" w:styleId="36">
    <w:name w:val="Title"/>
    <w:basedOn w:val="0"/>
    <w:next w:val="0"/>
    <w:pPr>
      <w:pBdr>
        <w:bottom w:val="single" w:sz="8" w:space="4" w:color="4F81BD"/>
      </w:pBdr>
      <w:spacing w:after="300" w:line="240" w:lineRule="auto"/>
      <w:contextualSpacing/>
    </w:pPr>
    <w:rPr>
      <w:rFonts w:ascii="Calibri" w:eastAsia="ＭＳ ゴシック" w:cs="Times New Roman" w:hAnsi="Calibri"/>
      <w:color w:val="17365D"/>
      <w:spacing w:val="5"/>
      <w:kern w:val="28"/>
      <w:sz w:val="52"/>
      <w:szCs w:val="52"/>
    </w:rPr>
  </w:style>
  <w:style w:type="character" w:styleId="37">
    <w:name w:val="Strong"/>
    <w:basedOn w:val="10"/>
    <w:rPr>
      <w:b/>
      <w:bCs/>
    </w:rPr>
  </w:style>
  <w:style w:type="character" w:styleId="38">
    <w:name w:val="Emphasis"/>
    <w:basedOn w:val="10"/>
    <w:rPr>
      <w:i/>
      <w:iCs/>
    </w:rPr>
  </w:style>
  <w:style w:type="paragraph" w:customStyle="1" w:styleId="39">
    <w:name w:val="No Spacing"/>
    <w:rPr>
      <w:rFonts w:ascii="Cambria" w:eastAsia="ＭＳ 明朝" w:cs="Arial" w:hAnsi="Cambria"/>
      <w:sz w:val="22"/>
      <w:szCs w:val="22"/>
      <w:lang w:val="en-US" w:eastAsia="zh-CN" w:bidi="ar-SA"/>
    </w:rPr>
  </w:style>
  <w:style w:type="paragraph" w:customStyle="1" w:styleId="40">
    <w:name w:val="List Paragraph"/>
    <w:basedOn w:val="0"/>
    <w:pPr>
      <w:ind w:left="720"/>
      <w:contextualSpacing/>
    </w:pPr>
  </w:style>
  <w:style w:type="paragraph" w:customStyle="1" w:styleId="41">
    <w:name w:val="Quote"/>
    <w:basedOn w:val="0"/>
    <w:next w:val="0"/>
    <w:rPr>
      <w:i/>
      <w:iCs/>
      <w:color w:val="000000"/>
    </w:rPr>
  </w:style>
  <w:style w:type="paragraph" w:customStyle="1" w:styleId="42">
    <w:name w:val="Intense Quote"/>
    <w:basedOn w:val="0"/>
    <w:next w:val="0"/>
    <w:pPr>
      <w:pBdr>
        <w:bottom w:val="single" w:sz="4" w:space="4" w:color="4F81BD"/>
      </w:pBdr>
      <w:spacing w:before="200" w:after="280"/>
      <w:ind w:left="936" w:right="936"/>
    </w:pPr>
    <w:rPr>
      <w:b/>
      <w:bCs/>
      <w:i/>
      <w:iCs/>
      <w:color w:val="4F81BD"/>
    </w:rPr>
  </w:style>
  <w:style w:type="character" w:customStyle="1" w:styleId="43">
    <w:name w:val="不明显强调1"/>
    <w:basedOn w:val="10"/>
    <w:rPr>
      <w:i/>
      <w:iCs/>
      <w:color w:val="7F7F7F"/>
    </w:rPr>
  </w:style>
  <w:style w:type="character" w:customStyle="1" w:styleId="44">
    <w:name w:val="明显强调1"/>
    <w:basedOn w:val="10"/>
    <w:rPr>
      <w:b/>
      <w:bCs/>
      <w:i/>
      <w:iCs/>
      <w:color w:val="4F81BD"/>
    </w:rPr>
  </w:style>
  <w:style w:type="character" w:customStyle="1" w:styleId="45">
    <w:name w:val="不明显参考1"/>
    <w:basedOn w:val="10"/>
    <w:rPr>
      <w:caps w:val="0"/>
      <w:smallCaps/>
      <w:color w:val="C0504D"/>
      <w:u w:val="single"/>
    </w:rPr>
  </w:style>
  <w:style w:type="character" w:customStyle="1" w:styleId="46">
    <w:name w:val="明显参考1"/>
    <w:basedOn w:val="10"/>
    <w:rPr>
      <w:b/>
      <w:bCs/>
      <w:caps w:val="0"/>
      <w:smallCaps/>
      <w:color w:val="C0504D"/>
      <w:spacing w:val="5"/>
      <w:u w:val="single"/>
    </w:rPr>
  </w:style>
  <w:style w:type="character" w:customStyle="1" w:styleId="47">
    <w:name w:val="书籍标题1"/>
    <w:basedOn w:val="10"/>
    <w:rPr>
      <w:b/>
      <w:bCs/>
      <w:caps w:val="0"/>
      <w:smallCaps/>
      <w:spacing w:val="5"/>
    </w:rPr>
  </w:style>
  <w:style w:type="paragraph" w:customStyle="1" w:styleId="48">
    <w:name w:val="TOC 标题1"/>
    <w:basedOn w:val="1"/>
    <w:next w:val="0"/>
    <w:pPr>
      <w:outlineLvl w:val="9"/>
    </w:pPr>
  </w:style>
  <w:style w:type="paragraph" w:customStyle="1" w:styleId="49">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197</TotalTime>
  <Application>Yozo_Office</Application>
  <Pages>2</Pages>
  <Words>1586</Words>
  <Characters>1660</Characters>
  <Lines>94</Lines>
  <Paragraphs>50</Paragraphs>
  <CharactersWithSpaces>1668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python-docx</dc:creator>
  <dc:description>generated by python-docx</dc:description>
  <cp:lastModifiedBy>郁风</cp:lastModifiedBy>
  <cp:revision>7</cp:revision>
  <dcterms:created xsi:type="dcterms:W3CDTF">2013-12-23T23:15:00Z</dcterms:created>
  <dcterms:modified xsi:type="dcterms:W3CDTF">2026-07-16T06:16:10Z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eyJoZGlkIjoiZWMxN2M1MjE5M2M3NjQzMTUyODBhMjIyZWNlNGUxZjYiLCJ1c2VySWQiOiIxMzUyNjk3NDkzIn0=</vt:lpwstr>
  </property>
  <property fmtid="{D5CDD505-2E9C-101B-9397-08002B2CF9AE}" pid="3" name="KSOProductBuildVer">
    <vt:lpwstr>2052-12.1.0.26884</vt:lpwstr>
  </property>
  <property fmtid="{D5CDD505-2E9C-101B-9397-08002B2CF9AE}" pid="4" name="ICV">
    <vt:lpwstr>5B41EDE1F12D4DD489519F9B42342C34_13</vt:lpwstr>
  </property>
</Properties>
</file>