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71CC02">
      <w:pPr>
        <w:tabs>
          <w:tab w:val="left" w:pos="5117"/>
        </w:tabs>
        <w:snapToGrid w:val="0"/>
        <w:spacing w:line="360" w:lineRule="auto"/>
        <w:ind w:firstLine="643"/>
        <w:rPr>
          <w:rFonts w:ascii="宋体" w:hAnsi="宋体" w:cs="宋体"/>
          <w:b/>
          <w:color w:val="auto"/>
          <w:kern w:val="0"/>
          <w:sz w:val="32"/>
          <w:szCs w:val="32"/>
          <w:highlight w:val="none"/>
        </w:rPr>
      </w:pPr>
    </w:p>
    <w:p w14:paraId="4018A185">
      <w:pPr>
        <w:tabs>
          <w:tab w:val="left" w:pos="5117"/>
        </w:tabs>
        <w:snapToGrid w:val="0"/>
        <w:spacing w:line="360" w:lineRule="auto"/>
        <w:ind w:firstLine="643"/>
        <w:rPr>
          <w:rFonts w:ascii="宋体" w:hAnsi="宋体" w:cs="宋体"/>
          <w:b/>
          <w:color w:val="auto"/>
          <w:kern w:val="0"/>
          <w:sz w:val="32"/>
          <w:szCs w:val="32"/>
          <w:highlight w:val="none"/>
        </w:rPr>
      </w:pPr>
    </w:p>
    <w:p w14:paraId="64C1214F">
      <w:pPr>
        <w:tabs>
          <w:tab w:val="left" w:pos="5117"/>
        </w:tabs>
        <w:snapToGrid w:val="0"/>
        <w:spacing w:line="360" w:lineRule="auto"/>
        <w:ind w:firstLine="643"/>
        <w:rPr>
          <w:rFonts w:ascii="宋体" w:hAnsi="宋体" w:cs="宋体"/>
          <w:b/>
          <w:color w:val="auto"/>
          <w:kern w:val="0"/>
          <w:sz w:val="32"/>
          <w:szCs w:val="32"/>
          <w:highlight w:val="none"/>
          <w:u w:val="single"/>
        </w:rPr>
      </w:pPr>
      <w:r>
        <w:rPr>
          <w:rFonts w:hint="eastAsia" w:ascii="宋体" w:hAnsi="宋体" w:cs="宋体"/>
          <w:b/>
          <w:color w:val="auto"/>
          <w:kern w:val="0"/>
          <w:sz w:val="32"/>
          <w:szCs w:val="32"/>
          <w:highlight w:val="none"/>
        </w:rPr>
        <w:t>项目编号：</w:t>
      </w:r>
      <w:r>
        <w:rPr>
          <w:color w:val="auto"/>
          <w:highlight w:val="none"/>
        </w:rPr>
        <w:fldChar w:fldCharType="begin"/>
      </w:r>
      <w:r>
        <w:rPr>
          <w:color w:val="auto"/>
          <w:highlight w:val="none"/>
        </w:rPr>
        <w:instrText xml:space="preserve"> HYPERLINK "javascript:void(0)" </w:instrText>
      </w:r>
      <w:r>
        <w:rPr>
          <w:color w:val="auto"/>
          <w:highlight w:val="none"/>
        </w:rPr>
        <w:fldChar w:fldCharType="separate"/>
      </w:r>
      <w:r>
        <w:rPr>
          <w:rFonts w:hint="eastAsia" w:ascii="宋体" w:hAnsi="宋体" w:cs="宋体"/>
          <w:b/>
          <w:color w:val="auto"/>
          <w:kern w:val="0"/>
          <w:sz w:val="32"/>
          <w:szCs w:val="32"/>
          <w:highlight w:val="none"/>
          <w:lang w:eastAsia="zh-CN"/>
        </w:rPr>
        <w:t>TLYQ2026-06048</w:t>
      </w:r>
      <w:r>
        <w:rPr>
          <w:rFonts w:hint="eastAsia" w:ascii="宋体" w:hAnsi="宋体" w:cs="宋体"/>
          <w:b/>
          <w:color w:val="auto"/>
          <w:kern w:val="0"/>
          <w:sz w:val="32"/>
          <w:szCs w:val="32"/>
          <w:highlight w:val="none"/>
        </w:rPr>
        <w:fldChar w:fldCharType="end"/>
      </w:r>
      <w:r>
        <w:rPr>
          <w:rFonts w:hint="eastAsia" w:ascii="宋体" w:hAnsi="宋体" w:cs="宋体"/>
          <w:b/>
          <w:color w:val="auto"/>
          <w:kern w:val="0"/>
          <w:sz w:val="32"/>
          <w:szCs w:val="32"/>
          <w:highlight w:val="none"/>
        </w:rPr>
        <w:tab/>
      </w:r>
    </w:p>
    <w:p w14:paraId="5A6D8970">
      <w:pPr>
        <w:tabs>
          <w:tab w:val="left" w:pos="4350"/>
          <w:tab w:val="left" w:pos="5580"/>
        </w:tabs>
        <w:snapToGrid w:val="0"/>
        <w:spacing w:line="360" w:lineRule="auto"/>
        <w:ind w:firstLine="1044"/>
        <w:jc w:val="left"/>
        <w:rPr>
          <w:rFonts w:ascii="宋体" w:hAnsi="宋体" w:cs="宋体"/>
          <w:b/>
          <w:color w:val="auto"/>
          <w:kern w:val="0"/>
          <w:sz w:val="52"/>
          <w:szCs w:val="52"/>
          <w:highlight w:val="none"/>
        </w:rPr>
      </w:pPr>
      <w:r>
        <w:rPr>
          <w:rFonts w:hint="eastAsia" w:ascii="宋体" w:hAnsi="宋体" w:cs="宋体"/>
          <w:b/>
          <w:color w:val="auto"/>
          <w:kern w:val="0"/>
          <w:sz w:val="52"/>
          <w:szCs w:val="52"/>
          <w:highlight w:val="none"/>
        </w:rPr>
        <w:tab/>
      </w:r>
      <w:r>
        <w:rPr>
          <w:rFonts w:hint="eastAsia" w:ascii="宋体" w:hAnsi="宋体" w:cs="宋体"/>
          <w:b/>
          <w:color w:val="auto"/>
          <w:kern w:val="0"/>
          <w:sz w:val="52"/>
          <w:szCs w:val="52"/>
          <w:highlight w:val="none"/>
        </w:rPr>
        <w:tab/>
      </w:r>
    </w:p>
    <w:p w14:paraId="6DE2857C">
      <w:pPr>
        <w:snapToGrid w:val="0"/>
        <w:spacing w:line="360" w:lineRule="auto"/>
        <w:ind w:firstLine="1044"/>
        <w:jc w:val="center"/>
        <w:rPr>
          <w:rFonts w:ascii="宋体" w:hAnsi="宋体" w:cs="宋体"/>
          <w:b/>
          <w:color w:val="auto"/>
          <w:kern w:val="0"/>
          <w:sz w:val="52"/>
          <w:szCs w:val="52"/>
          <w:highlight w:val="none"/>
        </w:rPr>
      </w:pPr>
    </w:p>
    <w:p w14:paraId="7AB2ED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ascii="宋体" w:hAnsi="宋体" w:cs="宋体"/>
          <w:b/>
          <w:color w:val="auto"/>
          <w:kern w:val="0"/>
          <w:sz w:val="52"/>
          <w:szCs w:val="52"/>
          <w:highlight w:val="none"/>
        </w:rPr>
      </w:pPr>
      <w:r>
        <w:rPr>
          <w:rFonts w:hint="eastAsia" w:ascii="宋体" w:hAnsi="宋体" w:cs="宋体"/>
          <w:b/>
          <w:color w:val="auto"/>
          <w:kern w:val="0"/>
          <w:sz w:val="52"/>
          <w:szCs w:val="52"/>
          <w:highlight w:val="none"/>
        </w:rPr>
        <w:t>大连海关技术中心2026年海关仪器设备购置及能力保障专项采购项目</w:t>
      </w:r>
    </w:p>
    <w:p w14:paraId="7AAC564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ascii="宋体" w:hAnsi="宋体" w:cs="宋体"/>
          <w:b/>
          <w:color w:val="auto"/>
          <w:kern w:val="0"/>
          <w:sz w:val="52"/>
          <w:szCs w:val="52"/>
          <w:highlight w:val="none"/>
        </w:rPr>
      </w:pPr>
    </w:p>
    <w:p w14:paraId="01515D78">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ascii="宋体" w:hAnsi="宋体" w:cs="宋体"/>
          <w:b/>
          <w:color w:val="auto"/>
          <w:kern w:val="0"/>
          <w:sz w:val="84"/>
          <w:szCs w:val="84"/>
          <w:highlight w:val="none"/>
        </w:rPr>
      </w:pPr>
      <w:r>
        <w:rPr>
          <w:rFonts w:hint="eastAsia" w:ascii="宋体" w:hAnsi="宋体" w:cs="宋体"/>
          <w:b/>
          <w:color w:val="auto"/>
          <w:kern w:val="0"/>
          <w:sz w:val="84"/>
          <w:szCs w:val="84"/>
          <w:highlight w:val="none"/>
        </w:rPr>
        <w:t>招标文件</w:t>
      </w:r>
    </w:p>
    <w:p w14:paraId="2B6844E6">
      <w:pPr>
        <w:snapToGrid w:val="0"/>
        <w:spacing w:line="360" w:lineRule="auto"/>
        <w:ind w:firstLine="480"/>
        <w:jc w:val="center"/>
        <w:rPr>
          <w:rFonts w:ascii="宋体" w:hAnsi="宋体" w:cs="宋体"/>
          <w:color w:val="auto"/>
          <w:kern w:val="0"/>
          <w:highlight w:val="none"/>
        </w:rPr>
      </w:pPr>
    </w:p>
    <w:p w14:paraId="7CB43EB2">
      <w:pPr>
        <w:pStyle w:val="99"/>
        <w:numPr>
          <w:ilvl w:val="0"/>
          <w:numId w:val="0"/>
        </w:numPr>
        <w:snapToGrid w:val="0"/>
        <w:rPr>
          <w:rFonts w:ascii="宋体" w:hAnsi="宋体" w:cs="宋体"/>
          <w:color w:val="auto"/>
          <w:kern w:val="0"/>
          <w:highlight w:val="none"/>
        </w:rPr>
      </w:pPr>
    </w:p>
    <w:p w14:paraId="42692BE6">
      <w:pPr>
        <w:snapToGrid w:val="0"/>
        <w:spacing w:line="360" w:lineRule="auto"/>
        <w:ind w:firstLine="480"/>
        <w:jc w:val="center"/>
        <w:rPr>
          <w:rFonts w:ascii="宋体" w:hAnsi="宋体" w:cs="宋体"/>
          <w:color w:val="auto"/>
          <w:kern w:val="0"/>
          <w:highlight w:val="none"/>
        </w:rPr>
      </w:pPr>
    </w:p>
    <w:p w14:paraId="62043988">
      <w:pPr>
        <w:snapToGrid w:val="0"/>
        <w:spacing w:line="360" w:lineRule="auto"/>
        <w:ind w:left="1680" w:leftChars="800"/>
        <w:rPr>
          <w:rFonts w:hint="eastAsia" w:ascii="宋体" w:hAnsi="宋体" w:eastAsia="宋体" w:cs="宋体"/>
          <w:b/>
          <w:color w:val="auto"/>
          <w:kern w:val="0"/>
          <w:sz w:val="30"/>
          <w:szCs w:val="30"/>
          <w:highlight w:val="none"/>
          <w:lang w:eastAsia="zh-CN"/>
        </w:rPr>
      </w:pPr>
      <w:r>
        <w:rPr>
          <w:rFonts w:hint="eastAsia" w:ascii="宋体" w:hAnsi="宋体" w:cs="宋体"/>
          <w:b/>
          <w:color w:val="auto"/>
          <w:spacing w:val="101"/>
          <w:kern w:val="0"/>
          <w:sz w:val="30"/>
          <w:szCs w:val="30"/>
          <w:highlight w:val="none"/>
          <w:fitText w:val="1806" w:id="-1455778045"/>
        </w:rPr>
        <w:t>项目名</w:t>
      </w:r>
      <w:r>
        <w:rPr>
          <w:rFonts w:hint="eastAsia" w:ascii="宋体" w:hAnsi="宋体" w:cs="宋体"/>
          <w:b/>
          <w:color w:val="auto"/>
          <w:spacing w:val="0"/>
          <w:kern w:val="0"/>
          <w:sz w:val="30"/>
          <w:szCs w:val="30"/>
          <w:highlight w:val="none"/>
          <w:fitText w:val="1806" w:id="-1455778045"/>
        </w:rPr>
        <w:t>称</w:t>
      </w:r>
      <w:r>
        <w:rPr>
          <w:rFonts w:hint="eastAsia" w:ascii="宋体" w:hAnsi="宋体" w:cs="宋体"/>
          <w:b/>
          <w:color w:val="auto"/>
          <w:kern w:val="0"/>
          <w:sz w:val="30"/>
          <w:szCs w:val="30"/>
          <w:highlight w:val="none"/>
        </w:rPr>
        <w:t>：</w:t>
      </w:r>
      <w:r>
        <w:rPr>
          <w:rFonts w:hint="eastAsia" w:ascii="宋体" w:hAnsi="宋体" w:cs="宋体"/>
          <w:b/>
          <w:color w:val="auto"/>
          <w:kern w:val="0"/>
          <w:sz w:val="30"/>
          <w:szCs w:val="30"/>
          <w:highlight w:val="none"/>
          <w:lang w:eastAsia="zh-CN"/>
        </w:rPr>
        <w:t>大连海关技术中心202</w:t>
      </w:r>
      <w:r>
        <w:rPr>
          <w:rFonts w:hint="eastAsia" w:ascii="宋体" w:hAnsi="宋体" w:cs="宋体"/>
          <w:b/>
          <w:color w:val="auto"/>
          <w:kern w:val="0"/>
          <w:sz w:val="30"/>
          <w:szCs w:val="30"/>
          <w:highlight w:val="none"/>
          <w:lang w:val="en-US" w:eastAsia="zh-CN"/>
        </w:rPr>
        <w:t>6</w:t>
      </w:r>
      <w:r>
        <w:rPr>
          <w:rFonts w:hint="eastAsia" w:ascii="宋体" w:hAnsi="宋体" w:cs="宋体"/>
          <w:b/>
          <w:color w:val="auto"/>
          <w:kern w:val="0"/>
          <w:sz w:val="30"/>
          <w:szCs w:val="30"/>
          <w:highlight w:val="none"/>
          <w:lang w:eastAsia="zh-CN"/>
        </w:rPr>
        <w:t>年海关仪器设备购置及能力保障专项采购项目</w:t>
      </w:r>
    </w:p>
    <w:p w14:paraId="6D316EE6">
      <w:pPr>
        <w:snapToGrid w:val="0"/>
        <w:spacing w:line="360" w:lineRule="auto"/>
        <w:ind w:left="1680" w:leftChars="800"/>
        <w:rPr>
          <w:rFonts w:hint="eastAsia" w:ascii="宋体" w:hAnsi="宋体" w:eastAsia="宋体" w:cs="宋体"/>
          <w:b/>
          <w:color w:val="auto"/>
          <w:kern w:val="0"/>
          <w:sz w:val="30"/>
          <w:szCs w:val="30"/>
          <w:highlight w:val="none"/>
          <w:lang w:eastAsia="zh-CN"/>
        </w:rPr>
      </w:pPr>
      <w:r>
        <w:rPr>
          <w:rFonts w:hint="eastAsia" w:ascii="宋体" w:hAnsi="宋体" w:cs="宋体"/>
          <w:b/>
          <w:color w:val="auto"/>
          <w:spacing w:val="226"/>
          <w:kern w:val="0"/>
          <w:sz w:val="30"/>
          <w:szCs w:val="30"/>
          <w:highlight w:val="none"/>
          <w:fitText w:val="1806" w:id="-1455778046"/>
        </w:rPr>
        <w:t>采购</w:t>
      </w:r>
      <w:r>
        <w:rPr>
          <w:rFonts w:hint="eastAsia" w:ascii="宋体" w:hAnsi="宋体" w:cs="宋体"/>
          <w:b/>
          <w:color w:val="auto"/>
          <w:spacing w:val="1"/>
          <w:kern w:val="0"/>
          <w:sz w:val="30"/>
          <w:szCs w:val="30"/>
          <w:highlight w:val="none"/>
          <w:fitText w:val="1806" w:id="-1455778046"/>
        </w:rPr>
        <w:t>人</w:t>
      </w:r>
      <w:r>
        <w:rPr>
          <w:rFonts w:hint="eastAsia" w:ascii="宋体" w:hAnsi="宋体" w:cs="宋体"/>
          <w:b/>
          <w:color w:val="auto"/>
          <w:kern w:val="0"/>
          <w:sz w:val="30"/>
          <w:szCs w:val="30"/>
          <w:highlight w:val="none"/>
        </w:rPr>
        <w:t>：</w:t>
      </w:r>
      <w:r>
        <w:rPr>
          <w:rFonts w:hint="eastAsia" w:ascii="宋体" w:hAnsi="宋体" w:cs="宋体"/>
          <w:b/>
          <w:color w:val="auto"/>
          <w:kern w:val="0"/>
          <w:sz w:val="30"/>
          <w:szCs w:val="30"/>
          <w:highlight w:val="none"/>
          <w:lang w:eastAsia="zh-CN"/>
        </w:rPr>
        <w:t>大连海关技术中心</w:t>
      </w:r>
    </w:p>
    <w:p w14:paraId="26455C34">
      <w:pPr>
        <w:snapToGrid w:val="0"/>
        <w:spacing w:line="360" w:lineRule="auto"/>
        <w:ind w:left="1680" w:leftChars="800"/>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采购代理机构：通利晟信管理咨询有限公司</w:t>
      </w:r>
    </w:p>
    <w:p w14:paraId="19C6BB5F">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ascii="宋体" w:hAnsi="宋体" w:cs="宋体"/>
          <w:b/>
          <w:color w:val="auto"/>
          <w:kern w:val="0"/>
          <w:sz w:val="32"/>
          <w:highlight w:val="none"/>
        </w:rPr>
      </w:pPr>
    </w:p>
    <w:p w14:paraId="1633189C">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ascii="宋体" w:hAnsi="宋体" w:cs="宋体"/>
          <w:b/>
          <w:color w:val="auto"/>
          <w:kern w:val="0"/>
          <w:sz w:val="32"/>
          <w:highlight w:val="none"/>
        </w:rPr>
        <w:sectPr>
          <w:footerReference r:id="rId5" w:type="first"/>
          <w:headerReference r:id="rId3" w:type="default"/>
          <w:footerReference r:id="rId4" w:type="default"/>
          <w:pgSz w:w="11905" w:h="16838"/>
          <w:pgMar w:top="1984" w:right="1417" w:bottom="1417" w:left="1417" w:header="1417" w:footer="1134" w:gutter="0"/>
          <w:pgNumType w:start="0"/>
          <w:cols w:space="720" w:num="1"/>
          <w:titlePg/>
          <w:docGrid w:linePitch="286" w:charSpace="0"/>
        </w:sectPr>
      </w:pPr>
      <w:bookmarkStart w:id="0" w:name="_Toc18386_WPSOffice_Level1"/>
      <w:bookmarkStart w:id="1" w:name="_Toc527007499"/>
      <w:bookmarkStart w:id="2" w:name="_Toc3005_WPSOffice_Level1"/>
      <w:bookmarkStart w:id="3" w:name="_Toc28920_WPSOffice_Level1"/>
      <w:r>
        <w:rPr>
          <w:rFonts w:hint="eastAsia" w:ascii="宋体" w:hAnsi="宋体" w:cs="宋体"/>
          <w:b/>
          <w:color w:val="auto"/>
          <w:kern w:val="0"/>
          <w:sz w:val="32"/>
          <w:highlight w:val="none"/>
        </w:rPr>
        <w:t>202</w:t>
      </w:r>
      <w:r>
        <w:rPr>
          <w:rFonts w:hint="eastAsia" w:ascii="宋体" w:hAnsi="宋体" w:cs="宋体"/>
          <w:b/>
          <w:color w:val="auto"/>
          <w:kern w:val="0"/>
          <w:sz w:val="32"/>
          <w:highlight w:val="none"/>
          <w:lang w:val="en-US" w:eastAsia="zh-CN"/>
        </w:rPr>
        <w:t>6</w:t>
      </w:r>
      <w:r>
        <w:rPr>
          <w:rFonts w:hint="eastAsia" w:ascii="宋体" w:hAnsi="宋体" w:cs="宋体"/>
          <w:b/>
          <w:color w:val="auto"/>
          <w:kern w:val="0"/>
          <w:sz w:val="32"/>
          <w:highlight w:val="none"/>
        </w:rPr>
        <w:t>年</w:t>
      </w:r>
      <w:r>
        <w:rPr>
          <w:rFonts w:hint="eastAsia" w:ascii="宋体" w:hAnsi="宋体" w:cs="宋体"/>
          <w:b/>
          <w:color w:val="auto"/>
          <w:kern w:val="0"/>
          <w:sz w:val="32"/>
          <w:highlight w:val="none"/>
          <w:lang w:val="en-US" w:eastAsia="zh-CN"/>
        </w:rPr>
        <w:t>6</w:t>
      </w:r>
      <w:r>
        <w:rPr>
          <w:rFonts w:hint="eastAsia" w:ascii="宋体" w:hAnsi="宋体" w:cs="宋体"/>
          <w:b/>
          <w:color w:val="auto"/>
          <w:kern w:val="0"/>
          <w:sz w:val="32"/>
          <w:highlight w:val="none"/>
        </w:rPr>
        <w:t>月</w:t>
      </w:r>
    </w:p>
    <w:p w14:paraId="1795C964">
      <w:pPr>
        <w:pStyle w:val="304"/>
        <w:snapToGrid w:val="0"/>
        <w:spacing w:before="0" w:line="360" w:lineRule="auto"/>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lang w:val="zh-CN"/>
        </w:rPr>
        <w:t>目  录</w:t>
      </w:r>
    </w:p>
    <w:p w14:paraId="5575EA65">
      <w:pPr>
        <w:pStyle w:val="378"/>
        <w:tabs>
          <w:tab w:val="right" w:leader="dot" w:pos="9040"/>
        </w:tabs>
        <w:spacing w:line="360" w:lineRule="auto"/>
        <w:ind w:firstLine="0" w:firstLineChars="0"/>
        <w:jc w:val="distribute"/>
        <w:rPr>
          <w:rFonts w:ascii="宋体" w:hAnsi="宋体" w:eastAsia="宋体" w:cs="宋体"/>
          <w:b/>
          <w:color w:val="auto"/>
          <w:sz w:val="32"/>
          <w:szCs w:val="28"/>
          <w:highlight w:val="none"/>
        </w:rPr>
      </w:pPr>
    </w:p>
    <w:p w14:paraId="7AA29368">
      <w:pPr>
        <w:pStyle w:val="378"/>
        <w:tabs>
          <w:tab w:val="right" w:leader="dot" w:pos="9040"/>
        </w:tabs>
        <w:spacing w:line="360" w:lineRule="auto"/>
        <w:ind w:firstLine="0" w:firstLineChars="0"/>
        <w:jc w:val="distribute"/>
        <w:rPr>
          <w:color w:val="auto"/>
          <w:highlight w:val="none"/>
        </w:rPr>
      </w:pPr>
      <w:r>
        <w:rPr>
          <w:rFonts w:hint="eastAsia" w:ascii="宋体" w:hAnsi="宋体" w:eastAsia="宋体" w:cs="宋体"/>
          <w:b/>
          <w:color w:val="auto"/>
          <w:sz w:val="32"/>
          <w:szCs w:val="28"/>
          <w:highlight w:val="none"/>
        </w:rPr>
        <w:fldChar w:fldCharType="begin"/>
      </w:r>
      <w:r>
        <w:rPr>
          <w:rFonts w:hint="eastAsia" w:ascii="宋体" w:hAnsi="宋体" w:eastAsia="宋体" w:cs="宋体"/>
          <w:b/>
          <w:color w:val="auto"/>
          <w:sz w:val="32"/>
          <w:szCs w:val="28"/>
          <w:highlight w:val="none"/>
        </w:rPr>
        <w:instrText xml:space="preserve"> TOC \o "1-3" \h \z \u </w:instrText>
      </w:r>
      <w:r>
        <w:rPr>
          <w:rFonts w:hint="eastAsia" w:ascii="宋体" w:hAnsi="宋体" w:eastAsia="宋体" w:cs="宋体"/>
          <w:b/>
          <w:color w:val="auto"/>
          <w:sz w:val="32"/>
          <w:szCs w:val="28"/>
          <w:highlight w:val="none"/>
        </w:rPr>
        <w:fldChar w:fldCharType="separate"/>
      </w:r>
      <w:r>
        <w:rPr>
          <w:color w:val="auto"/>
          <w:highlight w:val="none"/>
        </w:rPr>
        <w:fldChar w:fldCharType="begin"/>
      </w:r>
      <w:r>
        <w:rPr>
          <w:color w:val="auto"/>
          <w:highlight w:val="none"/>
        </w:rPr>
        <w:instrText xml:space="preserve"> HYPERLINK \l "_Toc477935920" </w:instrText>
      </w:r>
      <w:r>
        <w:rPr>
          <w:color w:val="auto"/>
          <w:highlight w:val="none"/>
        </w:rPr>
        <w:fldChar w:fldCharType="separate"/>
      </w:r>
      <w:r>
        <w:rPr>
          <w:color w:val="auto"/>
          <w:highlight w:val="none"/>
        </w:rPr>
        <w:t>招标公告</w:t>
      </w:r>
      <w:r>
        <w:rPr>
          <w:color w:val="auto"/>
          <w:highlight w:val="none"/>
        </w:rPr>
        <w:tab/>
      </w:r>
      <w:r>
        <w:rPr>
          <w:color w:val="auto"/>
          <w:highlight w:val="none"/>
        </w:rPr>
        <w:t>2</w:t>
      </w:r>
      <w:r>
        <w:rPr>
          <w:color w:val="auto"/>
          <w:highlight w:val="none"/>
        </w:rPr>
        <w:fldChar w:fldCharType="end"/>
      </w:r>
    </w:p>
    <w:p w14:paraId="434D7B0B">
      <w:pPr>
        <w:pStyle w:val="378"/>
        <w:tabs>
          <w:tab w:val="right" w:leader="dot" w:pos="9040"/>
        </w:tabs>
        <w:spacing w:line="360" w:lineRule="auto"/>
        <w:ind w:firstLine="0" w:firstLineChars="0"/>
        <w:jc w:val="distribute"/>
        <w:rPr>
          <w:color w:val="auto"/>
          <w:highlight w:val="none"/>
        </w:rPr>
      </w:pPr>
      <w:r>
        <w:rPr>
          <w:color w:val="auto"/>
          <w:highlight w:val="none"/>
        </w:rPr>
        <w:fldChar w:fldCharType="begin"/>
      </w:r>
      <w:r>
        <w:rPr>
          <w:color w:val="auto"/>
          <w:highlight w:val="none"/>
        </w:rPr>
        <w:instrText xml:space="preserve"> HYPERLINK \l "_Toc477935921" </w:instrText>
      </w:r>
      <w:r>
        <w:rPr>
          <w:color w:val="auto"/>
          <w:highlight w:val="none"/>
        </w:rPr>
        <w:fldChar w:fldCharType="separate"/>
      </w:r>
      <w:r>
        <w:rPr>
          <w:color w:val="auto"/>
          <w:highlight w:val="none"/>
        </w:rPr>
        <w:t>第一章  投标人须知及前附表</w:t>
      </w:r>
      <w:r>
        <w:rPr>
          <w:color w:val="auto"/>
          <w:highlight w:val="none"/>
        </w:rPr>
        <w:tab/>
      </w:r>
      <w:r>
        <w:rPr>
          <w:rFonts w:hint="eastAsia"/>
          <w:color w:val="auto"/>
          <w:highlight w:val="none"/>
        </w:rPr>
        <w:t>5</w:t>
      </w:r>
      <w:r>
        <w:rPr>
          <w:rFonts w:hint="eastAsia"/>
          <w:color w:val="auto"/>
          <w:highlight w:val="none"/>
        </w:rPr>
        <w:fldChar w:fldCharType="end"/>
      </w:r>
    </w:p>
    <w:p w14:paraId="1B84CE0F">
      <w:pPr>
        <w:pStyle w:val="378"/>
        <w:tabs>
          <w:tab w:val="right" w:leader="dot" w:pos="9040"/>
        </w:tabs>
        <w:spacing w:line="360" w:lineRule="auto"/>
        <w:ind w:firstLine="0" w:firstLineChars="0"/>
        <w:jc w:val="distribute"/>
        <w:rPr>
          <w:color w:val="auto"/>
          <w:highlight w:val="none"/>
        </w:rPr>
      </w:pPr>
      <w:r>
        <w:rPr>
          <w:color w:val="auto"/>
          <w:highlight w:val="none"/>
        </w:rPr>
        <w:fldChar w:fldCharType="begin"/>
      </w:r>
      <w:r>
        <w:rPr>
          <w:color w:val="auto"/>
          <w:highlight w:val="none"/>
        </w:rPr>
        <w:instrText xml:space="preserve"> HYPERLINK \l "_Toc477935922" </w:instrText>
      </w:r>
      <w:r>
        <w:rPr>
          <w:color w:val="auto"/>
          <w:highlight w:val="none"/>
        </w:rPr>
        <w:fldChar w:fldCharType="separate"/>
      </w:r>
      <w:r>
        <w:rPr>
          <w:color w:val="auto"/>
          <w:highlight w:val="none"/>
        </w:rPr>
        <w:t>第二章  合同条款及前附表</w:t>
      </w:r>
      <w:r>
        <w:rPr>
          <w:color w:val="auto"/>
          <w:highlight w:val="none"/>
        </w:rPr>
        <w:tab/>
      </w:r>
      <w:r>
        <w:rPr>
          <w:color w:val="auto"/>
          <w:highlight w:val="none"/>
        </w:rPr>
        <w:t>2</w:t>
      </w:r>
      <w:r>
        <w:rPr>
          <w:rFonts w:hint="eastAsia"/>
          <w:color w:val="auto"/>
          <w:highlight w:val="none"/>
          <w:lang w:val="en-US" w:eastAsia="zh-CN"/>
        </w:rPr>
        <w:t>5</w:t>
      </w:r>
      <w:r>
        <w:rPr>
          <w:color w:val="auto"/>
          <w:highlight w:val="none"/>
        </w:rPr>
        <w:fldChar w:fldCharType="end"/>
      </w:r>
    </w:p>
    <w:p w14:paraId="27B345E8">
      <w:pPr>
        <w:pStyle w:val="378"/>
        <w:tabs>
          <w:tab w:val="right" w:leader="dot" w:pos="9040"/>
        </w:tabs>
        <w:spacing w:line="360" w:lineRule="auto"/>
        <w:ind w:firstLine="0" w:firstLineChars="0"/>
        <w:jc w:val="distribute"/>
        <w:rPr>
          <w:rFonts w:hint="eastAsia" w:eastAsia="仿宋_GB2312"/>
          <w:color w:val="auto"/>
          <w:highlight w:val="none"/>
          <w:lang w:eastAsia="zh-CN"/>
        </w:rPr>
      </w:pPr>
      <w:r>
        <w:rPr>
          <w:color w:val="auto"/>
          <w:highlight w:val="none"/>
        </w:rPr>
        <w:fldChar w:fldCharType="begin"/>
      </w:r>
      <w:r>
        <w:rPr>
          <w:color w:val="auto"/>
          <w:highlight w:val="none"/>
        </w:rPr>
        <w:instrText xml:space="preserve"> HYPERLINK \l "_Toc477935925" </w:instrText>
      </w:r>
      <w:r>
        <w:rPr>
          <w:color w:val="auto"/>
          <w:highlight w:val="none"/>
        </w:rPr>
        <w:fldChar w:fldCharType="separate"/>
      </w:r>
      <w:r>
        <w:rPr>
          <w:color w:val="auto"/>
          <w:highlight w:val="none"/>
        </w:rPr>
        <w:t>第三章  用户需求书</w:t>
      </w:r>
      <w:r>
        <w:rPr>
          <w:color w:val="auto"/>
          <w:highlight w:val="none"/>
        </w:rPr>
        <w:tab/>
      </w:r>
      <w:r>
        <w:rPr>
          <w:color w:val="auto"/>
          <w:highlight w:val="none"/>
        </w:rPr>
        <w:t>3</w:t>
      </w:r>
      <w:r>
        <w:rPr>
          <w:color w:val="auto"/>
          <w:highlight w:val="none"/>
        </w:rPr>
        <w:fldChar w:fldCharType="end"/>
      </w:r>
      <w:r>
        <w:rPr>
          <w:rFonts w:hint="eastAsia"/>
          <w:color w:val="auto"/>
          <w:highlight w:val="none"/>
          <w:lang w:val="en-US" w:eastAsia="zh-CN"/>
        </w:rPr>
        <w:t>7</w:t>
      </w:r>
    </w:p>
    <w:p w14:paraId="0E11DF0C">
      <w:pPr>
        <w:pStyle w:val="378"/>
        <w:tabs>
          <w:tab w:val="right" w:leader="dot" w:pos="9040"/>
        </w:tabs>
        <w:spacing w:line="360" w:lineRule="auto"/>
        <w:ind w:firstLine="0" w:firstLineChars="0"/>
        <w:jc w:val="distribute"/>
        <w:rPr>
          <w:color w:val="auto"/>
          <w:highlight w:val="none"/>
        </w:rPr>
      </w:pPr>
      <w:r>
        <w:rPr>
          <w:color w:val="auto"/>
          <w:highlight w:val="none"/>
        </w:rPr>
        <w:fldChar w:fldCharType="begin"/>
      </w:r>
      <w:r>
        <w:rPr>
          <w:color w:val="auto"/>
          <w:highlight w:val="none"/>
        </w:rPr>
        <w:instrText xml:space="preserve"> HYPERLINK \l "_Toc477935926" </w:instrText>
      </w:r>
      <w:r>
        <w:rPr>
          <w:color w:val="auto"/>
          <w:highlight w:val="none"/>
        </w:rPr>
        <w:fldChar w:fldCharType="separate"/>
      </w:r>
      <w:r>
        <w:rPr>
          <w:color w:val="auto"/>
          <w:highlight w:val="none"/>
        </w:rPr>
        <w:t>第四章  投标文件格式</w:t>
      </w:r>
      <w:r>
        <w:rPr>
          <w:color w:val="auto"/>
          <w:highlight w:val="none"/>
        </w:rPr>
        <w:tab/>
      </w:r>
      <w:r>
        <w:rPr>
          <w:color w:val="auto"/>
          <w:highlight w:val="none"/>
        </w:rPr>
        <w:fldChar w:fldCharType="end"/>
      </w:r>
      <w:r>
        <w:rPr>
          <w:rFonts w:hint="eastAsia"/>
          <w:color w:val="auto"/>
          <w:highlight w:val="none"/>
          <w:lang w:val="en-US" w:eastAsia="zh-CN"/>
        </w:rPr>
        <w:t>62</w:t>
      </w:r>
      <w:r>
        <w:rPr>
          <w:color w:val="auto"/>
          <w:highlight w:val="none"/>
        </w:rPr>
        <w:fldChar w:fldCharType="begin"/>
      </w:r>
      <w:r>
        <w:rPr>
          <w:color w:val="auto"/>
          <w:highlight w:val="none"/>
        </w:rPr>
        <w:instrText xml:space="preserve"> HYPERLINK \l "_Toc477935927" </w:instrText>
      </w:r>
      <w:r>
        <w:rPr>
          <w:color w:val="auto"/>
          <w:highlight w:val="none"/>
        </w:rPr>
        <w:fldChar w:fldCharType="separate"/>
      </w:r>
      <w:r>
        <w:rPr>
          <w:color w:val="auto"/>
          <w:highlight w:val="none"/>
        </w:rPr>
        <w:fldChar w:fldCharType="end"/>
      </w:r>
    </w:p>
    <w:p w14:paraId="15EF1AD2">
      <w:pPr>
        <w:pStyle w:val="378"/>
        <w:tabs>
          <w:tab w:val="right" w:leader="dot" w:pos="9040"/>
        </w:tabs>
        <w:spacing w:line="360" w:lineRule="auto"/>
        <w:ind w:firstLine="0" w:firstLineChars="0"/>
        <w:jc w:val="distribute"/>
        <w:rPr>
          <w:rFonts w:hint="eastAsia" w:eastAsia="仿宋_GB2312"/>
          <w:color w:val="auto"/>
          <w:highlight w:val="none"/>
          <w:lang w:val="en-US" w:eastAsia="zh-CN"/>
        </w:rPr>
      </w:pPr>
      <w:r>
        <w:rPr>
          <w:color w:val="auto"/>
          <w:highlight w:val="none"/>
        </w:rPr>
        <w:fldChar w:fldCharType="begin"/>
      </w:r>
      <w:r>
        <w:rPr>
          <w:color w:val="auto"/>
          <w:highlight w:val="none"/>
        </w:rPr>
        <w:instrText xml:space="preserve"> HYPERLINK \l "_Toc477935928" </w:instrText>
      </w:r>
      <w:r>
        <w:rPr>
          <w:color w:val="auto"/>
          <w:highlight w:val="none"/>
        </w:rPr>
        <w:fldChar w:fldCharType="separate"/>
      </w:r>
      <w:r>
        <w:rPr>
          <w:color w:val="auto"/>
          <w:highlight w:val="none"/>
        </w:rPr>
        <w:t>附件一  评分标准</w:t>
      </w:r>
      <w:r>
        <w:rPr>
          <w:color w:val="auto"/>
          <w:highlight w:val="none"/>
        </w:rPr>
        <w:tab/>
      </w:r>
      <w:r>
        <w:rPr>
          <w:rFonts w:hint="eastAsia"/>
          <w:color w:val="auto"/>
          <w:highlight w:val="none"/>
          <w:lang w:val="en-US" w:eastAsia="zh-CN"/>
        </w:rPr>
        <w:t>8</w:t>
      </w:r>
      <w:r>
        <w:rPr>
          <w:color w:val="auto"/>
          <w:highlight w:val="none"/>
        </w:rPr>
        <w:fldChar w:fldCharType="end"/>
      </w:r>
      <w:r>
        <w:rPr>
          <w:rFonts w:hint="eastAsia"/>
          <w:color w:val="auto"/>
          <w:highlight w:val="none"/>
          <w:lang w:val="en-US" w:eastAsia="zh-CN"/>
        </w:rPr>
        <w:t>9</w:t>
      </w:r>
    </w:p>
    <w:p w14:paraId="0DC2118C">
      <w:pPr>
        <w:snapToGrid w:val="0"/>
        <w:spacing w:line="360" w:lineRule="auto"/>
        <w:ind w:firstLine="562"/>
        <w:rPr>
          <w:rStyle w:val="95"/>
          <w:rFonts w:hint="default" w:ascii="宋体" w:hAnsi="宋体" w:eastAsia="宋体" w:cs="宋体"/>
          <w:b/>
          <w:bCs/>
          <w:color w:val="auto"/>
          <w:kern w:val="0"/>
          <w:sz w:val="28"/>
          <w:szCs w:val="20"/>
          <w:highlight w:val="none"/>
        </w:rPr>
      </w:pPr>
    </w:p>
    <w:p w14:paraId="31330BD7">
      <w:pPr>
        <w:snapToGrid w:val="0"/>
        <w:spacing w:line="360" w:lineRule="auto"/>
        <w:ind w:firstLine="643"/>
        <w:rPr>
          <w:rFonts w:ascii="宋体" w:hAnsi="宋体" w:cs="宋体"/>
          <w:b/>
          <w:bCs/>
          <w:color w:val="auto"/>
          <w:kern w:val="0"/>
          <w:sz w:val="32"/>
          <w:szCs w:val="28"/>
          <w:highlight w:val="none"/>
          <w:lang w:val="zh-CN"/>
        </w:rPr>
      </w:pPr>
      <w:r>
        <w:rPr>
          <w:rFonts w:hint="eastAsia" w:ascii="宋体" w:hAnsi="宋体" w:cs="宋体"/>
          <w:b/>
          <w:bCs/>
          <w:color w:val="auto"/>
          <w:kern w:val="0"/>
          <w:sz w:val="32"/>
          <w:szCs w:val="28"/>
          <w:highlight w:val="none"/>
          <w:lang w:val="zh-CN"/>
        </w:rPr>
        <w:fldChar w:fldCharType="end"/>
      </w:r>
    </w:p>
    <w:p w14:paraId="0EE9DD6F">
      <w:pPr>
        <w:snapToGrid w:val="0"/>
        <w:spacing w:line="360" w:lineRule="auto"/>
        <w:ind w:firstLine="640"/>
        <w:jc w:val="center"/>
        <w:rPr>
          <w:rFonts w:ascii="宋体" w:hAnsi="宋体" w:cs="宋体"/>
          <w:color w:val="auto"/>
          <w:kern w:val="0"/>
          <w:sz w:val="32"/>
          <w:highlight w:val="none"/>
        </w:rPr>
        <w:sectPr>
          <w:headerReference r:id="rId7" w:type="first"/>
          <w:footerReference r:id="rId8" w:type="first"/>
          <w:headerReference r:id="rId6" w:type="default"/>
          <w:pgSz w:w="11905" w:h="16838"/>
          <w:pgMar w:top="1984" w:right="1417" w:bottom="1417" w:left="1417" w:header="1134" w:footer="1134" w:gutter="0"/>
          <w:pgNumType w:start="1"/>
          <w:cols w:space="720" w:num="1"/>
          <w:titlePg/>
          <w:docGrid w:linePitch="286" w:charSpace="0"/>
        </w:sectPr>
      </w:pPr>
    </w:p>
    <w:p w14:paraId="540F184B">
      <w:pPr>
        <w:pStyle w:val="3"/>
        <w:snapToGrid w:val="0"/>
        <w:spacing w:before="0" w:after="0" w:line="360" w:lineRule="auto"/>
        <w:jc w:val="center"/>
        <w:rPr>
          <w:rFonts w:ascii="宋体" w:hAnsi="宋体" w:cs="宋体"/>
          <w:color w:val="auto"/>
          <w:kern w:val="0"/>
          <w:sz w:val="30"/>
          <w:szCs w:val="30"/>
          <w:highlight w:val="none"/>
        </w:rPr>
      </w:pPr>
      <w:r>
        <w:rPr>
          <w:rFonts w:hint="eastAsia" w:ascii="宋体" w:hAnsi="宋体" w:cs="宋体"/>
          <w:color w:val="auto"/>
          <w:kern w:val="0"/>
          <w:sz w:val="30"/>
          <w:szCs w:val="30"/>
          <w:highlight w:val="none"/>
          <w:lang w:eastAsia="zh-CN"/>
        </w:rPr>
        <w:t>大连海关技术中心2026年海关仪器设备购置及能力保障专项采购项目</w:t>
      </w:r>
      <w:r>
        <w:rPr>
          <w:rFonts w:hint="eastAsia" w:ascii="宋体" w:hAnsi="宋体" w:cs="宋体"/>
          <w:color w:val="auto"/>
          <w:kern w:val="0"/>
          <w:sz w:val="30"/>
          <w:szCs w:val="30"/>
          <w:highlight w:val="none"/>
        </w:rPr>
        <w:t>招标公告</w:t>
      </w:r>
      <w:bookmarkEnd w:id="0"/>
      <w:bookmarkEnd w:id="1"/>
      <w:bookmarkEnd w:id="2"/>
      <w:bookmarkEnd w:id="3"/>
    </w:p>
    <w:p w14:paraId="18A40770">
      <w:pPr>
        <w:pBdr>
          <w:top w:val="single" w:color="auto" w:sz="4" w:space="1"/>
          <w:left w:val="single" w:color="auto" w:sz="4" w:space="4"/>
          <w:bottom w:val="single" w:color="auto" w:sz="4" w:space="1"/>
          <w:right w:val="single" w:color="auto" w:sz="4" w:space="4"/>
        </w:pBdr>
        <w:snapToGrid w:val="0"/>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1CC505E0">
      <w:pPr>
        <w:pBdr>
          <w:top w:val="single" w:color="auto" w:sz="4" w:space="1"/>
          <w:left w:val="single" w:color="auto" w:sz="4" w:space="4"/>
          <w:bottom w:val="single" w:color="auto" w:sz="4" w:space="1"/>
          <w:right w:val="single" w:color="auto" w:sz="4" w:space="4"/>
        </w:pBd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大连海关技术中心2026年海关仪器设备购置及能力保障专项采购项目</w:t>
      </w:r>
      <w:r>
        <w:rPr>
          <w:rFonts w:hint="eastAsia" w:ascii="宋体" w:hAnsi="宋体" w:cs="宋体"/>
          <w:color w:val="auto"/>
          <w:kern w:val="0"/>
          <w:sz w:val="24"/>
          <w:highlight w:val="none"/>
        </w:rPr>
        <w:t>招标项目的潜在投标人应在</w:t>
      </w:r>
      <w:r>
        <w:rPr>
          <w:rFonts w:hint="eastAsia" w:ascii="宋体" w:hAnsi="宋体"/>
          <w:color w:val="auto"/>
          <w:sz w:val="24"/>
          <w:highlight w:val="none"/>
          <w:u w:val="single"/>
        </w:rPr>
        <w:t>通利晟信管理咨询有限公司（地址：大连市沙河口区万岁街135号）</w:t>
      </w:r>
      <w:r>
        <w:rPr>
          <w:rFonts w:hint="eastAsia" w:ascii="宋体" w:hAnsi="宋体" w:cs="宋体"/>
          <w:color w:val="auto"/>
          <w:kern w:val="0"/>
          <w:sz w:val="24"/>
          <w:highlight w:val="none"/>
        </w:rPr>
        <w:t>获取招标文件，并于</w:t>
      </w:r>
      <w:r>
        <w:rPr>
          <w:rFonts w:hint="eastAsia" w:ascii="宋体" w:hAnsi="宋体" w:cs="宋体"/>
          <w:color w:val="auto"/>
          <w:kern w:val="0"/>
          <w:sz w:val="24"/>
          <w:highlight w:val="none"/>
          <w:u w:val="single"/>
        </w:rPr>
        <w:t>202</w:t>
      </w:r>
      <w:r>
        <w:rPr>
          <w:rFonts w:hint="eastAsia" w:ascii="宋体" w:hAnsi="宋体" w:cs="宋体"/>
          <w:color w:val="auto"/>
          <w:kern w:val="0"/>
          <w:sz w:val="24"/>
          <w:highlight w:val="none"/>
          <w:u w:val="single"/>
          <w:lang w:val="en-US" w:eastAsia="zh-CN"/>
        </w:rPr>
        <w:t>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7</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20</w:t>
      </w:r>
      <w:r>
        <w:rPr>
          <w:rFonts w:hint="eastAsia" w:ascii="宋体" w:hAnsi="宋体" w:cs="宋体"/>
          <w:color w:val="auto"/>
          <w:kern w:val="0"/>
          <w:sz w:val="24"/>
          <w:highlight w:val="none"/>
          <w:u w:val="single"/>
        </w:rPr>
        <w:t>日</w:t>
      </w:r>
      <w:r>
        <w:rPr>
          <w:rFonts w:hint="eastAsia" w:ascii="宋体" w:hAnsi="宋体" w:cs="宋体"/>
          <w:bCs/>
          <w:color w:val="auto"/>
          <w:kern w:val="0"/>
          <w:sz w:val="24"/>
          <w:highlight w:val="none"/>
          <w:u w:val="single"/>
          <w:lang w:val="en-US" w:eastAsia="zh-CN"/>
        </w:rPr>
        <w:t>9</w:t>
      </w:r>
      <w:r>
        <w:rPr>
          <w:rFonts w:hint="eastAsia" w:ascii="宋体" w:hAnsi="宋体" w:cs="宋体"/>
          <w:bCs/>
          <w:color w:val="auto"/>
          <w:kern w:val="0"/>
          <w:sz w:val="24"/>
          <w:highlight w:val="none"/>
          <w:u w:val="single"/>
        </w:rPr>
        <w:t>点</w:t>
      </w:r>
      <w:r>
        <w:rPr>
          <w:rFonts w:hint="eastAsia" w:ascii="宋体" w:hAnsi="宋体" w:cs="宋体"/>
          <w:bCs/>
          <w:color w:val="auto"/>
          <w:kern w:val="0"/>
          <w:sz w:val="24"/>
          <w:highlight w:val="none"/>
          <w:u w:val="single"/>
          <w:lang w:val="en-US" w:eastAsia="zh-CN"/>
        </w:rPr>
        <w:t>30</w:t>
      </w:r>
      <w:r>
        <w:rPr>
          <w:rFonts w:hint="eastAsia" w:ascii="宋体" w:hAnsi="宋体" w:cs="宋体"/>
          <w:bCs/>
          <w:color w:val="auto"/>
          <w:kern w:val="0"/>
          <w:sz w:val="24"/>
          <w:highlight w:val="none"/>
          <w:u w:val="single"/>
        </w:rPr>
        <w:t>分（</w:t>
      </w:r>
      <w:r>
        <w:rPr>
          <w:rFonts w:hint="eastAsia" w:ascii="宋体" w:hAnsi="宋体" w:cs="宋体"/>
          <w:bCs/>
          <w:color w:val="auto"/>
          <w:kern w:val="0"/>
          <w:sz w:val="24"/>
          <w:highlight w:val="none"/>
        </w:rPr>
        <w:t>北京时间）前递交投标文件</w:t>
      </w:r>
      <w:r>
        <w:rPr>
          <w:rFonts w:hint="eastAsia" w:ascii="宋体" w:hAnsi="宋体" w:cs="宋体"/>
          <w:color w:val="auto"/>
          <w:kern w:val="0"/>
          <w:sz w:val="24"/>
          <w:highlight w:val="none"/>
        </w:rPr>
        <w:t>。</w:t>
      </w:r>
    </w:p>
    <w:p w14:paraId="0C8FE035">
      <w:pPr>
        <w:snapToGrid w:val="0"/>
        <w:spacing w:line="360" w:lineRule="auto"/>
        <w:ind w:firstLine="480" w:firstLineChars="200"/>
        <w:rPr>
          <w:rFonts w:ascii="宋体" w:hAnsi="宋体" w:cs="宋体"/>
          <w:color w:val="auto"/>
          <w:kern w:val="0"/>
          <w:sz w:val="24"/>
          <w:highlight w:val="none"/>
        </w:rPr>
      </w:pPr>
    </w:p>
    <w:p w14:paraId="6F73499C">
      <w:pPr>
        <w:pStyle w:val="4"/>
        <w:snapToGrid w:val="0"/>
        <w:spacing w:line="360" w:lineRule="auto"/>
        <w:ind w:left="0" w:firstLine="482" w:firstLineChars="200"/>
        <w:rPr>
          <w:rFonts w:ascii="宋体" w:hAnsi="宋体" w:cs="宋体"/>
          <w:bCs w:val="0"/>
          <w:color w:val="auto"/>
          <w:kern w:val="0"/>
          <w:sz w:val="24"/>
          <w:highlight w:val="none"/>
        </w:rPr>
      </w:pPr>
      <w:bookmarkStart w:id="4" w:name="_Toc35393790"/>
      <w:bookmarkStart w:id="5" w:name="_Toc28359079"/>
      <w:bookmarkStart w:id="6" w:name="_Toc35393621"/>
      <w:bookmarkStart w:id="7" w:name="_Toc28359002"/>
      <w:bookmarkStart w:id="8" w:name="_Hlk24379207"/>
      <w:r>
        <w:rPr>
          <w:rFonts w:hint="eastAsia" w:ascii="宋体" w:hAnsi="宋体" w:cs="宋体"/>
          <w:bCs w:val="0"/>
          <w:color w:val="auto"/>
          <w:kern w:val="0"/>
          <w:sz w:val="24"/>
          <w:highlight w:val="none"/>
        </w:rPr>
        <w:t>一、项目基本情况</w:t>
      </w:r>
      <w:bookmarkEnd w:id="4"/>
      <w:bookmarkEnd w:id="5"/>
      <w:bookmarkEnd w:id="6"/>
      <w:bookmarkEnd w:id="7"/>
    </w:p>
    <w:p w14:paraId="0943A446">
      <w:pPr>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项目编号：</w:t>
      </w:r>
      <w:r>
        <w:rPr>
          <w:rFonts w:hint="eastAsia" w:ascii="宋体" w:hAnsi="宋体" w:cs="宋体"/>
          <w:color w:val="auto"/>
          <w:kern w:val="0"/>
          <w:sz w:val="24"/>
          <w:highlight w:val="none"/>
          <w:lang w:eastAsia="zh-CN"/>
        </w:rPr>
        <w:t>TLYQ2026-06048</w:t>
      </w:r>
    </w:p>
    <w:p w14:paraId="17AEB948">
      <w:pPr>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项目名称：</w:t>
      </w:r>
      <w:bookmarkEnd w:id="8"/>
      <w:r>
        <w:rPr>
          <w:rFonts w:hint="eastAsia" w:ascii="宋体" w:hAnsi="宋体" w:cs="宋体"/>
          <w:color w:val="auto"/>
          <w:kern w:val="0"/>
          <w:sz w:val="24"/>
          <w:highlight w:val="none"/>
          <w:lang w:eastAsia="zh-CN"/>
        </w:rPr>
        <w:t>大连海关技术中心2026年海关仪器设备购置及能力保障专项采购项目</w:t>
      </w:r>
    </w:p>
    <w:p w14:paraId="5E08A63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预算金额：</w:t>
      </w:r>
      <w:r>
        <w:rPr>
          <w:rFonts w:hint="eastAsia" w:ascii="宋体" w:hAnsi="宋体" w:cs="宋体"/>
          <w:color w:val="auto"/>
          <w:kern w:val="0"/>
          <w:sz w:val="24"/>
          <w:highlight w:val="none"/>
          <w:lang w:val="en-US" w:eastAsia="zh-CN"/>
        </w:rPr>
        <w:t>107.10</w:t>
      </w:r>
      <w:r>
        <w:rPr>
          <w:rFonts w:hint="eastAsia" w:ascii="宋体" w:hAnsi="宋体" w:cs="宋体"/>
          <w:color w:val="auto"/>
          <w:kern w:val="0"/>
          <w:sz w:val="24"/>
          <w:highlight w:val="none"/>
          <w:lang w:eastAsia="zh-CN"/>
        </w:rPr>
        <w:t>万元</w:t>
      </w:r>
      <w:r>
        <w:rPr>
          <w:rFonts w:hint="eastAsia" w:ascii="宋体" w:hAnsi="宋体" w:cs="宋体"/>
          <w:color w:val="auto"/>
          <w:kern w:val="0"/>
          <w:sz w:val="24"/>
          <w:highlight w:val="none"/>
        </w:rPr>
        <w:t>（人民币）</w:t>
      </w:r>
    </w:p>
    <w:p w14:paraId="47D3A8E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最高限价：</w:t>
      </w:r>
      <w:r>
        <w:rPr>
          <w:rFonts w:hint="eastAsia" w:ascii="宋体" w:hAnsi="宋体" w:cs="宋体"/>
          <w:color w:val="auto"/>
          <w:kern w:val="0"/>
          <w:sz w:val="24"/>
          <w:highlight w:val="none"/>
          <w:lang w:val="en-US" w:eastAsia="zh-CN"/>
        </w:rPr>
        <w:t>107.10</w:t>
      </w:r>
      <w:r>
        <w:rPr>
          <w:rFonts w:hint="eastAsia" w:ascii="宋体" w:hAnsi="宋体" w:cs="宋体"/>
          <w:color w:val="auto"/>
          <w:kern w:val="0"/>
          <w:sz w:val="24"/>
          <w:highlight w:val="none"/>
          <w:lang w:eastAsia="zh-CN"/>
        </w:rPr>
        <w:t>万元</w:t>
      </w:r>
      <w:r>
        <w:rPr>
          <w:rFonts w:hint="eastAsia" w:ascii="宋体" w:hAnsi="宋体" w:cs="宋体"/>
          <w:color w:val="auto"/>
          <w:kern w:val="0"/>
          <w:sz w:val="24"/>
          <w:highlight w:val="none"/>
        </w:rPr>
        <w:t>（人民币）</w:t>
      </w:r>
    </w:p>
    <w:p w14:paraId="40D3841C">
      <w:pPr>
        <w:adjustRightInd w:val="0"/>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采购需求：</w:t>
      </w:r>
      <w:r>
        <w:rPr>
          <w:rFonts w:hint="eastAsia" w:ascii="宋体" w:hAnsi="宋体" w:cs="宋体"/>
          <w:color w:val="auto"/>
          <w:kern w:val="0"/>
          <w:sz w:val="24"/>
          <w:highlight w:val="none"/>
          <w:lang w:eastAsia="zh-CN"/>
        </w:rPr>
        <w:t>大连海关技术中心2026年海关仪器设备</w:t>
      </w:r>
      <w:r>
        <w:rPr>
          <w:rFonts w:hint="eastAsia" w:ascii="宋体" w:hAnsi="宋体" w:cs="宋体"/>
          <w:color w:val="auto"/>
          <w:kern w:val="0"/>
          <w:sz w:val="24"/>
          <w:highlight w:val="none"/>
        </w:rPr>
        <w:t>1</w:t>
      </w:r>
      <w:r>
        <w:rPr>
          <w:rFonts w:hint="eastAsia" w:ascii="宋体" w:hAnsi="宋体" w:cs="宋体"/>
          <w:color w:val="auto"/>
          <w:kern w:val="0"/>
          <w:sz w:val="24"/>
          <w:highlight w:val="none"/>
          <w:lang w:eastAsia="zh-CN"/>
        </w:rPr>
        <w:t>批</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电子天平（规格一）</w:t>
      </w:r>
      <w:r>
        <w:rPr>
          <w:rFonts w:hint="eastAsia" w:ascii="宋体" w:hAnsi="宋体" w:cs="宋体"/>
          <w:color w:val="auto"/>
          <w:kern w:val="0"/>
          <w:sz w:val="24"/>
          <w:highlight w:val="none"/>
          <w:lang w:val="en-US" w:eastAsia="zh-CN"/>
        </w:rPr>
        <w:t>2台，旋转蒸发仪1台，快速高温灰化仪1台，恒温恒湿培养箱（规格一）1台，恒温恒湿培养箱（规格二）1台，自动蒸馏仪1台，防爆冰箱1台，菌落计数器1台，霉菌培养箱1台，高压灭菌锅1台，实际胶质检测仪器1台，喷气燃料电导率分析仪1台，</w:t>
      </w:r>
      <w:r>
        <w:rPr>
          <w:rFonts w:hint="eastAsia" w:ascii="宋体" w:hAnsi="宋体" w:cs="宋体"/>
          <w:color w:val="auto"/>
          <w:kern w:val="0"/>
          <w:sz w:val="24"/>
          <w:highlight w:val="none"/>
          <w:lang w:eastAsia="zh-CN"/>
        </w:rPr>
        <w:t>电子天平（规格二）</w:t>
      </w:r>
      <w:r>
        <w:rPr>
          <w:rFonts w:hint="eastAsia" w:ascii="宋体" w:hAnsi="宋体" w:cs="宋体"/>
          <w:color w:val="auto"/>
          <w:kern w:val="0"/>
          <w:sz w:val="24"/>
          <w:highlight w:val="none"/>
          <w:lang w:val="en-US" w:eastAsia="zh-CN"/>
        </w:rPr>
        <w:t>2台。</w:t>
      </w:r>
      <w:r>
        <w:rPr>
          <w:rFonts w:hint="eastAsia" w:ascii="宋体" w:hAnsi="宋体" w:cs="宋体"/>
          <w:color w:val="auto"/>
          <w:kern w:val="0"/>
          <w:sz w:val="24"/>
          <w:highlight w:val="none"/>
        </w:rPr>
        <w:t>具体要求详见招标文件。</w:t>
      </w:r>
    </w:p>
    <w:p w14:paraId="13BD5A2D">
      <w:pPr>
        <w:adjustRightInd w:val="0"/>
        <w:snapToGrid w:val="0"/>
        <w:spacing w:line="360" w:lineRule="auto"/>
        <w:ind w:firstLine="480" w:firstLineChars="200"/>
        <w:rPr>
          <w:color w:val="auto"/>
          <w:sz w:val="24"/>
          <w:highlight w:val="none"/>
        </w:rPr>
      </w:pPr>
      <w:r>
        <w:rPr>
          <w:rFonts w:hint="eastAsia"/>
          <w:color w:val="auto"/>
          <w:sz w:val="24"/>
          <w:highlight w:val="none"/>
        </w:rPr>
        <w:t>注：①投标人所投产品为非进口产品</w:t>
      </w:r>
      <w:r>
        <w:rPr>
          <w:rFonts w:hint="eastAsia" w:cs="宋体"/>
          <w:color w:val="auto"/>
          <w:kern w:val="0"/>
          <w:sz w:val="24"/>
          <w:highlight w:val="none"/>
        </w:rPr>
        <w:t>，否则视为无效投标文件</w:t>
      </w:r>
      <w:r>
        <w:rPr>
          <w:rFonts w:hint="eastAsia"/>
          <w:color w:val="auto"/>
          <w:sz w:val="24"/>
          <w:highlight w:val="none"/>
        </w:rPr>
        <w:t>。如发现有进口或从其他渠道购入进口产品的情况，视为虚假竞标，将依法废标或追究违约责任。进口产品是指通过中国海关报关验放进入中国境内且产自关境外的产品。</w:t>
      </w:r>
    </w:p>
    <w:p w14:paraId="41294CEE">
      <w:pPr>
        <w:adjustRightInd w:val="0"/>
        <w:snapToGrid w:val="0"/>
        <w:spacing w:line="360" w:lineRule="auto"/>
        <w:ind w:firstLine="480" w:firstLineChars="200"/>
        <w:rPr>
          <w:rFonts w:ascii="宋体" w:hAnsi="宋体" w:cs="宋体"/>
          <w:color w:val="auto"/>
          <w:kern w:val="0"/>
          <w:sz w:val="24"/>
          <w:highlight w:val="none"/>
        </w:rPr>
      </w:pPr>
      <w:r>
        <w:rPr>
          <w:rFonts w:hint="eastAsia"/>
          <w:color w:val="auto"/>
          <w:sz w:val="24"/>
          <w:highlight w:val="none"/>
        </w:rPr>
        <w:t>②投标人不能只对本项目个别品目进行投标，否则将被视为非响应性投标而被拒绝。</w:t>
      </w:r>
    </w:p>
    <w:p w14:paraId="022BEF0F">
      <w:pPr>
        <w:snapToGrid w:val="0"/>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合同履行期限：自签订合同之日起，</w:t>
      </w:r>
      <w:r>
        <w:rPr>
          <w:rFonts w:hint="eastAsia" w:ascii="宋体" w:hAnsi="宋体" w:cs="宋体"/>
          <w:color w:val="auto"/>
          <w:kern w:val="0"/>
          <w:sz w:val="24"/>
          <w:highlight w:val="none"/>
          <w:lang w:val="en-US" w:eastAsia="zh-CN"/>
        </w:rPr>
        <w:t>35</w:t>
      </w:r>
      <w:r>
        <w:rPr>
          <w:rFonts w:hint="eastAsia" w:ascii="宋体" w:hAnsi="宋体" w:cs="宋体"/>
          <w:color w:val="auto"/>
          <w:kern w:val="0"/>
          <w:sz w:val="24"/>
          <w:highlight w:val="none"/>
        </w:rPr>
        <w:t>个日历日内</w:t>
      </w:r>
      <w:r>
        <w:rPr>
          <w:rFonts w:hint="eastAsia" w:ascii="宋体" w:hAnsi="宋体" w:cs="宋体"/>
          <w:color w:val="auto"/>
          <w:kern w:val="0"/>
          <w:sz w:val="24"/>
          <w:highlight w:val="none"/>
          <w:lang w:eastAsia="zh-CN"/>
        </w:rPr>
        <w:t>全部到货。</w:t>
      </w:r>
    </w:p>
    <w:p w14:paraId="4886B16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本项目（不接受）联合体投标。</w:t>
      </w:r>
    </w:p>
    <w:p w14:paraId="19F12B3D">
      <w:pPr>
        <w:pStyle w:val="4"/>
        <w:snapToGrid w:val="0"/>
        <w:spacing w:line="360" w:lineRule="auto"/>
        <w:ind w:left="0" w:firstLine="482" w:firstLineChars="200"/>
        <w:rPr>
          <w:rFonts w:ascii="宋体" w:hAnsi="宋体" w:cs="宋体"/>
          <w:bCs w:val="0"/>
          <w:color w:val="auto"/>
          <w:kern w:val="0"/>
          <w:sz w:val="24"/>
          <w:highlight w:val="none"/>
        </w:rPr>
      </w:pPr>
      <w:bookmarkStart w:id="9" w:name="_Toc35393622"/>
      <w:bookmarkStart w:id="10" w:name="_Toc28359080"/>
      <w:bookmarkStart w:id="11" w:name="_Toc35393791"/>
      <w:bookmarkStart w:id="12" w:name="_Toc28359003"/>
      <w:r>
        <w:rPr>
          <w:rFonts w:hint="eastAsia" w:ascii="宋体" w:hAnsi="宋体" w:cs="宋体"/>
          <w:bCs w:val="0"/>
          <w:color w:val="auto"/>
          <w:kern w:val="0"/>
          <w:sz w:val="24"/>
          <w:highlight w:val="none"/>
        </w:rPr>
        <w:t>二、申请人的资格要求</w:t>
      </w:r>
      <w:bookmarkEnd w:id="9"/>
      <w:bookmarkEnd w:id="10"/>
      <w:bookmarkEnd w:id="11"/>
      <w:bookmarkEnd w:id="12"/>
    </w:p>
    <w:p w14:paraId="67B42EF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1.满足《中华人民共和国政府采购法》第二十二条规定。</w:t>
      </w:r>
    </w:p>
    <w:p w14:paraId="1D9C4FCA">
      <w:pPr>
        <w:widowControl/>
        <w:spacing w:line="360" w:lineRule="auto"/>
        <w:ind w:firstLine="480" w:firstLineChars="200"/>
        <w:jc w:val="left"/>
        <w:rPr>
          <w:rFonts w:ascii="宋体" w:hAnsi="宋体" w:cs="宋体"/>
          <w:color w:val="auto"/>
          <w:kern w:val="0"/>
          <w:sz w:val="24"/>
          <w:highlight w:val="none"/>
        </w:rPr>
      </w:pPr>
      <w:bookmarkStart w:id="13" w:name="_Toc28359004"/>
      <w:bookmarkStart w:id="14" w:name="_Toc28359081"/>
      <w:r>
        <w:rPr>
          <w:rFonts w:hint="eastAsia" w:ascii="宋体" w:hAnsi="宋体" w:cs="宋体"/>
          <w:color w:val="auto"/>
          <w:kern w:val="0"/>
          <w:sz w:val="24"/>
          <w:highlight w:val="none"/>
        </w:rPr>
        <w:t>2.落实政府采购政策需满足的资格要求：</w:t>
      </w:r>
    </w:p>
    <w:p w14:paraId="4524C00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1)专门面向</w:t>
      </w:r>
      <w:r>
        <w:rPr>
          <w:rFonts w:hint="eastAsia" w:ascii="宋体" w:hAnsi="宋体" w:cs="宋体"/>
          <w:color w:val="auto"/>
          <w:kern w:val="0"/>
          <w:sz w:val="24"/>
          <w:highlight w:val="none"/>
          <w:lang w:val="en-US" w:eastAsia="zh-CN"/>
        </w:rPr>
        <w:t>小微</w:t>
      </w:r>
      <w:r>
        <w:rPr>
          <w:rFonts w:hint="eastAsia" w:ascii="宋体" w:hAnsi="宋体" w:cs="宋体"/>
          <w:color w:val="auto"/>
          <w:kern w:val="0"/>
          <w:sz w:val="24"/>
          <w:highlight w:val="none"/>
        </w:rPr>
        <w:t>企业采购项目</w:t>
      </w:r>
      <w:r>
        <w:rPr>
          <w:rFonts w:hint="eastAsia" w:ascii="宋体" w:hAnsi="宋体" w:cs="宋体"/>
          <w:color w:val="auto"/>
          <w:kern w:val="0"/>
          <w:sz w:val="24"/>
          <w:highlight w:val="none"/>
          <w:lang w:eastAsia="zh-CN"/>
        </w:rPr>
        <w:t>，</w:t>
      </w:r>
      <w:r>
        <w:rPr>
          <w:rFonts w:hint="eastAsia" w:cs="仿宋_GB2312"/>
          <w:color w:val="auto"/>
          <w:sz w:val="24"/>
          <w:highlight w:val="none"/>
        </w:rPr>
        <w:t>监狱企业、残疾人企业视同小微企业</w:t>
      </w:r>
      <w:r>
        <w:rPr>
          <w:rFonts w:hint="eastAsia" w:ascii="宋体" w:hAnsi="宋体" w:cs="宋体"/>
          <w:color w:val="auto"/>
          <w:kern w:val="0"/>
          <w:sz w:val="24"/>
          <w:highlight w:val="none"/>
        </w:rPr>
        <w:t>；</w:t>
      </w:r>
    </w:p>
    <w:p w14:paraId="6E1124B9">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）截至开标时间，经“信用中国”网站（</w:t>
      </w:r>
      <w:r>
        <w:rPr>
          <w:rFonts w:ascii="宋体" w:hAnsi="宋体" w:cs="宋体"/>
          <w:color w:val="auto"/>
          <w:kern w:val="0"/>
          <w:sz w:val="24"/>
          <w:highlight w:val="none"/>
        </w:rPr>
        <w:t>www.creditchina.gov.cn）、</w:t>
      </w:r>
      <w:r>
        <w:rPr>
          <w:rFonts w:hint="eastAsia" w:ascii="宋体" w:hAnsi="宋体" w:cs="宋体"/>
          <w:color w:val="auto"/>
          <w:kern w:val="0"/>
          <w:sz w:val="24"/>
          <w:highlight w:val="none"/>
        </w:rPr>
        <w:t>“中国政府采购网”网站（</w:t>
      </w:r>
      <w:r>
        <w:rPr>
          <w:rFonts w:ascii="宋体" w:hAnsi="宋体" w:cs="宋体"/>
          <w:color w:val="auto"/>
          <w:kern w:val="0"/>
          <w:sz w:val="24"/>
          <w:highlight w:val="none"/>
        </w:rPr>
        <w:t>www.ccgp.gov.cn）查询，被列入失信被执行人、重大税收违法案件当事人名单、政府采购严重违法失信行为记录名单的不得参加本采购项目，</w:t>
      </w:r>
      <w:r>
        <w:rPr>
          <w:rFonts w:hint="eastAsia" w:ascii="宋体" w:hAnsi="宋体" w:cs="宋体"/>
          <w:color w:val="auto"/>
          <w:kern w:val="0"/>
          <w:sz w:val="24"/>
          <w:highlight w:val="none"/>
        </w:rPr>
        <w:t>查询结果以评审过程中现场网络截图为准；</w:t>
      </w:r>
    </w:p>
    <w:p w14:paraId="30CBC70F">
      <w:pPr>
        <w:widowControl/>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w:t>
      </w:r>
      <w:r>
        <w:rPr>
          <w:rFonts w:ascii="宋体" w:hAnsi="宋体" w:cs="宋体"/>
          <w:color w:val="auto"/>
          <w:kern w:val="0"/>
          <w:sz w:val="24"/>
          <w:highlight w:val="none"/>
        </w:rPr>
        <w:t>单位负责人为同一人或者存在直接控股、管理关系的不同供应商，不得参加同一合同项下的政府采购活动。为本采购项目提供整体设计、规范编制或者项目管理、监理、检测等服务的供应商，不得再参加本采购项目的采购活动。</w:t>
      </w:r>
    </w:p>
    <w:p w14:paraId="3A50C13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3.本项目的特定资格要求：</w:t>
      </w:r>
      <w:r>
        <w:rPr>
          <w:rFonts w:hint="eastAsia" w:ascii="宋体" w:hAnsi="宋体" w:cs="宋体"/>
          <w:color w:val="auto"/>
          <w:kern w:val="0"/>
          <w:sz w:val="24"/>
          <w:highlight w:val="none"/>
          <w:lang w:eastAsia="zh-CN"/>
        </w:rPr>
        <w:t>无。</w:t>
      </w:r>
    </w:p>
    <w:p w14:paraId="5D6C7C39">
      <w:pPr>
        <w:pStyle w:val="4"/>
        <w:snapToGrid w:val="0"/>
        <w:spacing w:line="360" w:lineRule="auto"/>
        <w:ind w:left="0" w:firstLine="482" w:firstLineChars="200"/>
        <w:rPr>
          <w:rFonts w:ascii="宋体" w:hAnsi="宋体" w:cs="宋体"/>
          <w:bCs w:val="0"/>
          <w:color w:val="auto"/>
          <w:kern w:val="0"/>
          <w:sz w:val="24"/>
          <w:highlight w:val="none"/>
        </w:rPr>
      </w:pPr>
      <w:bookmarkStart w:id="15" w:name="_Toc35393623"/>
      <w:bookmarkStart w:id="16" w:name="_Toc35393792"/>
      <w:r>
        <w:rPr>
          <w:rFonts w:hint="eastAsia" w:ascii="宋体" w:hAnsi="宋体" w:cs="宋体"/>
          <w:bCs w:val="0"/>
          <w:color w:val="auto"/>
          <w:kern w:val="0"/>
          <w:sz w:val="24"/>
          <w:highlight w:val="none"/>
        </w:rPr>
        <w:t>三、获取招标文件</w:t>
      </w:r>
      <w:bookmarkEnd w:id="13"/>
      <w:bookmarkEnd w:id="14"/>
      <w:bookmarkEnd w:id="15"/>
      <w:bookmarkEnd w:id="16"/>
    </w:p>
    <w:p w14:paraId="08980986">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rPr>
        <w:t>时间：</w:t>
      </w:r>
      <w:r>
        <w:rPr>
          <w:rFonts w:hint="eastAsia" w:ascii="宋体" w:hAnsi="宋体" w:cs="宋体"/>
          <w:color w:val="auto"/>
          <w:kern w:val="0"/>
          <w:sz w:val="24"/>
          <w:highlight w:val="none"/>
          <w:u w:val="none"/>
        </w:rPr>
        <w:t>202</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29</w:t>
      </w:r>
      <w:r>
        <w:rPr>
          <w:rFonts w:hint="eastAsia" w:ascii="宋体" w:hAnsi="宋体" w:cs="宋体"/>
          <w:color w:val="auto"/>
          <w:kern w:val="0"/>
          <w:sz w:val="24"/>
          <w:highlight w:val="none"/>
          <w:u w:val="none"/>
        </w:rPr>
        <w:t>日至202</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7</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6</w:t>
      </w:r>
      <w:r>
        <w:rPr>
          <w:rFonts w:hint="eastAsia" w:ascii="宋体" w:hAnsi="宋体" w:cs="宋体"/>
          <w:color w:val="auto"/>
          <w:kern w:val="0"/>
          <w:sz w:val="24"/>
          <w:highlight w:val="none"/>
          <w:u w:val="none"/>
        </w:rPr>
        <w:t>日，每天上午9:</w:t>
      </w:r>
      <w:r>
        <w:rPr>
          <w:rFonts w:hint="eastAsia" w:ascii="宋体" w:hAnsi="宋体" w:cs="宋体"/>
          <w:color w:val="auto"/>
          <w:kern w:val="0"/>
          <w:sz w:val="24"/>
          <w:highlight w:val="none"/>
          <w:u w:val="none"/>
          <w:lang w:val="en-US" w:eastAsia="zh-CN"/>
        </w:rPr>
        <w:t>0</w:t>
      </w:r>
      <w:r>
        <w:rPr>
          <w:rFonts w:hint="eastAsia" w:ascii="宋体" w:hAnsi="宋体" w:cs="宋体"/>
          <w:color w:val="auto"/>
          <w:kern w:val="0"/>
          <w:sz w:val="24"/>
          <w:highlight w:val="none"/>
          <w:u w:val="none"/>
        </w:rPr>
        <w:t>0至11:30，下午13:00至16:30（北京时间，法定节假日除外）。</w:t>
      </w:r>
    </w:p>
    <w:p w14:paraId="67F02F90">
      <w:pPr>
        <w:widowControl/>
        <w:snapToGrid w:val="0"/>
        <w:spacing w:line="360" w:lineRule="auto"/>
        <w:ind w:firstLine="480" w:firstLineChars="200"/>
        <w:contextualSpacing/>
        <w:rPr>
          <w:rFonts w:ascii="宋体" w:hAnsi="宋体" w:cs="宋体"/>
          <w:color w:val="auto"/>
          <w:kern w:val="0"/>
          <w:sz w:val="24"/>
          <w:highlight w:val="none"/>
          <w:u w:val="none"/>
        </w:rPr>
      </w:pPr>
      <w:bookmarkStart w:id="17" w:name="_Toc28359082"/>
      <w:bookmarkStart w:id="18" w:name="_Toc28359005"/>
      <w:bookmarkStart w:id="19" w:name="_Toc35393793"/>
      <w:bookmarkStart w:id="20" w:name="_Toc35393624"/>
      <w:r>
        <w:rPr>
          <w:rFonts w:hint="eastAsia" w:ascii="宋体" w:hAnsi="宋体" w:cs="宋体"/>
          <w:color w:val="auto"/>
          <w:kern w:val="0"/>
          <w:sz w:val="24"/>
          <w:highlight w:val="none"/>
          <w:u w:val="none"/>
        </w:rPr>
        <w:t>地点：通利晟信管理咨询有限公司3楼（大连市沙河口区万岁街135号）。</w:t>
      </w:r>
    </w:p>
    <w:p w14:paraId="74EFC926">
      <w:pPr>
        <w:widowControl/>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u w:val="none"/>
        </w:rPr>
        <w:t>方式：现场报名</w:t>
      </w:r>
      <w:r>
        <w:rPr>
          <w:rFonts w:hint="eastAsia" w:ascii="宋体" w:hAnsi="宋体" w:cs="宋体"/>
          <w:color w:val="auto"/>
          <w:kern w:val="0"/>
          <w:sz w:val="24"/>
          <w:highlight w:val="none"/>
        </w:rPr>
        <w:t>。</w:t>
      </w:r>
    </w:p>
    <w:p w14:paraId="37D1073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售价：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00元。</w:t>
      </w:r>
    </w:p>
    <w:p w14:paraId="49630DE7">
      <w:pPr>
        <w:pStyle w:val="4"/>
        <w:snapToGrid w:val="0"/>
        <w:spacing w:line="360" w:lineRule="auto"/>
        <w:ind w:left="0" w:firstLine="482" w:firstLineChars="200"/>
        <w:rPr>
          <w:rFonts w:ascii="宋体" w:hAnsi="宋体" w:cs="宋体"/>
          <w:bCs w:val="0"/>
          <w:color w:val="auto"/>
          <w:kern w:val="0"/>
          <w:sz w:val="24"/>
          <w:highlight w:val="none"/>
        </w:rPr>
      </w:pPr>
      <w:r>
        <w:rPr>
          <w:rFonts w:hint="eastAsia" w:ascii="宋体" w:hAnsi="宋体" w:cs="宋体"/>
          <w:bCs w:val="0"/>
          <w:color w:val="auto"/>
          <w:kern w:val="0"/>
          <w:sz w:val="24"/>
          <w:highlight w:val="none"/>
        </w:rPr>
        <w:t>四、提交投标文件</w:t>
      </w:r>
      <w:bookmarkEnd w:id="17"/>
      <w:bookmarkEnd w:id="18"/>
      <w:r>
        <w:rPr>
          <w:rFonts w:hint="eastAsia" w:ascii="宋体" w:hAnsi="宋体" w:cs="宋体"/>
          <w:bCs w:val="0"/>
          <w:color w:val="auto"/>
          <w:kern w:val="0"/>
          <w:sz w:val="24"/>
          <w:highlight w:val="none"/>
        </w:rPr>
        <w:t>截止时间、开标时间和地点</w:t>
      </w:r>
      <w:bookmarkEnd w:id="19"/>
      <w:bookmarkEnd w:id="20"/>
    </w:p>
    <w:p w14:paraId="784EB612">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color w:val="auto"/>
          <w:kern w:val="0"/>
          <w:sz w:val="24"/>
          <w:highlight w:val="none"/>
        </w:rPr>
        <w:t>时间：</w:t>
      </w:r>
      <w:r>
        <w:rPr>
          <w:rFonts w:hint="eastAsia" w:ascii="宋体" w:hAnsi="宋体" w:cs="宋体"/>
          <w:bCs/>
          <w:color w:val="auto"/>
          <w:kern w:val="0"/>
          <w:sz w:val="24"/>
          <w:highlight w:val="none"/>
          <w:u w:val="none"/>
        </w:rPr>
        <w:t>202</w:t>
      </w:r>
      <w:r>
        <w:rPr>
          <w:rFonts w:hint="eastAsia" w:ascii="宋体" w:hAnsi="宋体" w:cs="宋体"/>
          <w:bCs/>
          <w:color w:val="auto"/>
          <w:kern w:val="0"/>
          <w:sz w:val="24"/>
          <w:highlight w:val="none"/>
          <w:u w:val="none"/>
          <w:lang w:val="en-US" w:eastAsia="zh-CN"/>
        </w:rPr>
        <w:t>6</w:t>
      </w:r>
      <w:r>
        <w:rPr>
          <w:rFonts w:hint="eastAsia" w:ascii="宋体" w:hAnsi="宋体" w:cs="宋体"/>
          <w:bCs/>
          <w:color w:val="auto"/>
          <w:kern w:val="0"/>
          <w:sz w:val="24"/>
          <w:highlight w:val="none"/>
          <w:u w:val="none"/>
        </w:rPr>
        <w:t>年</w:t>
      </w:r>
      <w:r>
        <w:rPr>
          <w:rFonts w:hint="eastAsia" w:ascii="宋体" w:hAnsi="宋体" w:cs="宋体"/>
          <w:bCs/>
          <w:color w:val="auto"/>
          <w:kern w:val="0"/>
          <w:sz w:val="24"/>
          <w:highlight w:val="none"/>
          <w:u w:val="none"/>
          <w:lang w:val="en-US" w:eastAsia="zh-CN"/>
        </w:rPr>
        <w:t>7</w:t>
      </w:r>
      <w:r>
        <w:rPr>
          <w:rFonts w:hint="eastAsia" w:ascii="宋体" w:hAnsi="宋体" w:cs="宋体"/>
          <w:bCs/>
          <w:color w:val="auto"/>
          <w:kern w:val="0"/>
          <w:sz w:val="24"/>
          <w:highlight w:val="none"/>
          <w:u w:val="none"/>
        </w:rPr>
        <w:t>月</w:t>
      </w:r>
      <w:r>
        <w:rPr>
          <w:rFonts w:hint="eastAsia" w:ascii="宋体" w:hAnsi="宋体" w:cs="宋体"/>
          <w:bCs/>
          <w:color w:val="auto"/>
          <w:kern w:val="0"/>
          <w:sz w:val="24"/>
          <w:highlight w:val="none"/>
          <w:u w:val="none"/>
          <w:lang w:val="en-US" w:eastAsia="zh-CN"/>
        </w:rPr>
        <w:t>20</w:t>
      </w:r>
      <w:r>
        <w:rPr>
          <w:rFonts w:hint="eastAsia" w:ascii="宋体" w:hAnsi="宋体" w:cs="宋体"/>
          <w:bCs/>
          <w:color w:val="auto"/>
          <w:kern w:val="0"/>
          <w:sz w:val="24"/>
          <w:highlight w:val="none"/>
          <w:u w:val="none"/>
        </w:rPr>
        <w:t>日</w:t>
      </w:r>
      <w:r>
        <w:rPr>
          <w:rFonts w:hint="eastAsia" w:ascii="宋体" w:hAnsi="宋体" w:cs="宋体"/>
          <w:bCs/>
          <w:color w:val="auto"/>
          <w:kern w:val="0"/>
          <w:sz w:val="24"/>
          <w:highlight w:val="none"/>
          <w:u w:val="none"/>
          <w:lang w:val="en-US" w:eastAsia="zh-CN"/>
        </w:rPr>
        <w:t>9</w:t>
      </w:r>
      <w:r>
        <w:rPr>
          <w:rFonts w:hint="eastAsia" w:ascii="宋体" w:hAnsi="宋体" w:cs="宋体"/>
          <w:bCs/>
          <w:color w:val="auto"/>
          <w:kern w:val="0"/>
          <w:sz w:val="24"/>
          <w:highlight w:val="none"/>
          <w:u w:val="none"/>
        </w:rPr>
        <w:t>点</w:t>
      </w:r>
      <w:r>
        <w:rPr>
          <w:rFonts w:hint="eastAsia" w:ascii="宋体" w:hAnsi="宋体" w:cs="宋体"/>
          <w:bCs/>
          <w:color w:val="auto"/>
          <w:kern w:val="0"/>
          <w:sz w:val="24"/>
          <w:highlight w:val="none"/>
          <w:u w:val="none"/>
          <w:lang w:val="en-US" w:eastAsia="zh-CN"/>
        </w:rPr>
        <w:t>30</w:t>
      </w:r>
      <w:r>
        <w:rPr>
          <w:rFonts w:hint="eastAsia" w:ascii="宋体" w:hAnsi="宋体" w:cs="宋体"/>
          <w:bCs/>
          <w:color w:val="auto"/>
          <w:kern w:val="0"/>
          <w:sz w:val="24"/>
          <w:highlight w:val="none"/>
          <w:u w:val="none"/>
        </w:rPr>
        <w:t>分</w:t>
      </w:r>
      <w:r>
        <w:rPr>
          <w:rFonts w:hint="eastAsia" w:ascii="宋体" w:hAnsi="宋体" w:cs="宋体"/>
          <w:bCs/>
          <w:color w:val="auto"/>
          <w:kern w:val="0"/>
          <w:sz w:val="24"/>
          <w:highlight w:val="none"/>
        </w:rPr>
        <w:t>（北京时间）。</w:t>
      </w:r>
    </w:p>
    <w:p w14:paraId="668433B4">
      <w:pPr>
        <w:widowControl/>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地点：通利晟信管理咨询有限公司7楼（地址：大连市沙河口区万岁街135号）。</w:t>
      </w:r>
    </w:p>
    <w:p w14:paraId="6D4826C1">
      <w:pPr>
        <w:pStyle w:val="4"/>
        <w:snapToGrid w:val="0"/>
        <w:spacing w:line="360" w:lineRule="auto"/>
        <w:ind w:left="0" w:firstLine="482" w:firstLineChars="200"/>
        <w:rPr>
          <w:rFonts w:ascii="宋体" w:hAnsi="宋体" w:cs="宋体"/>
          <w:bCs w:val="0"/>
          <w:color w:val="auto"/>
          <w:kern w:val="0"/>
          <w:sz w:val="24"/>
          <w:highlight w:val="none"/>
        </w:rPr>
      </w:pPr>
      <w:bookmarkStart w:id="21" w:name="_Toc35393625"/>
      <w:bookmarkStart w:id="22" w:name="_Toc28359084"/>
      <w:bookmarkStart w:id="23" w:name="_Toc28359007"/>
      <w:bookmarkStart w:id="24" w:name="_Toc35393794"/>
      <w:r>
        <w:rPr>
          <w:rFonts w:hint="eastAsia" w:ascii="宋体" w:hAnsi="宋体" w:cs="宋体"/>
          <w:bCs w:val="0"/>
          <w:color w:val="auto"/>
          <w:kern w:val="0"/>
          <w:sz w:val="24"/>
          <w:highlight w:val="none"/>
        </w:rPr>
        <w:t>五、公告期限</w:t>
      </w:r>
      <w:bookmarkEnd w:id="21"/>
      <w:bookmarkEnd w:id="22"/>
      <w:bookmarkEnd w:id="23"/>
      <w:bookmarkEnd w:id="24"/>
    </w:p>
    <w:p w14:paraId="7AC1A1E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53AD3D34">
      <w:pPr>
        <w:pStyle w:val="4"/>
        <w:snapToGrid w:val="0"/>
        <w:spacing w:line="360" w:lineRule="auto"/>
        <w:ind w:left="0" w:firstLine="482" w:firstLineChars="200"/>
        <w:rPr>
          <w:rFonts w:ascii="宋体" w:hAnsi="宋体" w:cs="宋体"/>
          <w:bCs w:val="0"/>
          <w:color w:val="auto"/>
          <w:kern w:val="0"/>
          <w:sz w:val="24"/>
          <w:highlight w:val="none"/>
        </w:rPr>
      </w:pPr>
      <w:bookmarkStart w:id="25" w:name="_Toc35393626"/>
      <w:bookmarkStart w:id="26" w:name="_Toc35393795"/>
      <w:r>
        <w:rPr>
          <w:rFonts w:hint="eastAsia" w:ascii="宋体" w:hAnsi="宋体" w:cs="宋体"/>
          <w:bCs w:val="0"/>
          <w:color w:val="auto"/>
          <w:kern w:val="0"/>
          <w:sz w:val="24"/>
          <w:highlight w:val="none"/>
        </w:rPr>
        <w:t>六、其他补充事宜</w:t>
      </w:r>
      <w:bookmarkEnd w:id="25"/>
      <w:bookmarkEnd w:id="26"/>
    </w:p>
    <w:p w14:paraId="50B3543B">
      <w:pPr>
        <w:pStyle w:val="4"/>
        <w:snapToGrid w:val="0"/>
        <w:spacing w:line="360" w:lineRule="auto"/>
        <w:ind w:left="0" w:firstLine="480" w:firstLineChars="200"/>
        <w:rPr>
          <w:rFonts w:ascii="宋体" w:hAnsi="宋体" w:cs="宋体"/>
          <w:b w:val="0"/>
          <w:color w:val="auto"/>
          <w:kern w:val="0"/>
          <w:sz w:val="24"/>
          <w:highlight w:val="none"/>
        </w:rPr>
      </w:pPr>
      <w:bookmarkStart w:id="27" w:name="_Toc35393796"/>
      <w:bookmarkStart w:id="28" w:name="_Toc28359008"/>
      <w:bookmarkStart w:id="29" w:name="_Toc35393627"/>
      <w:bookmarkStart w:id="30" w:name="_Toc28359085"/>
      <w:r>
        <w:rPr>
          <w:rFonts w:hint="eastAsia" w:ascii="宋体" w:hAnsi="宋体" w:cs="宋体"/>
          <w:b w:val="0"/>
          <w:color w:val="auto"/>
          <w:kern w:val="0"/>
          <w:sz w:val="24"/>
          <w:highlight w:val="none"/>
        </w:rPr>
        <w:t>1.本项目不接受进口产品投标，本文件所称进口产品是指通过中国海关报关验放进入中国境内且产自关境外的产品。</w:t>
      </w:r>
    </w:p>
    <w:p w14:paraId="612AF9E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.现场报名：在招标文件发售期内，报名时携带营业执照副本复印件、税务登记证副本复印件（三证合一的不需提供）、组织机构代码证复印件（三证合一的不需提供）、法定代表人证书原件</w:t>
      </w:r>
      <w:r>
        <w:rPr>
          <w:rFonts w:hint="eastAsia" w:ascii="宋体" w:hAnsi="宋体"/>
          <w:color w:val="auto"/>
          <w:sz w:val="24"/>
          <w:highlight w:val="none"/>
        </w:rPr>
        <w:t>（法定代表人报名提供）</w:t>
      </w:r>
      <w:r>
        <w:rPr>
          <w:rFonts w:ascii="宋体" w:hAnsi="宋体"/>
          <w:color w:val="auto"/>
          <w:sz w:val="24"/>
          <w:highlight w:val="none"/>
        </w:rPr>
        <w:t>或法人授权委托书原件及被授权人身份证原件</w:t>
      </w:r>
      <w:r>
        <w:rPr>
          <w:rFonts w:hint="eastAsia" w:ascii="宋体" w:hAnsi="宋体"/>
          <w:color w:val="auto"/>
          <w:sz w:val="24"/>
          <w:highlight w:val="none"/>
        </w:rPr>
        <w:t>、复印件（授权委托人报名提供）</w:t>
      </w:r>
      <w:r>
        <w:rPr>
          <w:rFonts w:ascii="宋体" w:hAnsi="宋体"/>
          <w:color w:val="auto"/>
          <w:sz w:val="24"/>
          <w:highlight w:val="none"/>
        </w:rPr>
        <w:t>，上述证明材料须加盖公章，报名后发售招标文件。</w:t>
      </w:r>
    </w:p>
    <w:p w14:paraId="5FBD1CB3">
      <w:pPr>
        <w:widowControl/>
        <w:spacing w:line="360" w:lineRule="auto"/>
        <w:ind w:firstLine="480" w:firstLineChars="200"/>
        <w:contextualSpacing/>
        <w:rPr>
          <w:rFonts w:ascii="宋体" w:hAnsi="宋体"/>
          <w:color w:val="auto"/>
          <w:sz w:val="24"/>
          <w:highlight w:val="none"/>
        </w:rPr>
      </w:pPr>
      <w:r>
        <w:rPr>
          <w:rFonts w:hint="eastAsia" w:ascii="宋体" w:hAnsi="宋体"/>
          <w:color w:val="auto"/>
          <w:sz w:val="24"/>
          <w:highlight w:val="none"/>
          <w:lang w:val="en-US" w:eastAsia="zh-CN"/>
        </w:rPr>
        <w:t>3</w:t>
      </w:r>
      <w:r>
        <w:rPr>
          <w:rFonts w:ascii="宋体" w:hAnsi="宋体"/>
          <w:color w:val="auto"/>
          <w:sz w:val="24"/>
          <w:highlight w:val="none"/>
        </w:rPr>
        <w:t>.</w:t>
      </w:r>
      <w:r>
        <w:rPr>
          <w:rFonts w:hint="eastAsia" w:ascii="宋体" w:hAnsi="宋体"/>
          <w:color w:val="auto"/>
          <w:sz w:val="24"/>
          <w:highlight w:val="none"/>
        </w:rPr>
        <w:t>招标代理机构银行信息：</w:t>
      </w:r>
    </w:p>
    <w:p w14:paraId="27D9B6C0">
      <w:pPr>
        <w:widowControl/>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公司名称：通利晟信管理咨询有限公司；</w:t>
      </w:r>
    </w:p>
    <w:p w14:paraId="6AAFF592">
      <w:pPr>
        <w:widowControl/>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开户行：中信银行大连沙河口支行（仅限代理服务费及标书费）；</w:t>
      </w:r>
    </w:p>
    <w:p w14:paraId="379DAF64">
      <w:pPr>
        <w:widowControl/>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账号：7212910182600212195</w:t>
      </w:r>
      <w:r>
        <w:rPr>
          <w:rFonts w:ascii="宋体" w:hAnsi="宋体" w:cs="宋体"/>
          <w:color w:val="auto"/>
          <w:kern w:val="0"/>
          <w:sz w:val="24"/>
          <w:highlight w:val="none"/>
        </w:rPr>
        <w:t>。</w:t>
      </w:r>
    </w:p>
    <w:p w14:paraId="69423BCF">
      <w:pPr>
        <w:pStyle w:val="4"/>
        <w:snapToGrid w:val="0"/>
        <w:spacing w:line="360" w:lineRule="auto"/>
        <w:ind w:left="0" w:firstLine="482" w:firstLineChars="200"/>
        <w:rPr>
          <w:rFonts w:ascii="宋体" w:hAnsi="宋体" w:cs="宋体"/>
          <w:bCs w:val="0"/>
          <w:color w:val="auto"/>
          <w:kern w:val="0"/>
          <w:sz w:val="24"/>
          <w:highlight w:val="none"/>
        </w:rPr>
      </w:pPr>
      <w:r>
        <w:rPr>
          <w:rFonts w:hint="eastAsia" w:ascii="宋体" w:hAnsi="宋体" w:cs="宋体"/>
          <w:bCs w:val="0"/>
          <w:color w:val="auto"/>
          <w:kern w:val="0"/>
          <w:sz w:val="24"/>
          <w:highlight w:val="none"/>
        </w:rPr>
        <w:t>七、对本次招标提出询问，请按以下方式联系</w:t>
      </w:r>
      <w:bookmarkEnd w:id="27"/>
      <w:bookmarkEnd w:id="28"/>
      <w:bookmarkEnd w:id="29"/>
      <w:bookmarkEnd w:id="30"/>
    </w:p>
    <w:p w14:paraId="011A0760">
      <w:pPr>
        <w:widowControl/>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1.采购人信息：</w:t>
      </w:r>
    </w:p>
    <w:p w14:paraId="39AC2078">
      <w:pPr>
        <w:snapToGrid w:val="0"/>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名称：</w:t>
      </w:r>
      <w:r>
        <w:rPr>
          <w:rFonts w:hint="eastAsia" w:ascii="宋体" w:hAnsi="宋体" w:cs="宋体"/>
          <w:color w:val="auto"/>
          <w:kern w:val="0"/>
          <w:sz w:val="24"/>
          <w:highlight w:val="none"/>
          <w:lang w:eastAsia="zh-CN"/>
        </w:rPr>
        <w:t>大连海关技术中心</w:t>
      </w:r>
    </w:p>
    <w:p w14:paraId="00830FE2">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cs="仿宋_GB2312"/>
          <w:color w:val="auto"/>
          <w:kern w:val="0"/>
          <w:sz w:val="24"/>
          <w:highlight w:val="none"/>
        </w:rPr>
        <w:t>大连市中山区长江东路60号</w:t>
      </w:r>
    </w:p>
    <w:p w14:paraId="4D035783">
      <w:pPr>
        <w:snapToGrid w:val="0"/>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联系</w:t>
      </w:r>
      <w:r>
        <w:rPr>
          <w:rFonts w:hint="eastAsia" w:ascii="宋体" w:hAnsi="宋体" w:cs="宋体"/>
          <w:color w:val="auto"/>
          <w:kern w:val="0"/>
          <w:sz w:val="24"/>
          <w:highlight w:val="none"/>
          <w:lang w:eastAsia="zh-CN"/>
        </w:rPr>
        <w:t>人</w:t>
      </w:r>
      <w:r>
        <w:rPr>
          <w:rFonts w:hint="eastAsia" w:ascii="宋体" w:hAnsi="宋体" w:cs="宋体"/>
          <w:color w:val="auto"/>
          <w:kern w:val="0"/>
          <w:sz w:val="24"/>
          <w:highlight w:val="none"/>
        </w:rPr>
        <w:t>：</w:t>
      </w:r>
      <w:bookmarkStart w:id="31" w:name="_Toc28359086"/>
      <w:bookmarkStart w:id="32" w:name="_Toc28359009"/>
      <w:r>
        <w:rPr>
          <w:rFonts w:hint="eastAsia" w:cs="仿宋_GB2312"/>
          <w:color w:val="auto"/>
          <w:kern w:val="0"/>
          <w:sz w:val="24"/>
          <w:highlight w:val="none"/>
        </w:rPr>
        <w:t>崔妍</w:t>
      </w:r>
    </w:p>
    <w:p w14:paraId="798E6A32">
      <w:pPr>
        <w:snapToGrid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eastAsia="zh-CN"/>
        </w:rPr>
        <w:t>联系电话：</w:t>
      </w:r>
      <w:r>
        <w:rPr>
          <w:rFonts w:hint="eastAsia"/>
          <w:color w:val="auto"/>
          <w:highlight w:val="none"/>
          <w:lang w:val="en-US" w:eastAsia="zh-CN"/>
        </w:rPr>
        <w:t>0411-87954557</w:t>
      </w:r>
    </w:p>
    <w:p w14:paraId="35A530DB">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2.采购代理机构信息</w:t>
      </w:r>
      <w:bookmarkEnd w:id="31"/>
      <w:bookmarkEnd w:id="32"/>
      <w:r>
        <w:rPr>
          <w:rFonts w:hint="eastAsia" w:ascii="宋体" w:hAnsi="宋体" w:cs="宋体"/>
          <w:color w:val="auto"/>
          <w:kern w:val="0"/>
          <w:sz w:val="24"/>
          <w:highlight w:val="none"/>
        </w:rPr>
        <w:t>：</w:t>
      </w:r>
    </w:p>
    <w:p w14:paraId="5BA71BDC">
      <w:pPr>
        <w:snapToGrid w:val="0"/>
        <w:spacing w:line="360" w:lineRule="auto"/>
        <w:ind w:firstLine="480" w:firstLineChars="200"/>
        <w:rPr>
          <w:rFonts w:ascii="宋体" w:hAnsi="宋体" w:cs="宋体"/>
          <w:color w:val="auto"/>
          <w:kern w:val="0"/>
          <w:sz w:val="24"/>
          <w:highlight w:val="none"/>
        </w:rPr>
      </w:pPr>
      <w:bookmarkStart w:id="33" w:name="_Toc28359087"/>
      <w:bookmarkStart w:id="34" w:name="_Toc28359010"/>
      <w:r>
        <w:rPr>
          <w:rFonts w:hint="eastAsia" w:ascii="宋体" w:hAnsi="宋体" w:cs="宋体"/>
          <w:color w:val="auto"/>
          <w:kern w:val="0"/>
          <w:sz w:val="24"/>
          <w:highlight w:val="none"/>
        </w:rPr>
        <w:t>名称：通利晟信管理咨询有限公司</w:t>
      </w:r>
    </w:p>
    <w:p w14:paraId="4B733A8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地　址：大连市沙河口区万岁街135号</w:t>
      </w:r>
    </w:p>
    <w:p w14:paraId="33C7FB2F">
      <w:pPr>
        <w:snapToGrid w:val="0"/>
        <w:spacing w:line="360" w:lineRule="auto"/>
        <w:ind w:firstLine="480" w:firstLineChars="200"/>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王卓、王帅、金科宇、薛淯泷</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0411-84651708、84651718</w:t>
      </w:r>
    </w:p>
    <w:p w14:paraId="5D1D605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3.项目联系方式</w:t>
      </w:r>
      <w:bookmarkEnd w:id="33"/>
      <w:bookmarkEnd w:id="34"/>
      <w:r>
        <w:rPr>
          <w:rFonts w:hint="eastAsia" w:ascii="宋体" w:hAnsi="宋体" w:cs="宋体"/>
          <w:color w:val="auto"/>
          <w:kern w:val="0"/>
          <w:sz w:val="24"/>
          <w:highlight w:val="none"/>
        </w:rPr>
        <w:t>：</w:t>
      </w:r>
    </w:p>
    <w:p w14:paraId="1B16AD3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项目联系人：</w:t>
      </w:r>
      <w:r>
        <w:rPr>
          <w:rFonts w:hint="eastAsia" w:ascii="宋体" w:hAnsi="宋体" w:cs="宋体"/>
          <w:color w:val="auto"/>
          <w:kern w:val="0"/>
          <w:sz w:val="24"/>
          <w:highlight w:val="none"/>
          <w:lang w:eastAsia="zh-CN"/>
        </w:rPr>
        <w:t>王卓、王帅、金科宇、薛淯泷</w:t>
      </w:r>
    </w:p>
    <w:p w14:paraId="63553AEF">
      <w:pPr>
        <w:widowControl/>
        <w:ind w:firstLine="480"/>
        <w:jc w:val="left"/>
        <w:rPr>
          <w:rFonts w:ascii="宋体" w:hAnsi="宋体" w:cs="宋体"/>
          <w:color w:val="auto"/>
          <w:kern w:val="0"/>
          <w:highlight w:val="none"/>
        </w:rPr>
      </w:pPr>
      <w:r>
        <w:rPr>
          <w:rFonts w:hint="eastAsia" w:ascii="宋体" w:hAnsi="宋体" w:cs="宋体"/>
          <w:color w:val="auto"/>
          <w:kern w:val="0"/>
          <w:sz w:val="24"/>
          <w:highlight w:val="none"/>
        </w:rPr>
        <w:t>电　话：</w:t>
      </w:r>
      <w:r>
        <w:rPr>
          <w:rFonts w:hint="eastAsia" w:ascii="宋体" w:hAnsi="宋体" w:cs="宋体"/>
          <w:color w:val="auto"/>
          <w:kern w:val="0"/>
          <w:sz w:val="24"/>
          <w:highlight w:val="none"/>
          <w:lang w:eastAsia="zh-CN"/>
        </w:rPr>
        <w:t>0411-84651708、84651718</w:t>
      </w:r>
      <w:r>
        <w:rPr>
          <w:rFonts w:ascii="宋体" w:hAnsi="宋体" w:cs="宋体"/>
          <w:color w:val="auto"/>
          <w:kern w:val="0"/>
          <w:highlight w:val="none"/>
        </w:rPr>
        <w:br w:type="page"/>
      </w:r>
    </w:p>
    <w:p w14:paraId="73FEB094">
      <w:pPr>
        <w:pStyle w:val="3"/>
        <w:snapToGrid w:val="0"/>
        <w:spacing w:before="0" w:after="0" w:line="360" w:lineRule="auto"/>
        <w:ind w:firstLine="643"/>
        <w:jc w:val="center"/>
        <w:rPr>
          <w:rFonts w:ascii="宋体" w:hAnsi="宋体" w:cs="宋体"/>
          <w:color w:val="auto"/>
          <w:kern w:val="0"/>
          <w:sz w:val="32"/>
          <w:szCs w:val="32"/>
          <w:highlight w:val="none"/>
        </w:rPr>
      </w:pPr>
      <w:bookmarkStart w:id="35" w:name="_Toc527007500"/>
      <w:bookmarkStart w:id="36" w:name="_Toc20587_WPSOffice_Level2"/>
      <w:r>
        <w:rPr>
          <w:rFonts w:hint="eastAsia" w:ascii="宋体" w:hAnsi="宋体" w:cs="宋体"/>
          <w:color w:val="auto"/>
          <w:kern w:val="0"/>
          <w:sz w:val="32"/>
          <w:szCs w:val="32"/>
          <w:highlight w:val="none"/>
        </w:rPr>
        <w:t>第一章  投标人须知及前附表</w:t>
      </w:r>
      <w:bookmarkEnd w:id="35"/>
      <w:bookmarkEnd w:id="36"/>
    </w:p>
    <w:p w14:paraId="41DA9F12">
      <w:pPr>
        <w:snapToGrid w:val="0"/>
        <w:spacing w:line="360" w:lineRule="auto"/>
        <w:ind w:firstLine="562"/>
        <w:jc w:val="center"/>
        <w:rPr>
          <w:rFonts w:ascii="宋体" w:hAnsi="宋体" w:cs="宋体"/>
          <w:b/>
          <w:color w:val="auto"/>
          <w:kern w:val="0"/>
          <w:sz w:val="28"/>
          <w:szCs w:val="28"/>
          <w:highlight w:val="none"/>
        </w:rPr>
      </w:pPr>
      <w:bookmarkStart w:id="37" w:name="_Toc9376_WPSOffice_Level3"/>
      <w:r>
        <w:rPr>
          <w:rFonts w:hint="eastAsia" w:ascii="宋体" w:hAnsi="宋体" w:cs="宋体"/>
          <w:b/>
          <w:color w:val="auto"/>
          <w:kern w:val="0"/>
          <w:sz w:val="28"/>
          <w:szCs w:val="28"/>
          <w:highlight w:val="none"/>
        </w:rPr>
        <w:t>投标人须知前附表</w:t>
      </w:r>
      <w:bookmarkEnd w:id="37"/>
    </w:p>
    <w:tbl>
      <w:tblPr>
        <w:tblStyle w:val="88"/>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8901"/>
      </w:tblGrid>
      <w:tr w14:paraId="12FB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5" w:type="dxa"/>
            <w:vAlign w:val="center"/>
          </w:tcPr>
          <w:p w14:paraId="41D8429F">
            <w:pPr>
              <w:widowControl/>
              <w:snapToGrid w:val="0"/>
              <w:spacing w:line="360" w:lineRule="auto"/>
              <w:contextualSpacing/>
              <w:rPr>
                <w:rFonts w:ascii="宋体" w:hAnsi="宋体" w:cs="宋体"/>
                <w:b/>
                <w:color w:val="auto"/>
                <w:kern w:val="0"/>
                <w:sz w:val="24"/>
                <w:highlight w:val="none"/>
              </w:rPr>
            </w:pPr>
            <w:r>
              <w:rPr>
                <w:rFonts w:hint="eastAsia" w:ascii="宋体" w:hAnsi="宋体" w:cs="宋体"/>
                <w:b/>
                <w:color w:val="auto"/>
                <w:kern w:val="0"/>
                <w:sz w:val="24"/>
                <w:highlight w:val="none"/>
              </w:rPr>
              <w:t>序号</w:t>
            </w:r>
          </w:p>
        </w:tc>
        <w:tc>
          <w:tcPr>
            <w:tcW w:w="8901" w:type="dxa"/>
            <w:vAlign w:val="center"/>
          </w:tcPr>
          <w:p w14:paraId="393313DB">
            <w:pPr>
              <w:widowControl/>
              <w:snapToGrid w:val="0"/>
              <w:spacing w:line="360" w:lineRule="auto"/>
              <w:contextualSpacing/>
              <w:jc w:val="center"/>
              <w:rPr>
                <w:rFonts w:ascii="宋体" w:hAnsi="宋体" w:cs="宋体"/>
                <w:b/>
                <w:color w:val="auto"/>
                <w:kern w:val="0"/>
                <w:sz w:val="24"/>
                <w:highlight w:val="none"/>
              </w:rPr>
            </w:pPr>
            <w:r>
              <w:rPr>
                <w:rFonts w:hint="eastAsia" w:ascii="宋体" w:hAnsi="宋体" w:cs="宋体"/>
                <w:b/>
                <w:color w:val="auto"/>
                <w:kern w:val="0"/>
                <w:sz w:val="24"/>
                <w:highlight w:val="none"/>
              </w:rPr>
              <w:t>内容</w:t>
            </w:r>
          </w:p>
        </w:tc>
      </w:tr>
      <w:tr w14:paraId="0DC9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4403DA9">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330B4AAE">
            <w:pPr>
              <w:snapToGrid w:val="0"/>
              <w:spacing w:line="360" w:lineRule="auto"/>
              <w:rPr>
                <w:rFonts w:ascii="宋体" w:hAnsi="宋体" w:cs="宋体"/>
                <w:color w:val="auto"/>
                <w:kern w:val="0"/>
                <w:sz w:val="24"/>
                <w:highlight w:val="none"/>
                <w:u w:val="single"/>
              </w:rPr>
            </w:pPr>
            <w:r>
              <w:rPr>
                <w:rFonts w:hint="eastAsia" w:ascii="宋体" w:hAnsi="宋体" w:cs="宋体"/>
                <w:color w:val="auto"/>
                <w:kern w:val="0"/>
                <w:sz w:val="24"/>
                <w:highlight w:val="none"/>
              </w:rPr>
              <w:t>项目名称：</w:t>
            </w:r>
            <w:r>
              <w:rPr>
                <w:rFonts w:hint="eastAsia" w:ascii="宋体" w:hAnsi="宋体" w:cs="宋体"/>
                <w:color w:val="auto"/>
                <w:kern w:val="0"/>
                <w:sz w:val="24"/>
                <w:highlight w:val="none"/>
                <w:lang w:eastAsia="zh-CN"/>
              </w:rPr>
              <w:t>大连海关技术中心2026年海关仪器设备</w:t>
            </w:r>
            <w:r>
              <w:rPr>
                <w:rFonts w:hint="eastAsia" w:ascii="宋体" w:hAnsi="宋体" w:cs="宋体"/>
                <w:color w:val="auto"/>
                <w:kern w:val="0"/>
                <w:sz w:val="24"/>
                <w:highlight w:val="none"/>
              </w:rPr>
              <w:t>1</w:t>
            </w:r>
            <w:r>
              <w:rPr>
                <w:rFonts w:hint="eastAsia" w:ascii="宋体" w:hAnsi="宋体" w:cs="宋体"/>
                <w:color w:val="auto"/>
                <w:kern w:val="0"/>
                <w:sz w:val="24"/>
                <w:highlight w:val="none"/>
                <w:lang w:eastAsia="zh-CN"/>
              </w:rPr>
              <w:t>批</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电子天平（规格一）</w:t>
            </w:r>
            <w:r>
              <w:rPr>
                <w:rFonts w:hint="eastAsia" w:ascii="宋体" w:hAnsi="宋体" w:cs="宋体"/>
                <w:color w:val="auto"/>
                <w:kern w:val="0"/>
                <w:sz w:val="24"/>
                <w:highlight w:val="none"/>
                <w:lang w:val="en-US" w:eastAsia="zh-CN"/>
              </w:rPr>
              <w:t>2台，旋转蒸发仪1台，快速高温灰化仪1台，恒温恒湿培养箱（规格一）1台，恒温恒湿培养箱（规格二）1台，自动蒸馏仪1台，防爆冰箱1台，菌落计数器1台，霉菌培养箱1台，高压灭菌锅1台，实际胶质检测仪器1台，喷气燃料电导率分析仪1台，</w:t>
            </w:r>
            <w:r>
              <w:rPr>
                <w:rFonts w:hint="eastAsia" w:ascii="宋体" w:hAnsi="宋体" w:cs="宋体"/>
                <w:color w:val="auto"/>
                <w:kern w:val="0"/>
                <w:sz w:val="24"/>
                <w:highlight w:val="none"/>
                <w:lang w:eastAsia="zh-CN"/>
              </w:rPr>
              <w:t>电子天平（规格二）</w:t>
            </w:r>
            <w:r>
              <w:rPr>
                <w:rFonts w:hint="eastAsia" w:ascii="宋体" w:hAnsi="宋体" w:cs="宋体"/>
                <w:color w:val="auto"/>
                <w:kern w:val="0"/>
                <w:sz w:val="24"/>
                <w:highlight w:val="none"/>
                <w:lang w:val="en-US" w:eastAsia="zh-CN"/>
              </w:rPr>
              <w:t>2台。</w:t>
            </w:r>
          </w:p>
        </w:tc>
      </w:tr>
      <w:tr w14:paraId="3760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5D5FCFD">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081FD24A">
            <w:pPr>
              <w:widowControl/>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投标人须具备《中华人民共和国政府采购法》第二十二条关于投标人条件的条件：</w:t>
            </w:r>
          </w:p>
          <w:p w14:paraId="76AE5C34">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（1）具有独立承担民事责任的能力；</w:t>
            </w:r>
          </w:p>
          <w:p w14:paraId="54D0B42D">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（2）具有良好的商业信誉和健全的财务会计制度；</w:t>
            </w:r>
          </w:p>
          <w:p w14:paraId="65E8F93E">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（3）具有履行合同所必需的设备和专业技术能力；</w:t>
            </w:r>
          </w:p>
          <w:p w14:paraId="1B86ADAB">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（4）有依法缴纳税收和社会保障资金的良好记录；</w:t>
            </w:r>
          </w:p>
          <w:p w14:paraId="055B5542">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08E69DEF">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（6）法律、行政法规规定的其他条件。</w:t>
            </w:r>
          </w:p>
          <w:p w14:paraId="26907DA9">
            <w:pPr>
              <w:widowControl/>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落实政府采购政策需满足的资格要求：</w:t>
            </w:r>
          </w:p>
          <w:p w14:paraId="1D51A60F">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（1）专门面向</w:t>
            </w:r>
            <w:r>
              <w:rPr>
                <w:rFonts w:hint="eastAsia" w:ascii="宋体" w:hAnsi="宋体" w:cs="宋体"/>
                <w:color w:val="auto"/>
                <w:kern w:val="0"/>
                <w:sz w:val="24"/>
                <w:highlight w:val="none"/>
                <w:lang w:val="en-US" w:eastAsia="zh-CN"/>
              </w:rPr>
              <w:t>小微</w:t>
            </w:r>
            <w:r>
              <w:rPr>
                <w:rFonts w:hint="eastAsia" w:ascii="宋体" w:hAnsi="宋体" w:cs="宋体"/>
                <w:color w:val="auto"/>
                <w:kern w:val="0"/>
                <w:sz w:val="24"/>
                <w:highlight w:val="none"/>
              </w:rPr>
              <w:t>企业采购项目，监狱企业、残疾人企业视同小微企业；</w:t>
            </w:r>
          </w:p>
          <w:p w14:paraId="26ACC97A">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）截至开标时间，经“信用中国”网站（</w:t>
            </w:r>
            <w:r>
              <w:rPr>
                <w:rFonts w:ascii="宋体" w:hAnsi="宋体" w:cs="宋体"/>
                <w:color w:val="auto"/>
                <w:kern w:val="0"/>
                <w:sz w:val="24"/>
                <w:highlight w:val="none"/>
              </w:rPr>
              <w:t xml:space="preserve">www.creditchina.gov.cn）、 </w:t>
            </w:r>
            <w:r>
              <w:rPr>
                <w:rFonts w:hint="eastAsia" w:ascii="宋体" w:hAnsi="宋体" w:cs="宋体"/>
                <w:color w:val="auto"/>
                <w:kern w:val="0"/>
                <w:sz w:val="24"/>
                <w:highlight w:val="none"/>
              </w:rPr>
              <w:t>“中国政府采购网”网站（</w:t>
            </w:r>
            <w:r>
              <w:rPr>
                <w:rFonts w:ascii="宋体" w:hAnsi="宋体" w:cs="宋体"/>
                <w:color w:val="auto"/>
                <w:kern w:val="0"/>
                <w:sz w:val="24"/>
                <w:highlight w:val="none"/>
              </w:rPr>
              <w:t>www</w:t>
            </w:r>
            <w:bookmarkStart w:id="163" w:name="_GoBack"/>
            <w:bookmarkEnd w:id="163"/>
            <w:r>
              <w:rPr>
                <w:rFonts w:ascii="宋体" w:hAnsi="宋体" w:cs="宋体"/>
                <w:color w:val="auto"/>
                <w:kern w:val="0"/>
                <w:sz w:val="24"/>
                <w:highlight w:val="none"/>
              </w:rPr>
              <w:t>.ccgp.gov.cn）查询，被列入失信被执行人、重大税收违法案件当事人名单、政府采购严重违法失信行为记录名单的不得参加本采购项目，</w:t>
            </w:r>
            <w:r>
              <w:rPr>
                <w:rFonts w:hint="eastAsia" w:ascii="宋体" w:hAnsi="宋体" w:cs="宋体"/>
                <w:color w:val="auto"/>
                <w:kern w:val="0"/>
                <w:sz w:val="24"/>
                <w:highlight w:val="none"/>
              </w:rPr>
              <w:t>查询结果以评审过程中现场网络截图为准；</w:t>
            </w:r>
          </w:p>
          <w:p w14:paraId="5E3BDBF5">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w:t>
            </w:r>
            <w:r>
              <w:rPr>
                <w:rFonts w:ascii="宋体" w:hAnsi="宋体" w:cs="宋体"/>
                <w:color w:val="auto"/>
                <w:kern w:val="0"/>
                <w:sz w:val="24"/>
                <w:highlight w:val="none"/>
              </w:rPr>
              <w:t>单位负责人为同一人或者存在直接控股、管理关系的不同供应商，不得参加同一合同项下的政府采购活动。为本采购项目提供整体设计、规范编制或者项目管理、监理、检测等服务的供应商，不得再参加本采购项目的采购活动。</w:t>
            </w:r>
          </w:p>
          <w:p w14:paraId="7C673F0F">
            <w:pPr>
              <w:widowControl/>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本项目的特定资格要求：无。</w:t>
            </w:r>
          </w:p>
          <w:p w14:paraId="3E45A8F7">
            <w:pPr>
              <w:widowControl/>
              <w:tabs>
                <w:tab w:val="left" w:pos="432"/>
              </w:tabs>
              <w:snapToGrid w:val="0"/>
              <w:spacing w:line="360" w:lineRule="auto"/>
              <w:jc w:val="left"/>
              <w:rPr>
                <w:color w:val="auto"/>
                <w:highlight w:val="none"/>
              </w:rPr>
            </w:pPr>
            <w:r>
              <w:rPr>
                <w:rFonts w:hint="eastAsia" w:ascii="宋体" w:hAnsi="宋体" w:cs="宋体"/>
                <w:b/>
                <w:color w:val="auto"/>
                <w:kern w:val="0"/>
                <w:sz w:val="24"/>
                <w:highlight w:val="none"/>
              </w:rPr>
              <w:t>注：1.本项目不接受联合体投标。</w:t>
            </w:r>
          </w:p>
        </w:tc>
      </w:tr>
      <w:tr w14:paraId="7F18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55C8F0D">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34583959">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★交货地点：</w:t>
            </w:r>
            <w:r>
              <w:rPr>
                <w:rFonts w:hint="eastAsia" w:cs="宋体"/>
                <w:color w:val="auto"/>
                <w:kern w:val="0"/>
                <w:sz w:val="24"/>
                <w:highlight w:val="none"/>
              </w:rPr>
              <w:t>大连海关技术中心指定地点</w:t>
            </w:r>
            <w:r>
              <w:rPr>
                <w:rFonts w:hint="eastAsia" w:ascii="宋体" w:hAnsi="宋体" w:cs="宋体"/>
                <w:color w:val="auto"/>
                <w:kern w:val="0"/>
                <w:sz w:val="24"/>
                <w:highlight w:val="none"/>
              </w:rPr>
              <w:t>。</w:t>
            </w:r>
          </w:p>
          <w:p w14:paraId="624F5A56">
            <w:pPr>
              <w:widowControl/>
              <w:snapToGrid w:val="0"/>
              <w:spacing w:line="360" w:lineRule="auto"/>
              <w:contextualSpacing/>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★供货期：自签订合同之日起，</w:t>
            </w:r>
            <w:r>
              <w:rPr>
                <w:rFonts w:hint="eastAsia" w:ascii="宋体" w:hAnsi="宋体" w:cs="宋体"/>
                <w:color w:val="auto"/>
                <w:kern w:val="0"/>
                <w:sz w:val="24"/>
                <w:highlight w:val="none"/>
                <w:lang w:val="en-US" w:eastAsia="zh-CN"/>
              </w:rPr>
              <w:t>35</w:t>
            </w:r>
            <w:r>
              <w:rPr>
                <w:rFonts w:hint="eastAsia" w:ascii="宋体" w:hAnsi="宋体" w:cs="宋体"/>
                <w:color w:val="auto"/>
                <w:kern w:val="0"/>
                <w:sz w:val="24"/>
                <w:highlight w:val="none"/>
              </w:rPr>
              <w:t>个日历日内</w:t>
            </w:r>
            <w:r>
              <w:rPr>
                <w:rFonts w:hint="eastAsia" w:ascii="宋体" w:hAnsi="宋体" w:cs="宋体"/>
                <w:color w:val="auto"/>
                <w:kern w:val="0"/>
                <w:sz w:val="24"/>
                <w:highlight w:val="none"/>
                <w:lang w:eastAsia="zh-CN"/>
              </w:rPr>
              <w:t>全部到货。</w:t>
            </w:r>
          </w:p>
          <w:p w14:paraId="4669B804">
            <w:pPr>
              <w:widowControl/>
              <w:snapToGrid w:val="0"/>
              <w:spacing w:line="360" w:lineRule="auto"/>
              <w:contextualSpacing/>
              <w:rPr>
                <w:rFonts w:hint="eastAsia" w:ascii="宋体" w:hAnsi="宋体" w:eastAsia="宋体" w:cs="宋体"/>
                <w:color w:val="auto"/>
                <w:kern w:val="0"/>
                <w:sz w:val="24"/>
                <w:highlight w:val="none"/>
                <w:lang w:eastAsia="zh-CN"/>
              </w:rPr>
            </w:pPr>
            <w:r>
              <w:rPr>
                <w:rFonts w:hint="eastAsia" w:cs="宋体"/>
                <w:color w:val="auto"/>
                <w:kern w:val="0"/>
                <w:sz w:val="24"/>
                <w:highlight w:val="none"/>
              </w:rPr>
              <w:t>★本项目不接受进口产品投标。</w:t>
            </w:r>
          </w:p>
        </w:tc>
      </w:tr>
      <w:tr w14:paraId="4EAC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688F035">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7A944A65">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投标人要求对招标文件进行询问的，请将询问问题以书面形式发到tonglishengxin@126.com邮箱，由采购人进行统一解答澄清；（邮件主题：</w:t>
            </w:r>
            <w:r>
              <w:rPr>
                <w:rFonts w:hint="eastAsia" w:ascii="宋体" w:hAnsi="宋体" w:cs="宋体"/>
                <w:color w:val="auto"/>
                <w:kern w:val="0"/>
                <w:sz w:val="24"/>
                <w:highlight w:val="none"/>
                <w:lang w:eastAsia="zh-CN"/>
              </w:rPr>
              <w:t>大连海关技术中心2026年海关仪器设备购置及能力保障专项采购项目</w:t>
            </w:r>
            <w:r>
              <w:rPr>
                <w:rFonts w:hint="eastAsia" w:ascii="宋体" w:hAnsi="宋体" w:cs="宋体"/>
                <w:color w:val="auto"/>
                <w:kern w:val="0"/>
                <w:sz w:val="24"/>
                <w:highlight w:val="none"/>
              </w:rPr>
              <w:t>询问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投标人名称）。</w:t>
            </w:r>
          </w:p>
        </w:tc>
      </w:tr>
      <w:tr w14:paraId="2123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CB83D61">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2BE813BD">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投标人提交的投标文件以及投标人与采购人就有关投标的所有来往函电均应使用中文。</w:t>
            </w:r>
          </w:p>
        </w:tc>
      </w:tr>
      <w:tr w14:paraId="61C0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3C464A4">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0292A2D4">
            <w:pPr>
              <w:widowControl/>
              <w:snapToGrid w:val="0"/>
              <w:spacing w:line="360" w:lineRule="auto"/>
              <w:contextualSpacing/>
              <w:rPr>
                <w:rFonts w:ascii="宋体" w:hAnsi="宋体" w:cs="宋体"/>
                <w:b/>
                <w:color w:val="auto"/>
                <w:kern w:val="0"/>
                <w:sz w:val="24"/>
                <w:highlight w:val="none"/>
              </w:rPr>
            </w:pPr>
            <w:r>
              <w:rPr>
                <w:rFonts w:hint="eastAsia" w:ascii="宋体" w:hAnsi="宋体" w:cs="宋体"/>
                <w:b/>
                <w:color w:val="auto"/>
                <w:kern w:val="0"/>
                <w:sz w:val="24"/>
                <w:highlight w:val="none"/>
              </w:rPr>
              <w:t>投标人必须以人民币报价。</w:t>
            </w:r>
          </w:p>
        </w:tc>
      </w:tr>
      <w:tr w14:paraId="769B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999B335">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665FAE5D">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投标有效期：90日历日。</w:t>
            </w:r>
          </w:p>
        </w:tc>
      </w:tr>
      <w:tr w14:paraId="2D82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15741B7">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297E7AAC">
            <w:pPr>
              <w:spacing w:line="360" w:lineRule="auto"/>
              <w:rPr>
                <w:rFonts w:cs="宋体"/>
                <w:color w:val="auto"/>
                <w:kern w:val="0"/>
                <w:sz w:val="24"/>
                <w:highlight w:val="none"/>
              </w:rPr>
            </w:pPr>
            <w:r>
              <w:rPr>
                <w:rFonts w:hint="eastAsia" w:cs="宋体"/>
                <w:color w:val="auto"/>
                <w:kern w:val="0"/>
                <w:sz w:val="24"/>
                <w:highlight w:val="none"/>
              </w:rPr>
              <w:t>投标文件编制要求、数量及封装要求：</w:t>
            </w:r>
          </w:p>
          <w:p w14:paraId="5EEE32C9">
            <w:pPr>
              <w:spacing w:line="360" w:lineRule="auto"/>
              <w:rPr>
                <w:rFonts w:cs="宋体"/>
                <w:color w:val="auto"/>
                <w:kern w:val="0"/>
                <w:sz w:val="24"/>
                <w:highlight w:val="none"/>
              </w:rPr>
            </w:pPr>
            <w:r>
              <w:rPr>
                <w:rFonts w:hint="eastAsia" w:cs="宋体"/>
                <w:color w:val="auto"/>
                <w:kern w:val="0"/>
                <w:sz w:val="24"/>
                <w:highlight w:val="none"/>
              </w:rPr>
              <w:t>1、投标文件应有章节目录，每页都应有页码标注。</w:t>
            </w:r>
          </w:p>
          <w:p w14:paraId="2A2FB9AA">
            <w:pPr>
              <w:spacing w:line="360" w:lineRule="auto"/>
              <w:rPr>
                <w:rFonts w:cs="宋体"/>
                <w:color w:val="auto"/>
                <w:kern w:val="0"/>
                <w:sz w:val="24"/>
                <w:highlight w:val="none"/>
              </w:rPr>
            </w:pPr>
            <w:r>
              <w:rPr>
                <w:rFonts w:hint="eastAsia" w:cs="宋体"/>
                <w:color w:val="auto"/>
                <w:kern w:val="0"/>
                <w:sz w:val="24"/>
                <w:highlight w:val="none"/>
              </w:rPr>
              <w:t>2、投标文件应采用胶装。</w:t>
            </w:r>
          </w:p>
          <w:p w14:paraId="39322169">
            <w:pPr>
              <w:spacing w:line="360" w:lineRule="auto"/>
              <w:rPr>
                <w:rFonts w:cs="宋体"/>
                <w:color w:val="auto"/>
                <w:kern w:val="0"/>
                <w:sz w:val="24"/>
                <w:highlight w:val="none"/>
              </w:rPr>
            </w:pPr>
            <w:r>
              <w:rPr>
                <w:rFonts w:hint="eastAsia" w:cs="宋体"/>
                <w:color w:val="auto"/>
                <w:kern w:val="0"/>
                <w:sz w:val="24"/>
                <w:highlight w:val="none"/>
              </w:rPr>
              <w:t>3、投标文件1套正本，</w:t>
            </w:r>
            <w:r>
              <w:rPr>
                <w:rFonts w:cs="宋体"/>
                <w:color w:val="auto"/>
                <w:kern w:val="0"/>
                <w:sz w:val="24"/>
                <w:highlight w:val="none"/>
              </w:rPr>
              <w:t>5</w:t>
            </w:r>
            <w:r>
              <w:rPr>
                <w:rFonts w:hint="eastAsia" w:cs="宋体"/>
                <w:color w:val="auto"/>
                <w:kern w:val="0"/>
                <w:sz w:val="24"/>
                <w:highlight w:val="none"/>
              </w:rPr>
              <w:t>套副本，正、副本需封装在同一密封袋内。</w:t>
            </w:r>
          </w:p>
          <w:p w14:paraId="13A679C6">
            <w:pPr>
              <w:spacing w:line="360" w:lineRule="auto"/>
              <w:rPr>
                <w:rFonts w:cs="宋体"/>
                <w:color w:val="auto"/>
                <w:kern w:val="0"/>
                <w:sz w:val="24"/>
                <w:highlight w:val="none"/>
              </w:rPr>
            </w:pPr>
            <w:r>
              <w:rPr>
                <w:rFonts w:hint="eastAsia" w:cs="宋体"/>
                <w:color w:val="auto"/>
                <w:kern w:val="0"/>
                <w:sz w:val="24"/>
                <w:highlight w:val="none"/>
              </w:rPr>
              <w:t>4、提供投标文件PDF扫描件一份（U盘），单独封装在密封袋内。</w:t>
            </w:r>
          </w:p>
          <w:p w14:paraId="09563C1C">
            <w:pPr>
              <w:spacing w:line="360" w:lineRule="auto"/>
              <w:rPr>
                <w:rFonts w:cs="宋体"/>
                <w:color w:val="auto"/>
                <w:kern w:val="0"/>
                <w:sz w:val="24"/>
                <w:highlight w:val="none"/>
              </w:rPr>
            </w:pPr>
            <w:r>
              <w:rPr>
                <w:rFonts w:hint="eastAsia" w:cs="宋体"/>
                <w:color w:val="auto"/>
                <w:kern w:val="0"/>
                <w:sz w:val="24"/>
                <w:highlight w:val="none"/>
              </w:rPr>
              <w:t>5、开标一览表须单独封装在密封袋内。</w:t>
            </w:r>
          </w:p>
          <w:p w14:paraId="0427E35E">
            <w:pPr>
              <w:widowControl/>
              <w:snapToGrid w:val="0"/>
              <w:spacing w:line="360" w:lineRule="auto"/>
              <w:contextualSpacing/>
              <w:rPr>
                <w:rFonts w:ascii="宋体" w:hAnsi="宋体" w:cs="宋体"/>
                <w:color w:val="auto"/>
                <w:kern w:val="0"/>
                <w:sz w:val="24"/>
                <w:highlight w:val="none"/>
              </w:rPr>
            </w:pPr>
            <w:r>
              <w:rPr>
                <w:rFonts w:hint="eastAsia" w:cs="宋体"/>
                <w:color w:val="auto"/>
                <w:kern w:val="0"/>
                <w:sz w:val="24"/>
                <w:highlight w:val="none"/>
              </w:rPr>
              <w:t>注：投标文件PDF扫描件须带有公章及签字，与纸质投标文件一致。</w:t>
            </w:r>
          </w:p>
        </w:tc>
      </w:tr>
      <w:tr w14:paraId="5F4E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9CD6EF1">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4EEA6C53">
            <w:pPr>
              <w:widowControl/>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投标文件递交方式、时间：</w:t>
            </w:r>
          </w:p>
          <w:p w14:paraId="0348F20F">
            <w:pPr>
              <w:widowControl/>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递交方式：现场递交</w:t>
            </w:r>
          </w:p>
          <w:p w14:paraId="5C5A8DCD">
            <w:pPr>
              <w:widowControl/>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递交时间：202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00</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0(北京时间)</w:t>
            </w:r>
          </w:p>
          <w:p w14:paraId="7684CFA1">
            <w:pPr>
              <w:widowControl/>
              <w:spacing w:line="360" w:lineRule="auto"/>
              <w:contextualSpacing/>
              <w:rPr>
                <w:rFonts w:ascii="宋体" w:hAnsi="宋体" w:cs="宋体"/>
                <w:bCs/>
                <w:color w:val="auto"/>
                <w:kern w:val="0"/>
                <w:sz w:val="24"/>
                <w:highlight w:val="none"/>
              </w:rPr>
            </w:pPr>
            <w:r>
              <w:rPr>
                <w:rFonts w:hint="eastAsia" w:ascii="宋体" w:hAnsi="宋体" w:cs="宋体"/>
                <w:color w:val="auto"/>
                <w:kern w:val="0"/>
                <w:sz w:val="24"/>
                <w:highlight w:val="none"/>
              </w:rPr>
              <w:t>递交截止时间：202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bCs/>
                <w:color w:val="auto"/>
                <w:kern w:val="0"/>
                <w:sz w:val="24"/>
                <w:highlight w:val="none"/>
              </w:rPr>
              <w:t>:</w:t>
            </w:r>
            <w:r>
              <w:rPr>
                <w:rFonts w:hint="eastAsia" w:ascii="宋体" w:hAnsi="宋体" w:cs="宋体"/>
                <w:bCs/>
                <w:color w:val="auto"/>
                <w:kern w:val="0"/>
                <w:sz w:val="24"/>
                <w:highlight w:val="none"/>
                <w:lang w:val="en-US" w:eastAsia="zh-CN"/>
              </w:rPr>
              <w:t>30</w:t>
            </w:r>
            <w:r>
              <w:rPr>
                <w:rFonts w:hint="eastAsia" w:ascii="宋体" w:hAnsi="宋体" w:cs="宋体"/>
                <w:bCs/>
                <w:color w:val="auto"/>
                <w:kern w:val="0"/>
                <w:sz w:val="24"/>
                <w:highlight w:val="none"/>
              </w:rPr>
              <w:t>（北京时间），逾期送达的投标文件恕不接受。</w:t>
            </w:r>
          </w:p>
          <w:p w14:paraId="73687BC9">
            <w:pPr>
              <w:widowControl/>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递交地址：通利晟信管理咨询有限公司7楼（地址：大连市沙河口区万岁街135号）。</w:t>
            </w:r>
          </w:p>
        </w:tc>
      </w:tr>
      <w:tr w14:paraId="1196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C13E846">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3761FB3B">
            <w:pPr>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开标时间：</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20</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9</w:t>
            </w:r>
            <w:r>
              <w:rPr>
                <w:rFonts w:hint="eastAsia" w:ascii="宋体" w:hAnsi="宋体" w:cs="宋体"/>
                <w:bCs/>
                <w:color w:val="auto"/>
                <w:kern w:val="0"/>
                <w:sz w:val="24"/>
                <w:highlight w:val="none"/>
              </w:rPr>
              <w:t>:</w:t>
            </w:r>
            <w:r>
              <w:rPr>
                <w:rFonts w:hint="eastAsia" w:ascii="宋体" w:hAnsi="宋体" w:cs="宋体"/>
                <w:bCs/>
                <w:color w:val="auto"/>
                <w:kern w:val="0"/>
                <w:sz w:val="24"/>
                <w:highlight w:val="none"/>
                <w:lang w:val="en-US" w:eastAsia="zh-CN"/>
              </w:rPr>
              <w:t>3</w:t>
            </w:r>
            <w:r>
              <w:rPr>
                <w:rFonts w:hint="eastAsia" w:ascii="宋体" w:hAnsi="宋体" w:cs="宋体"/>
                <w:bCs/>
                <w:color w:val="auto"/>
                <w:kern w:val="0"/>
                <w:sz w:val="24"/>
                <w:highlight w:val="none"/>
              </w:rPr>
              <w:t>0（北京时间）</w:t>
            </w:r>
          </w:p>
          <w:p w14:paraId="483BABC6">
            <w:pPr>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开标地点：</w:t>
            </w:r>
            <w:r>
              <w:rPr>
                <w:rFonts w:hint="eastAsia" w:ascii="宋体" w:hAnsi="宋体" w:cs="宋体"/>
                <w:color w:val="auto"/>
                <w:kern w:val="0"/>
                <w:sz w:val="24"/>
                <w:highlight w:val="none"/>
              </w:rPr>
              <w:t>通利晟信管理咨询有限公司7楼（地址：大连市沙河口区万岁街135号）</w:t>
            </w:r>
            <w:r>
              <w:rPr>
                <w:rFonts w:hint="eastAsia" w:ascii="宋体" w:hAnsi="宋体" w:cs="宋体"/>
                <w:bCs/>
                <w:color w:val="auto"/>
                <w:kern w:val="0"/>
                <w:sz w:val="24"/>
                <w:highlight w:val="none"/>
              </w:rPr>
              <w:t>。</w:t>
            </w:r>
          </w:p>
          <w:p w14:paraId="402DE350">
            <w:pPr>
              <w:spacing w:line="360" w:lineRule="auto"/>
              <w:rPr>
                <w:rFonts w:ascii="宋体" w:hAnsi="宋体" w:cs="宋体"/>
                <w:b/>
                <w:color w:val="auto"/>
                <w:kern w:val="0"/>
                <w:sz w:val="24"/>
                <w:highlight w:val="none"/>
              </w:rPr>
            </w:pPr>
            <w:r>
              <w:rPr>
                <w:rFonts w:hint="eastAsia" w:ascii="宋体" w:hAnsi="宋体" w:cs="宋体"/>
                <w:bCs/>
                <w:color w:val="auto"/>
                <w:kern w:val="0"/>
                <w:sz w:val="24"/>
                <w:highlight w:val="none"/>
              </w:rPr>
              <w:t>本项目邀请所有投标人参加开标会议，参加开标会议的投标人代表须携带本人身份证原件，委托代理人还须携带授权委托书原件以证明其身份，未携带证明材料的视为未参加开标会议。投标人未参加开标的，视同认可开标结果。</w:t>
            </w:r>
          </w:p>
        </w:tc>
      </w:tr>
      <w:tr w14:paraId="457B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94E4283">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0C4C715A">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投标人资格审查：资格后审。</w:t>
            </w:r>
          </w:p>
          <w:p w14:paraId="2939E65E">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公开招标项目开标结束后，采购项目评审前，采购人或者采购代理机构依法对投标人的资格进行审查。</w:t>
            </w:r>
          </w:p>
        </w:tc>
      </w:tr>
      <w:tr w14:paraId="3EE1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31CFF0D">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7F08DDA4">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合同签订时间、地点另行通知。</w:t>
            </w:r>
          </w:p>
        </w:tc>
      </w:tr>
      <w:tr w14:paraId="5341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B5C5F8F">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65061A42">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招标文件获取时间：</w:t>
            </w:r>
          </w:p>
          <w:p w14:paraId="397C86F3">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发售时间：202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日9:00至202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日16:30(双休日及法定节假日除外)。</w:t>
            </w:r>
          </w:p>
        </w:tc>
      </w:tr>
      <w:tr w14:paraId="5ECF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19E74B40">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680A3071">
            <w:pPr>
              <w:widowControl/>
              <w:tabs>
                <w:tab w:val="left" w:pos="4045"/>
              </w:tabs>
              <w:snapToGrid w:val="0"/>
              <w:spacing w:line="360" w:lineRule="auto"/>
              <w:contextualSpacing/>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本项目不收取投标保证金。</w:t>
            </w:r>
          </w:p>
        </w:tc>
      </w:tr>
      <w:tr w14:paraId="38C2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07CBC2">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52B8A473">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评标办法：综合评分法。</w:t>
            </w:r>
          </w:p>
        </w:tc>
      </w:tr>
      <w:tr w14:paraId="313A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697ED4A">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3404135F">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本项目采购预算：</w:t>
            </w:r>
            <w:r>
              <w:rPr>
                <w:rFonts w:hint="eastAsia" w:ascii="宋体" w:hAnsi="宋体" w:cs="宋体"/>
                <w:color w:val="auto"/>
                <w:kern w:val="0"/>
                <w:sz w:val="24"/>
                <w:highlight w:val="none"/>
                <w:lang w:val="en-US" w:eastAsia="zh-CN"/>
              </w:rPr>
              <w:t>107.10</w:t>
            </w:r>
            <w:r>
              <w:rPr>
                <w:rFonts w:hint="eastAsia" w:ascii="宋体" w:hAnsi="宋体" w:cs="宋体"/>
                <w:color w:val="auto"/>
                <w:kern w:val="0"/>
                <w:sz w:val="24"/>
                <w:highlight w:val="none"/>
                <w:lang w:eastAsia="zh-CN"/>
              </w:rPr>
              <w:t>万元</w:t>
            </w:r>
            <w:r>
              <w:rPr>
                <w:rFonts w:hint="eastAsia" w:ascii="宋体" w:hAnsi="宋体" w:cs="宋体"/>
                <w:color w:val="auto"/>
                <w:kern w:val="0"/>
                <w:sz w:val="24"/>
                <w:highlight w:val="none"/>
              </w:rPr>
              <w:t>。</w:t>
            </w:r>
          </w:p>
          <w:p w14:paraId="55EEA381">
            <w:pPr>
              <w:widowControl/>
              <w:tabs>
                <w:tab w:val="left" w:pos="4045"/>
              </w:tabs>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最高限价：</w:t>
            </w:r>
            <w:r>
              <w:rPr>
                <w:rFonts w:hint="eastAsia" w:ascii="宋体" w:hAnsi="宋体" w:cs="宋体"/>
                <w:color w:val="auto"/>
                <w:kern w:val="0"/>
                <w:sz w:val="24"/>
                <w:highlight w:val="none"/>
                <w:lang w:val="en-US" w:eastAsia="zh-CN"/>
              </w:rPr>
              <w:t>107.10</w:t>
            </w:r>
            <w:r>
              <w:rPr>
                <w:rFonts w:hint="eastAsia" w:ascii="宋体" w:hAnsi="宋体" w:cs="宋体"/>
                <w:color w:val="auto"/>
                <w:kern w:val="0"/>
                <w:sz w:val="24"/>
                <w:highlight w:val="none"/>
                <w:lang w:eastAsia="zh-CN"/>
              </w:rPr>
              <w:t>万元</w:t>
            </w:r>
            <w:r>
              <w:rPr>
                <w:rFonts w:hint="eastAsia" w:ascii="宋体" w:hAnsi="宋体" w:cs="宋体"/>
                <w:color w:val="auto"/>
                <w:kern w:val="0"/>
                <w:sz w:val="24"/>
                <w:highlight w:val="none"/>
              </w:rPr>
              <w:t>。</w:t>
            </w:r>
          </w:p>
          <w:p w14:paraId="1382DD09">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rPr>
              <w:t>注：</w:t>
            </w:r>
            <w:r>
              <w:rPr>
                <w:rFonts w:hint="eastAsia" w:ascii="宋体" w:hAnsi="宋体" w:cs="宋体"/>
                <w:color w:val="auto"/>
                <w:kern w:val="0"/>
                <w:sz w:val="24"/>
                <w:highlight w:val="none"/>
                <w:lang w:eastAsia="zh-CN"/>
              </w:rPr>
              <w:t>本项目设有单价限价，</w:t>
            </w:r>
            <w:r>
              <w:rPr>
                <w:rFonts w:hint="eastAsia" w:ascii="宋体" w:hAnsi="宋体" w:cs="宋体"/>
                <w:color w:val="auto"/>
                <w:kern w:val="0"/>
                <w:sz w:val="24"/>
                <w:highlight w:val="none"/>
              </w:rPr>
              <w:t>投标报价超过最高限价</w:t>
            </w:r>
            <w:r>
              <w:rPr>
                <w:rFonts w:hint="eastAsia" w:ascii="宋体" w:hAnsi="宋体" w:cs="宋体"/>
                <w:color w:val="auto"/>
                <w:kern w:val="0"/>
                <w:sz w:val="24"/>
                <w:highlight w:val="none"/>
                <w:lang w:eastAsia="zh-CN"/>
              </w:rPr>
              <w:t>或单价超过单价限价</w:t>
            </w:r>
            <w:r>
              <w:rPr>
                <w:rFonts w:hint="eastAsia" w:ascii="宋体" w:hAnsi="宋体" w:cs="宋体"/>
                <w:color w:val="auto"/>
                <w:kern w:val="0"/>
                <w:sz w:val="24"/>
                <w:highlight w:val="none"/>
              </w:rPr>
              <w:t>的，其投标无效。</w:t>
            </w:r>
          </w:p>
        </w:tc>
      </w:tr>
      <w:tr w14:paraId="5DB0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B9EE646">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33C7F77A">
            <w:pPr>
              <w:widowControl/>
              <w:tabs>
                <w:tab w:val="left" w:pos="4045"/>
              </w:tabs>
              <w:snapToGrid w:val="0"/>
              <w:spacing w:line="360" w:lineRule="auto"/>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特殊说明：本项目核心产品为：</w:t>
            </w:r>
            <w:r>
              <w:rPr>
                <w:rFonts w:hint="eastAsia" w:ascii="宋体" w:hAnsi="宋体" w:cs="宋体"/>
                <w:bCs/>
                <w:color w:val="auto"/>
                <w:kern w:val="0"/>
                <w:sz w:val="24"/>
                <w:highlight w:val="none"/>
                <w:lang w:eastAsia="zh-CN"/>
              </w:rPr>
              <w:t>快速高温灰化仪</w:t>
            </w:r>
            <w:r>
              <w:rPr>
                <w:rFonts w:hint="eastAsia" w:ascii="宋体" w:hAnsi="宋体" w:cs="宋体"/>
                <w:bCs/>
                <w:color w:val="auto"/>
                <w:kern w:val="0"/>
                <w:sz w:val="24"/>
                <w:highlight w:val="none"/>
              </w:rPr>
              <w:t>。</w:t>
            </w:r>
          </w:p>
          <w:p w14:paraId="0E4A5A9F">
            <w:pPr>
              <w:widowControl/>
              <w:tabs>
                <w:tab w:val="left" w:pos="4045"/>
              </w:tabs>
              <w:snapToGrid w:val="0"/>
              <w:spacing w:line="360" w:lineRule="auto"/>
              <w:contextualSpacing/>
              <w:rPr>
                <w:rFonts w:ascii="宋体" w:hAnsi="宋体" w:cs="宋体"/>
                <w:bCs/>
                <w:color w:val="auto"/>
                <w:kern w:val="0"/>
                <w:sz w:val="24"/>
                <w:highlight w:val="none"/>
              </w:rPr>
            </w:pPr>
            <w:r>
              <w:rPr>
                <w:rFonts w:hint="eastAsia" w:ascii="宋体" w:hAnsi="宋体" w:cs="宋体"/>
                <w:bCs/>
                <w:color w:val="auto"/>
                <w:kern w:val="0"/>
                <w:sz w:val="24"/>
                <w:highlight w:val="none"/>
              </w:rPr>
              <w:t>1.提供相同品牌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EA59280">
            <w:pPr>
              <w:widowControl/>
              <w:tabs>
                <w:tab w:val="left" w:pos="4045"/>
              </w:tabs>
              <w:snapToGrid w:val="0"/>
              <w:spacing w:line="360" w:lineRule="auto"/>
              <w:contextualSpacing/>
              <w:rPr>
                <w:color w:val="auto"/>
                <w:highlight w:val="none"/>
              </w:rPr>
            </w:pPr>
            <w:r>
              <w:rPr>
                <w:rFonts w:hint="eastAsia" w:ascii="宋体" w:hAnsi="宋体" w:cs="宋体"/>
                <w:b/>
                <w:color w:val="auto"/>
                <w:kern w:val="0"/>
                <w:sz w:val="24"/>
                <w:highlight w:val="none"/>
              </w:rPr>
              <w:t>注：多个投标人所投所有“核心产品”品牌均相同时，认定为“相同品牌”投标人。</w:t>
            </w:r>
          </w:p>
        </w:tc>
      </w:tr>
      <w:tr w14:paraId="1729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AE75E6D">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6AE8ACE7">
            <w:pPr>
              <w:widowControl/>
              <w:tabs>
                <w:tab w:val="left" w:pos="4045"/>
              </w:tabs>
              <w:snapToGrid w:val="0"/>
              <w:spacing w:line="360" w:lineRule="auto"/>
              <w:contextualSpacing/>
              <w:rPr>
                <w:rFonts w:ascii="宋体" w:hAnsi="宋体" w:cs="宋体"/>
                <w:bCs/>
                <w:color w:val="auto"/>
                <w:kern w:val="0"/>
                <w:sz w:val="24"/>
                <w:highlight w:val="none"/>
              </w:rPr>
            </w:pPr>
            <w:r>
              <w:rPr>
                <w:rFonts w:hint="eastAsia" w:ascii="宋体" w:hAnsi="宋体" w:cs="宋体"/>
                <w:b/>
                <w:bCs/>
                <w:color w:val="auto"/>
                <w:kern w:val="0"/>
                <w:sz w:val="24"/>
                <w:highlight w:val="none"/>
              </w:rPr>
              <w:t>1.采购标的对应的中小企业划分标准所属企业：工业（包括采矿业，制造业，电力、热力、燃气及水生产和供应业）。</w:t>
            </w:r>
          </w:p>
          <w:p w14:paraId="658E404B">
            <w:pPr>
              <w:widowControl/>
              <w:tabs>
                <w:tab w:val="left" w:pos="4045"/>
              </w:tabs>
              <w:snapToGrid w:val="0"/>
              <w:spacing w:line="360" w:lineRule="auto"/>
              <w:contextualSpacing/>
              <w:rPr>
                <w:rFonts w:ascii="宋体" w:hAnsi="宋体" w:cs="宋体"/>
                <w:bCs/>
                <w:color w:val="auto"/>
                <w:kern w:val="0"/>
                <w:sz w:val="24"/>
                <w:highlight w:val="none"/>
              </w:rPr>
            </w:pPr>
            <w:r>
              <w:rPr>
                <w:rFonts w:ascii="宋体" w:hAnsi="宋体" w:cs="宋体"/>
                <w:bCs/>
                <w:color w:val="auto"/>
                <w:kern w:val="0"/>
                <w:sz w:val="24"/>
                <w:highlight w:val="none"/>
              </w:rPr>
              <w:t>2.根据财政部发布的《政府采购促进中小企业发展管理办法》规定，本项目为预留份额专门面向</w:t>
            </w:r>
            <w:r>
              <w:rPr>
                <w:rFonts w:hint="eastAsia" w:ascii="宋体" w:hAnsi="宋体" w:cs="宋体"/>
                <w:bCs/>
                <w:color w:val="auto"/>
                <w:kern w:val="0"/>
                <w:sz w:val="24"/>
                <w:highlight w:val="none"/>
                <w:lang w:val="en-US" w:eastAsia="zh-CN"/>
              </w:rPr>
              <w:t>小微</w:t>
            </w:r>
            <w:r>
              <w:rPr>
                <w:rFonts w:ascii="宋体" w:hAnsi="宋体" w:cs="宋体"/>
                <w:bCs/>
                <w:color w:val="auto"/>
                <w:kern w:val="0"/>
                <w:sz w:val="24"/>
                <w:highlight w:val="none"/>
              </w:rPr>
              <w:t>企业采购项目。</w:t>
            </w:r>
          </w:p>
          <w:p w14:paraId="7F41FB69">
            <w:pPr>
              <w:widowControl/>
              <w:tabs>
                <w:tab w:val="left" w:pos="4045"/>
              </w:tabs>
              <w:snapToGrid w:val="0"/>
              <w:spacing w:line="360" w:lineRule="auto"/>
              <w:contextualSpacing/>
              <w:rPr>
                <w:rFonts w:ascii="宋体" w:hAnsi="宋体" w:cs="宋体"/>
                <w:bCs/>
                <w:color w:val="auto"/>
                <w:kern w:val="0"/>
                <w:sz w:val="24"/>
                <w:highlight w:val="none"/>
              </w:rPr>
            </w:pPr>
            <w:r>
              <w:rPr>
                <w:rFonts w:ascii="宋体" w:hAnsi="宋体" w:cs="宋体"/>
                <w:bCs/>
                <w:color w:val="auto"/>
                <w:kern w:val="0"/>
                <w:sz w:val="24"/>
                <w:highlight w:val="none"/>
              </w:rPr>
              <w:t>3.根据财政部发布的《关于政府采购支持监狱企业发展有关问题的通知》规定，在政府采购活动中，监狱企业视同小型、微型企业。</w:t>
            </w:r>
          </w:p>
          <w:p w14:paraId="02AE5D8C">
            <w:pPr>
              <w:widowControl/>
              <w:tabs>
                <w:tab w:val="left" w:pos="4045"/>
              </w:tabs>
              <w:snapToGrid w:val="0"/>
              <w:spacing w:line="360" w:lineRule="auto"/>
              <w:contextualSpacing/>
              <w:rPr>
                <w:rFonts w:ascii="宋体" w:hAnsi="宋体" w:cs="宋体"/>
                <w:bCs/>
                <w:color w:val="auto"/>
                <w:kern w:val="0"/>
                <w:sz w:val="24"/>
                <w:highlight w:val="none"/>
              </w:rPr>
            </w:pPr>
            <w:r>
              <w:rPr>
                <w:rFonts w:ascii="宋体" w:hAnsi="宋体" w:cs="宋体"/>
                <w:bCs/>
                <w:color w:val="auto"/>
                <w:kern w:val="0"/>
                <w:sz w:val="24"/>
                <w:highlight w:val="none"/>
              </w:rPr>
              <w:t>4.根据财政部发布的《关于促进残疾人就业政府采购政策的通知》规定，在政府采购活动中，残疾人福利性单位视同小型、微型企业，残疾人福利性单位属于小型、微型企业的，不重复享受政策。</w:t>
            </w:r>
          </w:p>
          <w:p w14:paraId="5480A07B">
            <w:pPr>
              <w:widowControl/>
              <w:tabs>
                <w:tab w:val="left" w:pos="4045"/>
              </w:tabs>
              <w:snapToGrid w:val="0"/>
              <w:spacing w:line="360" w:lineRule="auto"/>
              <w:contextualSpacing/>
              <w:rPr>
                <w:rFonts w:ascii="宋体" w:hAnsi="宋体" w:cs="宋体"/>
                <w:color w:val="auto"/>
                <w:kern w:val="0"/>
                <w:sz w:val="24"/>
                <w:highlight w:val="none"/>
              </w:rPr>
            </w:pPr>
            <w:r>
              <w:rPr>
                <w:rFonts w:ascii="宋体" w:hAnsi="宋体" w:cs="宋体"/>
                <w:bCs/>
                <w:color w:val="auto"/>
                <w:kern w:val="0"/>
                <w:sz w:val="24"/>
                <w:highlight w:val="none"/>
              </w:rPr>
              <w:t>注：中小微企业均须提供须供应商提供《中小企业声明函》；监狱企业须供应商提供由省级以上监狱管理局、戒毒管理局（含新疆生产建设兵团）出具的属于监狱企业的证明文件，否则不予认定。残疾人企业提供《残疾人福利性单位声明函》。</w:t>
            </w:r>
          </w:p>
        </w:tc>
      </w:tr>
      <w:tr w14:paraId="2395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A8C2183">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shd w:val="clear" w:color="auto" w:fill="auto"/>
            <w:vAlign w:val="center"/>
          </w:tcPr>
          <w:p w14:paraId="2C94AF21">
            <w:pPr>
              <w:snapToGrid w:val="0"/>
              <w:spacing w:line="36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节能环保政策：</w:t>
            </w:r>
          </w:p>
          <w:p w14:paraId="7466D61E">
            <w:pPr>
              <w:widowControl/>
              <w:tabs>
                <w:tab w:val="left" w:pos="4045"/>
              </w:tabs>
              <w:snapToGrid w:val="0"/>
              <w:spacing w:line="360" w:lineRule="auto"/>
              <w:contextualSpacing/>
              <w:rPr>
                <w:rFonts w:ascii="宋体" w:hAnsi="宋体" w:cs="宋体"/>
                <w:bCs/>
                <w:color w:val="auto"/>
                <w:kern w:val="0"/>
                <w:sz w:val="24"/>
                <w:highlight w:val="none"/>
              </w:rPr>
            </w:pPr>
            <w:r>
              <w:rPr>
                <w:rFonts w:ascii="宋体" w:hAnsi="宋体" w:cs="宋体"/>
                <w:color w:val="auto"/>
                <w:kern w:val="0"/>
                <w:sz w:val="24"/>
                <w:highlight w:val="none"/>
              </w:rPr>
              <w:t>采购人采购的产品如果是政府采购强制采购范围内的（详见《关于印发节能产品政府采购品目清单的通知》财库〔2019〕19号），供应商必须提供经国家确定的认证机构（市场监管总局关于发布参与实施政府采购节能产品、环境标志产品认证机构名录的公告〔2019年第16号〕）出具的、处于有效期之内的认证证书复印件或法定信息发布平台公布的认证信息截图证明材料，否则响应无效。采购人采购的产品如属于政府采购优先采购范围内的（详见财库〔2019〕18号、19号），供应商提供经国家确定的认证机构（市场监管总局 2019 年第 16 号）出具的、处于有效期之内的认证证书复印件或法定信息发布平台公布的认证信息截图证明材料，享受优先采购政策（具体详见评分标准）。对于同属于节能产品和环境标志产品的，可以分别享受优先采购政策。</w:t>
            </w:r>
          </w:p>
        </w:tc>
      </w:tr>
      <w:tr w14:paraId="38C2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186F4A4">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tcPr>
          <w:p w14:paraId="55617E5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投标人应保证提供的产品均来源于正规厂家，并且是全新的合格产品。如提供的产品经采购人或相关部门检验不合格，所产生的一切后果由投标人自行承担，并追究其相关责任。</w:t>
            </w:r>
          </w:p>
        </w:tc>
      </w:tr>
      <w:tr w14:paraId="0836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exact"/>
          <w:jc w:val="center"/>
        </w:trPr>
        <w:tc>
          <w:tcPr>
            <w:tcW w:w="705" w:type="dxa"/>
            <w:vAlign w:val="center"/>
          </w:tcPr>
          <w:p w14:paraId="5A145937">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tcPr>
          <w:p w14:paraId="3D8453CE">
            <w:pPr>
              <w:widowControl/>
              <w:snapToGrid w:val="0"/>
              <w:spacing w:line="360" w:lineRule="auto"/>
              <w:contextualSpacing/>
              <w:rPr>
                <w:rFonts w:hAnsi="宋体" w:cs="宋体"/>
                <w:b/>
                <w:bCs/>
                <w:color w:val="auto"/>
                <w:kern w:val="0"/>
                <w:sz w:val="24"/>
                <w:szCs w:val="24"/>
                <w:highlight w:val="none"/>
              </w:rPr>
            </w:pPr>
            <w:r>
              <w:rPr>
                <w:rFonts w:hint="eastAsia" w:ascii="宋体" w:hAnsi="宋体" w:cs="宋体"/>
                <w:color w:val="auto"/>
                <w:kern w:val="0"/>
                <w:sz w:val="24"/>
                <w:highlight w:val="none"/>
              </w:rPr>
              <w:t>1.</w:t>
            </w:r>
            <w:r>
              <w:rPr>
                <w:rFonts w:hint="eastAsia" w:hAnsi="宋体" w:cs="宋体"/>
                <w:color w:val="auto"/>
                <w:kern w:val="0"/>
                <w:sz w:val="24"/>
                <w:szCs w:val="24"/>
                <w:highlight w:val="none"/>
              </w:rPr>
              <w:t>投标报价为与项目有关的开发、设计、人员、税金、保险、培训、代理服务费等所有费用的报价。该报价应包括：全部货物和服务的人员费用、材料费、加工费、零配件购置费、出厂验收费、安装费、运输费、保险费、有关部门检测验收费、售后技术服务、必不可少的部件、标准备件、专用工具、踏勘费、及相关专业配合等费用。投标人还应充分考虑水、电及与本项目有关的其他一切费用，一并报入</w:t>
            </w:r>
            <w:r>
              <w:rPr>
                <w:rFonts w:hint="eastAsia" w:hAnsi="宋体" w:cs="宋体"/>
                <w:color w:val="auto"/>
                <w:kern w:val="0"/>
                <w:sz w:val="24"/>
                <w:szCs w:val="24"/>
                <w:highlight w:val="none"/>
                <w:lang w:eastAsia="zh-CN"/>
              </w:rPr>
              <w:t>投标报价</w:t>
            </w:r>
            <w:r>
              <w:rPr>
                <w:rFonts w:hint="eastAsia" w:hAnsi="宋体" w:cs="宋体"/>
                <w:color w:val="auto"/>
                <w:kern w:val="0"/>
                <w:sz w:val="24"/>
                <w:szCs w:val="24"/>
                <w:highlight w:val="none"/>
              </w:rPr>
              <w:t>中，采购人不再支付除合同价款以外的任何费用。</w:t>
            </w:r>
          </w:p>
          <w:p w14:paraId="2AFC3A03">
            <w:pPr>
              <w:snapToGrid w:val="0"/>
              <w:spacing w:line="360" w:lineRule="auto"/>
              <w:contextualSpacing/>
              <w:rPr>
                <w:color w:val="auto"/>
                <w:highlight w:val="none"/>
              </w:rPr>
            </w:pPr>
            <w:r>
              <w:rPr>
                <w:rFonts w:hint="eastAsia" w:ascii="宋体" w:hAnsi="宋体" w:cs="宋体"/>
                <w:color w:val="auto"/>
                <w:kern w:val="0"/>
                <w:sz w:val="24"/>
                <w:highlight w:val="none"/>
              </w:rPr>
              <w:t>2.投标报价表中标明的价格在合同执行过程中是固定不变的，不得以任何理由予以变更。投标人在报价时应充分考虑本次招标的各种风险（包括漏项风险），在合同执行期间中标价不再实行政策性调整和变动。以可调整的价格提交的投标将作为非实质性响应投标而予以拒绝。</w:t>
            </w:r>
          </w:p>
        </w:tc>
      </w:tr>
      <w:tr w14:paraId="6AA1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02A3CD2">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2A50CCAC">
            <w:pPr>
              <w:snapToGrid w:val="0"/>
              <w:spacing w:line="360" w:lineRule="auto"/>
              <w:contextualSpacing/>
              <w:rPr>
                <w:rFonts w:hint="eastAsia"/>
                <w:color w:val="auto"/>
                <w:sz w:val="24"/>
                <w:highlight w:val="none"/>
              </w:rPr>
            </w:pPr>
            <w:r>
              <w:rPr>
                <w:rFonts w:hint="eastAsia" w:ascii="宋体" w:hAnsi="宋体"/>
                <w:color w:val="auto"/>
                <w:sz w:val="24"/>
                <w:highlight w:val="none"/>
              </w:rPr>
              <w:t>★</w:t>
            </w:r>
            <w:r>
              <w:rPr>
                <w:rFonts w:hint="eastAsia"/>
                <w:color w:val="auto"/>
                <w:sz w:val="24"/>
                <w:highlight w:val="none"/>
              </w:rPr>
              <w:t>付款方式：</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rPr>
              <w:t>合同签订后，</w:t>
            </w:r>
            <w:r>
              <w:rPr>
                <w:rFonts w:hint="eastAsia"/>
                <w:color w:val="auto"/>
                <w:sz w:val="24"/>
                <w:highlight w:val="none"/>
                <w:lang w:eastAsia="zh-CN"/>
              </w:rPr>
              <w:t>中标人</w:t>
            </w:r>
            <w:r>
              <w:rPr>
                <w:rFonts w:hint="eastAsia"/>
                <w:color w:val="auto"/>
                <w:sz w:val="24"/>
                <w:highlight w:val="none"/>
              </w:rPr>
              <w:t>提交下述单据之日起10个工作日内，</w:t>
            </w:r>
            <w:r>
              <w:rPr>
                <w:rFonts w:hint="eastAsia"/>
                <w:color w:val="auto"/>
                <w:sz w:val="24"/>
                <w:highlight w:val="none"/>
                <w:lang w:eastAsia="zh-CN"/>
              </w:rPr>
              <w:t>招标人</w:t>
            </w:r>
            <w:r>
              <w:rPr>
                <w:rFonts w:hint="eastAsia"/>
                <w:color w:val="auto"/>
                <w:sz w:val="24"/>
                <w:highlight w:val="none"/>
              </w:rPr>
              <w:t>向</w:t>
            </w:r>
            <w:r>
              <w:rPr>
                <w:rFonts w:hint="eastAsia"/>
                <w:color w:val="auto"/>
                <w:sz w:val="24"/>
                <w:highlight w:val="none"/>
                <w:lang w:eastAsia="zh-CN"/>
              </w:rPr>
              <w:t>中标人</w:t>
            </w:r>
            <w:r>
              <w:rPr>
                <w:rFonts w:hint="eastAsia"/>
                <w:color w:val="auto"/>
                <w:sz w:val="24"/>
                <w:highlight w:val="none"/>
              </w:rPr>
              <w:t>支付合同总价70%款项。</w:t>
            </w:r>
          </w:p>
          <w:p w14:paraId="5B50AFEB">
            <w:pPr>
              <w:snapToGrid w:val="0"/>
              <w:spacing w:line="360" w:lineRule="auto"/>
              <w:contextualSpacing/>
              <w:rPr>
                <w:rFonts w:hint="eastAsia"/>
                <w:color w:val="auto"/>
                <w:sz w:val="24"/>
                <w:highlight w:val="none"/>
              </w:rPr>
            </w:pPr>
            <w:r>
              <w:rPr>
                <w:rFonts w:hint="eastAsia"/>
                <w:color w:val="auto"/>
                <w:sz w:val="24"/>
                <w:highlight w:val="none"/>
                <w:lang w:eastAsia="zh-CN"/>
              </w:rPr>
              <w:t>中标人</w:t>
            </w:r>
            <w:r>
              <w:rPr>
                <w:rFonts w:hint="eastAsia"/>
                <w:color w:val="auto"/>
                <w:sz w:val="24"/>
                <w:highlight w:val="none"/>
              </w:rPr>
              <w:t>提交单据：合同（正文部分复印件）、中标通知书、单台/套设备对应款项发票（原件）、履约保证金单据。</w:t>
            </w:r>
          </w:p>
          <w:p w14:paraId="46CCC56C">
            <w:pPr>
              <w:snapToGrid w:val="0"/>
              <w:spacing w:line="360" w:lineRule="auto"/>
              <w:contextualSpacing/>
              <w:rPr>
                <w:rFonts w:hint="eastAsia"/>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2</w:t>
            </w:r>
            <w:r>
              <w:rPr>
                <w:rFonts w:hint="eastAsia"/>
                <w:color w:val="auto"/>
                <w:sz w:val="24"/>
                <w:highlight w:val="none"/>
                <w:lang w:eastAsia="zh-CN"/>
              </w:rPr>
              <w:t>）</w:t>
            </w:r>
            <w:r>
              <w:rPr>
                <w:rFonts w:hint="eastAsia"/>
                <w:color w:val="auto"/>
                <w:sz w:val="24"/>
                <w:highlight w:val="none"/>
              </w:rPr>
              <w:t>单台/套设备完成全部到货、安装调试，且经</w:t>
            </w:r>
            <w:r>
              <w:rPr>
                <w:rFonts w:hint="eastAsia"/>
                <w:color w:val="auto"/>
                <w:sz w:val="24"/>
                <w:highlight w:val="none"/>
                <w:lang w:eastAsia="zh-CN"/>
              </w:rPr>
              <w:t>招标人</w:t>
            </w:r>
            <w:r>
              <w:rPr>
                <w:rFonts w:hint="eastAsia"/>
                <w:color w:val="auto"/>
                <w:sz w:val="24"/>
                <w:highlight w:val="none"/>
              </w:rPr>
              <w:t>验收合格后，</w:t>
            </w:r>
            <w:r>
              <w:rPr>
                <w:rFonts w:hint="eastAsia"/>
                <w:color w:val="auto"/>
                <w:sz w:val="24"/>
                <w:highlight w:val="none"/>
                <w:lang w:eastAsia="zh-CN"/>
              </w:rPr>
              <w:t>中标人</w:t>
            </w:r>
            <w:r>
              <w:rPr>
                <w:rFonts w:hint="eastAsia"/>
                <w:color w:val="auto"/>
                <w:sz w:val="24"/>
                <w:highlight w:val="none"/>
              </w:rPr>
              <w:t>向</w:t>
            </w:r>
            <w:r>
              <w:rPr>
                <w:rFonts w:hint="eastAsia"/>
                <w:color w:val="auto"/>
                <w:sz w:val="24"/>
                <w:highlight w:val="none"/>
                <w:lang w:eastAsia="zh-CN"/>
              </w:rPr>
              <w:t>招标人</w:t>
            </w:r>
            <w:r>
              <w:rPr>
                <w:rFonts w:hint="eastAsia"/>
                <w:color w:val="auto"/>
                <w:sz w:val="24"/>
                <w:highlight w:val="none"/>
              </w:rPr>
              <w:t>提交下述单据之日起10个工作日内，</w:t>
            </w:r>
            <w:r>
              <w:rPr>
                <w:rFonts w:hint="eastAsia"/>
                <w:color w:val="auto"/>
                <w:sz w:val="24"/>
                <w:highlight w:val="none"/>
                <w:lang w:eastAsia="zh-CN"/>
              </w:rPr>
              <w:t>招标人</w:t>
            </w:r>
            <w:r>
              <w:rPr>
                <w:rFonts w:hint="eastAsia"/>
                <w:color w:val="auto"/>
                <w:sz w:val="24"/>
                <w:highlight w:val="none"/>
              </w:rPr>
              <w:t>向</w:t>
            </w:r>
            <w:r>
              <w:rPr>
                <w:rFonts w:hint="eastAsia"/>
                <w:color w:val="auto"/>
                <w:sz w:val="24"/>
                <w:highlight w:val="none"/>
                <w:lang w:eastAsia="zh-CN"/>
              </w:rPr>
              <w:t>中标人</w:t>
            </w:r>
            <w:r>
              <w:rPr>
                <w:rFonts w:hint="eastAsia"/>
                <w:color w:val="auto"/>
                <w:sz w:val="24"/>
                <w:highlight w:val="none"/>
              </w:rPr>
              <w:t>支付该单台/套设备价格30%款项。</w:t>
            </w:r>
          </w:p>
          <w:p w14:paraId="746E0A5D">
            <w:pPr>
              <w:snapToGrid w:val="0"/>
              <w:spacing w:line="360" w:lineRule="auto"/>
              <w:contextualSpacing/>
              <w:rPr>
                <w:color w:val="auto"/>
                <w:sz w:val="24"/>
                <w:szCs w:val="32"/>
                <w:highlight w:val="none"/>
              </w:rPr>
            </w:pPr>
            <w:r>
              <w:rPr>
                <w:rFonts w:hint="eastAsia"/>
                <w:color w:val="auto"/>
                <w:sz w:val="24"/>
                <w:highlight w:val="none"/>
                <w:lang w:eastAsia="zh-CN"/>
              </w:rPr>
              <w:t>中标人</w:t>
            </w:r>
            <w:r>
              <w:rPr>
                <w:rFonts w:hint="eastAsia"/>
                <w:color w:val="auto"/>
                <w:sz w:val="24"/>
                <w:highlight w:val="none"/>
              </w:rPr>
              <w:t>提交单据：单台/套设备对应款项发票（原件）、到货验收报告、安装调试验收合格报告（须装订成册）（复印件）。</w:t>
            </w:r>
          </w:p>
        </w:tc>
      </w:tr>
      <w:tr w14:paraId="75A2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71EA852">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tcPr>
          <w:p w14:paraId="262D6A1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1．投标人认为招标文件、招标过程、中标结果使得自己的权益受到损害的，可以在知道或者应知其权益受到损害之日起7个工作日内，以书面形式向采购人、采购代理机构提出质疑。</w:t>
            </w:r>
            <w:r>
              <w:rPr>
                <w:rFonts w:hint="eastAsia" w:ascii="宋体" w:hAnsi="宋体" w:cs="宋体"/>
                <w:b/>
                <w:bCs/>
                <w:color w:val="auto"/>
                <w:kern w:val="0"/>
                <w:sz w:val="24"/>
                <w:highlight w:val="none"/>
              </w:rPr>
              <w:t>投标人在法定质疑期内须一次性提出针对同一采购程序环节的质疑，重复针对同一采购程序环节提出的质疑将不予受理。</w:t>
            </w:r>
          </w:p>
          <w:p w14:paraId="65A82A6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2.投标人提出质疑应当提交质疑函和必要的证明材料。质疑函应当包括下列内容：</w:t>
            </w:r>
          </w:p>
          <w:p w14:paraId="35B4CF2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（1）投标人的姓名或者名称、地址、邮编、联系人及联系电话；</w:t>
            </w:r>
          </w:p>
          <w:p w14:paraId="73796B5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（2）质疑项目的名称、编号；</w:t>
            </w:r>
          </w:p>
          <w:p w14:paraId="030521B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（3）具体、明确的质疑事项和与质疑事项相关的请求；</w:t>
            </w:r>
          </w:p>
          <w:p w14:paraId="333296D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（4）事实依据；</w:t>
            </w:r>
          </w:p>
          <w:p w14:paraId="5D87DA6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（5）必要的法律依据；</w:t>
            </w:r>
          </w:p>
          <w:p w14:paraId="4115CDE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（6）提出质疑的日期。</w:t>
            </w:r>
          </w:p>
          <w:p w14:paraId="2CDF697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投标人为自然人的，应当由本人签字；投标人为法人或者其他组织的，应当由法定代表人、主要负责人或者其授权代表签字或者盖章，并加盖公章。未按要求签署的质疑函采购人不予受理。</w:t>
            </w:r>
          </w:p>
          <w:p w14:paraId="2EB2340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（1）接收质疑函的方式：采购人接收纸质版加盖公章质疑函（同时将电子版发送至采购代理机构（或采购人）邮箱</w:t>
            </w:r>
            <w:r>
              <w:rPr>
                <w:rFonts w:hint="eastAsia" w:ascii="宋体" w:hAnsi="宋体" w:cs="宋体"/>
                <w:color w:val="auto"/>
                <w:kern w:val="0"/>
                <w:sz w:val="24"/>
                <w:highlight w:val="none"/>
                <w:u w:val="single"/>
              </w:rPr>
              <w:t>tonglishengxin@126.com</w:t>
            </w:r>
            <w:r>
              <w:rPr>
                <w:rFonts w:hint="eastAsia" w:ascii="宋体" w:hAnsi="宋体" w:cs="宋体"/>
                <w:color w:val="auto"/>
                <w:kern w:val="0"/>
                <w:sz w:val="24"/>
                <w:highlight w:val="none"/>
              </w:rPr>
              <w:t>）。</w:t>
            </w:r>
          </w:p>
          <w:p w14:paraId="633A3E6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（2）联系人及电话：</w:t>
            </w:r>
            <w:r>
              <w:rPr>
                <w:rFonts w:hint="eastAsia" w:ascii="宋体" w:hAnsi="宋体" w:cs="宋体"/>
                <w:color w:val="auto"/>
                <w:sz w:val="24"/>
                <w:highlight w:val="none"/>
                <w:lang w:eastAsia="zh-CN"/>
              </w:rPr>
              <w:t>王卓</w:t>
            </w:r>
            <w:r>
              <w:rPr>
                <w:rFonts w:ascii="宋体" w:hAnsi="宋体" w:cs="宋体"/>
                <w:color w:val="auto"/>
                <w:sz w:val="24"/>
                <w:highlight w:val="none"/>
              </w:rPr>
              <w:t xml:space="preserve"> </w:t>
            </w:r>
            <w:r>
              <w:rPr>
                <w:rFonts w:hint="eastAsia" w:ascii="宋体" w:hAnsi="宋体" w:cs="宋体"/>
                <w:color w:val="auto"/>
                <w:sz w:val="24"/>
                <w:highlight w:val="none"/>
              </w:rPr>
              <w:t>0411-84</w:t>
            </w:r>
            <w:r>
              <w:rPr>
                <w:rFonts w:hint="eastAsia" w:ascii="宋体" w:hAnsi="宋体" w:cs="宋体"/>
                <w:color w:val="auto"/>
                <w:sz w:val="24"/>
                <w:highlight w:val="none"/>
                <w:lang w:val="en-US" w:eastAsia="zh-CN"/>
              </w:rPr>
              <w:t>651708</w:t>
            </w:r>
            <w:r>
              <w:rPr>
                <w:rFonts w:hint="eastAsia" w:ascii="宋体" w:hAnsi="宋体" w:cs="宋体"/>
                <w:color w:val="auto"/>
                <w:kern w:val="0"/>
                <w:sz w:val="24"/>
                <w:highlight w:val="none"/>
              </w:rPr>
              <w:t>。</w:t>
            </w:r>
          </w:p>
          <w:p w14:paraId="295A2A7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（3）通信地址：</w:t>
            </w:r>
            <w:r>
              <w:rPr>
                <w:rFonts w:hint="eastAsia" w:ascii="宋体" w:hAnsi="宋体"/>
                <w:color w:val="auto"/>
                <w:sz w:val="24"/>
                <w:highlight w:val="none"/>
              </w:rPr>
              <w:t>大连市沙河口区万岁街135号</w:t>
            </w:r>
            <w:r>
              <w:rPr>
                <w:rFonts w:hint="eastAsia" w:ascii="宋体" w:hAnsi="宋体" w:cs="宋体"/>
                <w:color w:val="auto"/>
                <w:kern w:val="0"/>
                <w:sz w:val="24"/>
                <w:highlight w:val="none"/>
              </w:rPr>
              <w:t>。</w:t>
            </w:r>
          </w:p>
        </w:tc>
      </w:tr>
      <w:tr w14:paraId="6261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C7568A1">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tcPr>
          <w:p w14:paraId="75C5D2BC">
            <w:pPr>
              <w:tabs>
                <w:tab w:val="left" w:pos="4045"/>
              </w:tabs>
              <w:adjustRightInd w:val="0"/>
              <w:snapToGrid w:val="0"/>
              <w:spacing w:line="360" w:lineRule="auto"/>
              <w:jc w:val="left"/>
              <w:rPr>
                <w:b/>
                <w:color w:val="auto"/>
                <w:sz w:val="24"/>
                <w:highlight w:val="none"/>
              </w:rPr>
            </w:pPr>
            <w:r>
              <w:rPr>
                <w:rFonts w:hint="eastAsia"/>
                <w:b/>
                <w:color w:val="auto"/>
                <w:sz w:val="24"/>
                <w:highlight w:val="none"/>
              </w:rPr>
              <w:t>★履约保证金</w:t>
            </w:r>
          </w:p>
          <w:p w14:paraId="64C77CC3">
            <w:pPr>
              <w:tabs>
                <w:tab w:val="left" w:pos="4045"/>
              </w:tabs>
              <w:adjustRightInd w:val="0"/>
              <w:snapToGrid w:val="0"/>
              <w:spacing w:line="360" w:lineRule="auto"/>
              <w:jc w:val="left"/>
              <w:rPr>
                <w:color w:val="auto"/>
                <w:sz w:val="24"/>
                <w:highlight w:val="none"/>
              </w:rPr>
            </w:pPr>
            <w:r>
              <w:rPr>
                <w:rFonts w:hint="eastAsia"/>
                <w:color w:val="auto"/>
                <w:sz w:val="24"/>
                <w:highlight w:val="none"/>
              </w:rPr>
              <w:t>（1）中标人在领取中标通知书后与采购人签订合同，并在合同签订后5</w:t>
            </w:r>
            <w:r>
              <w:rPr>
                <w:color w:val="auto"/>
                <w:sz w:val="24"/>
                <w:highlight w:val="none"/>
              </w:rPr>
              <w:t>个工作</w:t>
            </w:r>
            <w:r>
              <w:rPr>
                <w:rFonts w:hint="eastAsia"/>
                <w:color w:val="auto"/>
                <w:sz w:val="24"/>
                <w:highlight w:val="none"/>
              </w:rPr>
              <w:t>日内，向采购人提供合同金额</w:t>
            </w:r>
            <w:r>
              <w:rPr>
                <w:color w:val="auto"/>
                <w:sz w:val="24"/>
                <w:highlight w:val="none"/>
              </w:rPr>
              <w:t>5</w:t>
            </w:r>
            <w:r>
              <w:rPr>
                <w:rFonts w:hint="eastAsia"/>
                <w:color w:val="auto"/>
                <w:sz w:val="24"/>
                <w:highlight w:val="none"/>
              </w:rPr>
              <w:t>%履约保证金。</w:t>
            </w:r>
          </w:p>
          <w:p w14:paraId="230C929F">
            <w:pPr>
              <w:tabs>
                <w:tab w:val="left" w:pos="4045"/>
              </w:tabs>
              <w:adjustRightInd w:val="0"/>
              <w:snapToGrid w:val="0"/>
              <w:spacing w:line="360" w:lineRule="auto"/>
              <w:jc w:val="left"/>
              <w:rPr>
                <w:color w:val="auto"/>
                <w:sz w:val="24"/>
                <w:highlight w:val="none"/>
              </w:rPr>
            </w:pPr>
            <w:r>
              <w:rPr>
                <w:rFonts w:hint="eastAsia"/>
                <w:color w:val="auto"/>
                <w:sz w:val="24"/>
                <w:highlight w:val="none"/>
              </w:rPr>
              <w:t>（2）履约保证金可以是支票或银行汇票或银行出具的不可撤销的履约保函或有关单位或银行出具的履约担保函。</w:t>
            </w:r>
          </w:p>
          <w:p w14:paraId="29CFBB3D">
            <w:pPr>
              <w:snapToGrid w:val="0"/>
              <w:spacing w:line="360" w:lineRule="auto"/>
              <w:rPr>
                <w:rFonts w:ascii="宋体" w:hAnsi="宋体" w:cs="宋体"/>
                <w:bCs/>
                <w:color w:val="auto"/>
                <w:kern w:val="0"/>
                <w:sz w:val="24"/>
                <w:highlight w:val="none"/>
              </w:rPr>
            </w:pPr>
            <w:r>
              <w:rPr>
                <w:rFonts w:hint="eastAsia"/>
                <w:color w:val="auto"/>
                <w:sz w:val="24"/>
                <w:highlight w:val="none"/>
              </w:rPr>
              <w:t>（3）如果中标人未能履行合同并给采购人造成损失，履约保证金将作为对这一损失的补偿而付给采购人。</w:t>
            </w:r>
          </w:p>
        </w:tc>
      </w:tr>
      <w:tr w14:paraId="47A6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963AFC8">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5DFD0B22">
            <w:pPr>
              <w:widowControl/>
              <w:snapToGrid w:val="0"/>
              <w:spacing w:line="360" w:lineRule="auto"/>
              <w:contextualSpacing/>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本项目采购代理服务费由中标人支付，包含在投标总价中不单独列项。收费标准：</w:t>
            </w:r>
          </w:p>
          <w:p w14:paraId="6234A436">
            <w:pPr>
              <w:spacing w:line="360" w:lineRule="auto"/>
              <w:rPr>
                <w:rFonts w:cs="宋体"/>
                <w:b/>
                <w:color w:val="auto"/>
                <w:kern w:val="0"/>
                <w:sz w:val="24"/>
                <w:highlight w:val="none"/>
              </w:rPr>
            </w:pPr>
            <w:r>
              <w:rPr>
                <w:rFonts w:hint="eastAsia" w:cs="宋体"/>
                <w:color w:val="auto"/>
                <w:kern w:val="0"/>
                <w:sz w:val="24"/>
                <w:highlight w:val="none"/>
              </w:rPr>
              <w:t>中标人在领取中标通知书时，须向采购代理机构支付代理服务费，代理服务费支付方式：①现金；②电汇，</w:t>
            </w:r>
            <w:r>
              <w:rPr>
                <w:rFonts w:hint="eastAsia" w:cs="宋体"/>
                <w:b/>
                <w:color w:val="auto"/>
                <w:kern w:val="0"/>
                <w:sz w:val="24"/>
                <w:highlight w:val="none"/>
              </w:rPr>
              <w:t>如代理服务费采用电汇方式的，须在备注或用途栏备注：TLYQ2026-06048。</w:t>
            </w:r>
          </w:p>
          <w:p w14:paraId="7105EC2F">
            <w:pPr>
              <w:spacing w:line="360" w:lineRule="auto"/>
              <w:rPr>
                <w:rFonts w:cs="宋体"/>
                <w:color w:val="auto"/>
                <w:kern w:val="0"/>
                <w:sz w:val="24"/>
                <w:highlight w:val="none"/>
              </w:rPr>
            </w:pPr>
            <w:r>
              <w:rPr>
                <w:rFonts w:hint="eastAsia" w:cs="宋体"/>
                <w:color w:val="auto"/>
                <w:kern w:val="0"/>
                <w:sz w:val="24"/>
                <w:highlight w:val="none"/>
              </w:rPr>
              <w:t>招标代理服务费标准为：以中标价作为基数，采用差额定率累进法的80%计算（100万元以下×1.5%；100-500万元×1.1%；500-1000万元×</w:t>
            </w:r>
            <w:r>
              <w:rPr>
                <w:color w:val="auto"/>
                <w:sz w:val="24"/>
                <w:highlight w:val="none"/>
              </w:rPr>
              <w:t>0.8%</w:t>
            </w:r>
            <w:r>
              <w:rPr>
                <w:rFonts w:hint="eastAsia" w:cs="宋体"/>
                <w:color w:val="auto"/>
                <w:kern w:val="0"/>
                <w:sz w:val="24"/>
                <w:highlight w:val="none"/>
              </w:rPr>
              <w:t>）。</w:t>
            </w:r>
          </w:p>
          <w:p w14:paraId="04EC8FD5">
            <w:pPr>
              <w:spacing w:line="360" w:lineRule="auto"/>
              <w:rPr>
                <w:rFonts w:cs="宋体"/>
                <w:color w:val="auto"/>
                <w:kern w:val="0"/>
                <w:sz w:val="24"/>
                <w:highlight w:val="none"/>
              </w:rPr>
            </w:pPr>
            <w:r>
              <w:rPr>
                <w:rFonts w:hint="eastAsia" w:cs="宋体"/>
                <w:color w:val="auto"/>
                <w:kern w:val="0"/>
                <w:sz w:val="24"/>
                <w:highlight w:val="none"/>
              </w:rPr>
              <w:t>如某货物中标金额为6</w:t>
            </w:r>
            <w:r>
              <w:rPr>
                <w:rFonts w:cs="宋体"/>
                <w:color w:val="auto"/>
                <w:kern w:val="0"/>
                <w:sz w:val="24"/>
                <w:highlight w:val="none"/>
              </w:rPr>
              <w:t>00</w:t>
            </w:r>
            <w:r>
              <w:rPr>
                <w:rFonts w:hint="eastAsia" w:cs="宋体"/>
                <w:color w:val="auto"/>
                <w:kern w:val="0"/>
                <w:sz w:val="24"/>
                <w:highlight w:val="none"/>
              </w:rPr>
              <w:t>万元，则代理服务费计算方式如下：</w:t>
            </w:r>
          </w:p>
          <w:p w14:paraId="3D2E607D">
            <w:pPr>
              <w:spacing w:line="360" w:lineRule="auto"/>
              <w:rPr>
                <w:rFonts w:cs="宋体"/>
                <w:color w:val="auto"/>
                <w:kern w:val="0"/>
                <w:sz w:val="24"/>
                <w:highlight w:val="none"/>
              </w:rPr>
            </w:pPr>
            <w:r>
              <w:rPr>
                <w:rFonts w:hint="eastAsia" w:cs="宋体"/>
                <w:color w:val="auto"/>
                <w:kern w:val="0"/>
                <w:sz w:val="24"/>
                <w:highlight w:val="none"/>
              </w:rPr>
              <w:t>1</w:t>
            </w:r>
            <w:r>
              <w:rPr>
                <w:rFonts w:cs="宋体"/>
                <w:color w:val="auto"/>
                <w:kern w:val="0"/>
                <w:sz w:val="24"/>
                <w:highlight w:val="none"/>
              </w:rPr>
              <w:t>00</w:t>
            </w:r>
            <w:r>
              <w:rPr>
                <w:rFonts w:hint="eastAsia" w:cs="宋体"/>
                <w:color w:val="auto"/>
                <w:kern w:val="0"/>
                <w:sz w:val="24"/>
                <w:highlight w:val="none"/>
              </w:rPr>
              <w:t>万元×1</w:t>
            </w:r>
            <w:r>
              <w:rPr>
                <w:rFonts w:cs="宋体"/>
                <w:color w:val="auto"/>
                <w:kern w:val="0"/>
                <w:sz w:val="24"/>
                <w:highlight w:val="none"/>
              </w:rPr>
              <w:t>.5%</w:t>
            </w:r>
            <w:r>
              <w:rPr>
                <w:rFonts w:hint="eastAsia" w:cs="宋体"/>
                <w:color w:val="auto"/>
                <w:kern w:val="0"/>
                <w:sz w:val="24"/>
                <w:highlight w:val="none"/>
              </w:rPr>
              <w:t>×8</w:t>
            </w:r>
            <w:r>
              <w:rPr>
                <w:rFonts w:cs="宋体"/>
                <w:color w:val="auto"/>
                <w:kern w:val="0"/>
                <w:sz w:val="24"/>
                <w:highlight w:val="none"/>
              </w:rPr>
              <w:t>0%=12000</w:t>
            </w:r>
            <w:r>
              <w:rPr>
                <w:rFonts w:hint="eastAsia" w:cs="宋体"/>
                <w:color w:val="auto"/>
                <w:kern w:val="0"/>
                <w:sz w:val="24"/>
                <w:highlight w:val="none"/>
              </w:rPr>
              <w:t>元</w:t>
            </w:r>
          </w:p>
          <w:p w14:paraId="64457169">
            <w:pPr>
              <w:spacing w:line="360" w:lineRule="auto"/>
              <w:rPr>
                <w:rFonts w:cs="宋体"/>
                <w:color w:val="auto"/>
                <w:kern w:val="0"/>
                <w:sz w:val="24"/>
                <w:highlight w:val="none"/>
              </w:rPr>
            </w:pPr>
            <w:r>
              <w:rPr>
                <w:rFonts w:hint="eastAsia" w:cs="宋体"/>
                <w:color w:val="auto"/>
                <w:kern w:val="0"/>
                <w:sz w:val="24"/>
                <w:highlight w:val="none"/>
              </w:rPr>
              <w:t>4</w:t>
            </w:r>
            <w:r>
              <w:rPr>
                <w:rFonts w:cs="宋体"/>
                <w:color w:val="auto"/>
                <w:kern w:val="0"/>
                <w:sz w:val="24"/>
                <w:highlight w:val="none"/>
              </w:rPr>
              <w:t>00</w:t>
            </w:r>
            <w:r>
              <w:rPr>
                <w:rFonts w:hint="eastAsia" w:cs="宋体"/>
                <w:color w:val="auto"/>
                <w:kern w:val="0"/>
                <w:sz w:val="24"/>
                <w:highlight w:val="none"/>
              </w:rPr>
              <w:t>万元×1</w:t>
            </w:r>
            <w:r>
              <w:rPr>
                <w:rFonts w:cs="宋体"/>
                <w:color w:val="auto"/>
                <w:kern w:val="0"/>
                <w:sz w:val="24"/>
                <w:highlight w:val="none"/>
              </w:rPr>
              <w:t>.1%</w:t>
            </w:r>
            <w:r>
              <w:rPr>
                <w:rFonts w:hint="eastAsia" w:cs="宋体"/>
                <w:color w:val="auto"/>
                <w:kern w:val="0"/>
                <w:sz w:val="24"/>
                <w:highlight w:val="none"/>
              </w:rPr>
              <w:t>×8</w:t>
            </w:r>
            <w:r>
              <w:rPr>
                <w:rFonts w:cs="宋体"/>
                <w:color w:val="auto"/>
                <w:kern w:val="0"/>
                <w:sz w:val="24"/>
                <w:highlight w:val="none"/>
              </w:rPr>
              <w:t>0%=35200</w:t>
            </w:r>
            <w:r>
              <w:rPr>
                <w:rFonts w:hint="eastAsia" w:cs="宋体"/>
                <w:color w:val="auto"/>
                <w:kern w:val="0"/>
                <w:sz w:val="24"/>
                <w:highlight w:val="none"/>
              </w:rPr>
              <w:t>元</w:t>
            </w:r>
          </w:p>
          <w:p w14:paraId="2C4BBE3C">
            <w:pPr>
              <w:spacing w:line="360" w:lineRule="auto"/>
              <w:rPr>
                <w:rFonts w:cs="宋体"/>
                <w:color w:val="auto"/>
                <w:kern w:val="0"/>
                <w:sz w:val="24"/>
                <w:highlight w:val="none"/>
              </w:rPr>
            </w:pPr>
            <w:r>
              <w:rPr>
                <w:rFonts w:hint="eastAsia" w:cs="宋体"/>
                <w:color w:val="auto"/>
                <w:kern w:val="0"/>
                <w:sz w:val="24"/>
                <w:highlight w:val="none"/>
              </w:rPr>
              <w:t>1</w:t>
            </w:r>
            <w:r>
              <w:rPr>
                <w:rFonts w:cs="宋体"/>
                <w:color w:val="auto"/>
                <w:kern w:val="0"/>
                <w:sz w:val="24"/>
                <w:highlight w:val="none"/>
              </w:rPr>
              <w:t>00</w:t>
            </w:r>
            <w:r>
              <w:rPr>
                <w:rFonts w:hint="eastAsia" w:cs="宋体"/>
                <w:color w:val="auto"/>
                <w:kern w:val="0"/>
                <w:sz w:val="24"/>
                <w:highlight w:val="none"/>
              </w:rPr>
              <w:t>万元×</w:t>
            </w:r>
            <w:r>
              <w:rPr>
                <w:rFonts w:cs="宋体"/>
                <w:color w:val="auto"/>
                <w:kern w:val="0"/>
                <w:sz w:val="24"/>
                <w:highlight w:val="none"/>
              </w:rPr>
              <w:t>0.8%</w:t>
            </w:r>
            <w:r>
              <w:rPr>
                <w:rFonts w:hint="eastAsia" w:cs="宋体"/>
                <w:color w:val="auto"/>
                <w:kern w:val="0"/>
                <w:sz w:val="24"/>
                <w:highlight w:val="none"/>
              </w:rPr>
              <w:t>×8</w:t>
            </w:r>
            <w:r>
              <w:rPr>
                <w:rFonts w:cs="宋体"/>
                <w:color w:val="auto"/>
                <w:kern w:val="0"/>
                <w:sz w:val="24"/>
                <w:highlight w:val="none"/>
              </w:rPr>
              <w:t>0%=6400</w:t>
            </w:r>
            <w:r>
              <w:rPr>
                <w:rFonts w:hint="eastAsia" w:cs="宋体"/>
                <w:color w:val="auto"/>
                <w:kern w:val="0"/>
                <w:sz w:val="24"/>
                <w:highlight w:val="none"/>
              </w:rPr>
              <w:t>元</w:t>
            </w:r>
          </w:p>
          <w:p w14:paraId="7E2494F3">
            <w:pPr>
              <w:spacing w:line="360" w:lineRule="auto"/>
              <w:rPr>
                <w:rFonts w:cs="宋体"/>
                <w:color w:val="auto"/>
                <w:kern w:val="0"/>
                <w:sz w:val="24"/>
                <w:highlight w:val="none"/>
              </w:rPr>
            </w:pPr>
            <w:r>
              <w:rPr>
                <w:rFonts w:hint="eastAsia" w:cs="宋体"/>
                <w:color w:val="auto"/>
                <w:kern w:val="0"/>
                <w:sz w:val="24"/>
                <w:highlight w:val="none"/>
              </w:rPr>
              <w:t>招标代理费合计为：1</w:t>
            </w:r>
            <w:r>
              <w:rPr>
                <w:rFonts w:cs="宋体"/>
                <w:color w:val="auto"/>
                <w:kern w:val="0"/>
                <w:sz w:val="24"/>
                <w:highlight w:val="none"/>
              </w:rPr>
              <w:t>2000</w:t>
            </w:r>
            <w:r>
              <w:rPr>
                <w:rFonts w:hint="eastAsia" w:cs="宋体"/>
                <w:color w:val="auto"/>
                <w:kern w:val="0"/>
                <w:sz w:val="24"/>
                <w:highlight w:val="none"/>
              </w:rPr>
              <w:t>元+</w:t>
            </w:r>
            <w:r>
              <w:rPr>
                <w:rFonts w:cs="宋体"/>
                <w:color w:val="auto"/>
                <w:kern w:val="0"/>
                <w:sz w:val="24"/>
                <w:highlight w:val="none"/>
              </w:rPr>
              <w:t>35200</w:t>
            </w:r>
            <w:r>
              <w:rPr>
                <w:rFonts w:hint="eastAsia" w:cs="宋体"/>
                <w:color w:val="auto"/>
                <w:kern w:val="0"/>
                <w:sz w:val="24"/>
                <w:highlight w:val="none"/>
              </w:rPr>
              <w:t>元+</w:t>
            </w:r>
            <w:r>
              <w:rPr>
                <w:rFonts w:cs="宋体"/>
                <w:color w:val="auto"/>
                <w:kern w:val="0"/>
                <w:sz w:val="24"/>
                <w:highlight w:val="none"/>
              </w:rPr>
              <w:t>6400</w:t>
            </w:r>
            <w:r>
              <w:rPr>
                <w:rFonts w:hint="eastAsia" w:cs="宋体"/>
                <w:color w:val="auto"/>
                <w:kern w:val="0"/>
                <w:sz w:val="24"/>
                <w:highlight w:val="none"/>
              </w:rPr>
              <w:t>元=</w:t>
            </w:r>
            <w:r>
              <w:rPr>
                <w:rFonts w:cs="宋体"/>
                <w:color w:val="auto"/>
                <w:kern w:val="0"/>
                <w:sz w:val="24"/>
                <w:highlight w:val="none"/>
              </w:rPr>
              <w:t>53600</w:t>
            </w:r>
            <w:r>
              <w:rPr>
                <w:rFonts w:hint="eastAsia" w:cs="宋体"/>
                <w:color w:val="auto"/>
                <w:kern w:val="0"/>
                <w:sz w:val="24"/>
                <w:highlight w:val="none"/>
              </w:rPr>
              <w:t>元</w:t>
            </w:r>
          </w:p>
          <w:p w14:paraId="1E328112">
            <w:pPr>
              <w:spacing w:line="360" w:lineRule="auto"/>
              <w:rPr>
                <w:rFonts w:cs="宋体"/>
                <w:color w:val="auto"/>
                <w:kern w:val="0"/>
                <w:sz w:val="24"/>
                <w:highlight w:val="none"/>
              </w:rPr>
            </w:pPr>
            <w:r>
              <w:rPr>
                <w:rFonts w:hint="eastAsia" w:cs="宋体"/>
                <w:color w:val="auto"/>
                <w:kern w:val="0"/>
                <w:sz w:val="24"/>
                <w:highlight w:val="none"/>
              </w:rPr>
              <w:t>代理服务费收款账户：</w:t>
            </w:r>
          </w:p>
          <w:p w14:paraId="65483BE6">
            <w:pPr>
              <w:widowControl/>
              <w:snapToGrid w:val="0"/>
              <w:spacing w:line="360" w:lineRule="auto"/>
              <w:contextualSpacing/>
              <w:jc w:val="left"/>
              <w:rPr>
                <w:rFonts w:hint="eastAsia" w:ascii="宋体" w:hAnsi="宋体" w:cs="宋体"/>
                <w:color w:val="auto"/>
                <w:kern w:val="0"/>
                <w:sz w:val="24"/>
                <w:highlight w:val="none"/>
              </w:rPr>
            </w:pPr>
            <w:r>
              <w:rPr>
                <w:rFonts w:hint="eastAsia" w:ascii="宋体" w:hAnsi="宋体" w:cs="宋体"/>
                <w:color w:val="auto"/>
                <w:kern w:val="0"/>
                <w:sz w:val="24"/>
                <w:highlight w:val="none"/>
              </w:rPr>
              <w:t>公司名称：通利晟信管理咨询有限公司；</w:t>
            </w:r>
          </w:p>
          <w:p w14:paraId="699D46DD">
            <w:pPr>
              <w:widowControl/>
              <w:snapToGrid w:val="0"/>
              <w:spacing w:line="360" w:lineRule="auto"/>
              <w:contextualSpacing/>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开户行：中信银行大连沙河口支行（仅限代理服务费及标书费）；</w:t>
            </w:r>
          </w:p>
          <w:p w14:paraId="39FDFCE3">
            <w:pPr>
              <w:widowControl/>
              <w:snapToGrid w:val="0"/>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账号：7212910182600212195。</w:t>
            </w:r>
          </w:p>
        </w:tc>
      </w:tr>
      <w:tr w14:paraId="1B1D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3E59569">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05439129">
            <w:pPr>
              <w:widowControl/>
              <w:snapToGrid w:val="0"/>
              <w:spacing w:line="360" w:lineRule="auto"/>
              <w:contextualSpacing/>
              <w:rPr>
                <w:rFonts w:ascii="宋体" w:hAnsi="宋体" w:cs="宋体"/>
                <w:color w:val="auto"/>
                <w:kern w:val="0"/>
                <w:sz w:val="24"/>
                <w:highlight w:val="none"/>
              </w:rPr>
            </w:pPr>
            <w:r>
              <w:rPr>
                <w:rFonts w:hint="eastAsia" w:ascii="宋体" w:hAnsi="宋体" w:cs="宋体"/>
                <w:color w:val="auto"/>
                <w:kern w:val="0"/>
                <w:sz w:val="24"/>
                <w:highlight w:val="none"/>
                <w:lang w:bidi="ar"/>
              </w:rPr>
              <w:t>对于投标文件中含义不明确、同类问题表述不一致或者有明显文字和计算错误的内容，投标人</w:t>
            </w:r>
            <w:r>
              <w:rPr>
                <w:rFonts w:hint="eastAsia" w:ascii="宋体" w:hAnsi="宋体" w:cs="宋体"/>
                <w:color w:val="auto"/>
                <w:kern w:val="0"/>
                <w:sz w:val="24"/>
                <w:highlight w:val="none"/>
                <w:lang w:eastAsia="zh-Hans" w:bidi="ar"/>
              </w:rPr>
              <w:t>应以书面形式</w:t>
            </w:r>
            <w:r>
              <w:rPr>
                <w:rFonts w:hint="eastAsia" w:ascii="宋体" w:hAnsi="宋体" w:cs="宋体"/>
                <w:color w:val="auto"/>
                <w:kern w:val="0"/>
                <w:sz w:val="24"/>
                <w:highlight w:val="none"/>
                <w:lang w:bidi="ar"/>
              </w:rPr>
              <w:t>作出必要的澄清、说明或者补正。</w:t>
            </w:r>
            <w:r>
              <w:rPr>
                <w:rFonts w:hint="eastAsia" w:ascii="宋体" w:hAnsi="宋体" w:cs="宋体"/>
                <w:color w:val="auto"/>
                <w:kern w:val="0"/>
                <w:sz w:val="24"/>
                <w:highlight w:val="none"/>
                <w:lang w:eastAsia="zh-Hans" w:bidi="ar"/>
              </w:rPr>
              <w:t>如无法提供合理的</w:t>
            </w:r>
            <w:r>
              <w:rPr>
                <w:rFonts w:hint="eastAsia" w:ascii="宋体" w:hAnsi="宋体" w:cs="宋体"/>
                <w:color w:val="auto"/>
                <w:kern w:val="0"/>
                <w:sz w:val="24"/>
                <w:highlight w:val="none"/>
                <w:lang w:bidi="ar"/>
              </w:rPr>
              <w:t>澄清、说明或者补正</w:t>
            </w:r>
            <w:r>
              <w:rPr>
                <w:rFonts w:hint="eastAsia" w:ascii="宋体" w:hAnsi="宋体" w:cs="宋体"/>
                <w:color w:val="auto"/>
                <w:kern w:val="0"/>
                <w:sz w:val="24"/>
                <w:highlight w:val="none"/>
                <w:lang w:eastAsia="zh-Hans"/>
              </w:rPr>
              <w:t>则认为该内容</w:t>
            </w:r>
            <w:r>
              <w:rPr>
                <w:rFonts w:hint="eastAsia" w:ascii="宋体" w:hAnsi="宋体" w:cs="宋体"/>
                <w:color w:val="auto"/>
                <w:kern w:val="0"/>
                <w:sz w:val="24"/>
                <w:highlight w:val="none"/>
              </w:rPr>
              <w:t>无效，不采信。</w:t>
            </w:r>
            <w:r>
              <w:rPr>
                <w:rFonts w:hint="eastAsia" w:ascii="宋体" w:hAnsi="宋体" w:cs="宋体"/>
                <w:color w:val="auto"/>
                <w:kern w:val="0"/>
                <w:sz w:val="24"/>
                <w:highlight w:val="none"/>
                <w:lang w:bidi="ar"/>
              </w:rPr>
              <w:t>投标人的澄清、说明或者补正不得超出投标文件的范围或者改变投标文件的实质性内容</w:t>
            </w:r>
            <w:r>
              <w:rPr>
                <w:rFonts w:hint="eastAsia" w:cs="宋体" w:asciiTheme="minorEastAsia" w:hAnsiTheme="minorEastAsia" w:eastAsiaTheme="minorEastAsia"/>
                <w:color w:val="auto"/>
                <w:kern w:val="0"/>
                <w:sz w:val="24"/>
                <w:highlight w:val="none"/>
                <w:lang w:bidi="ar"/>
              </w:rPr>
              <w:t>。</w:t>
            </w:r>
          </w:p>
        </w:tc>
      </w:tr>
      <w:tr w14:paraId="2AC9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6C571B0">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15F9107F">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异常低价响应审查</w:t>
            </w:r>
          </w:p>
          <w:p w14:paraId="2D9943A1">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政府采购评审中出现下列情形之一的，评标委员会将启动异常低价响应审查程序：</w:t>
            </w:r>
          </w:p>
          <w:p w14:paraId="0574913C">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val="en-US" w:eastAsia="zh-CN" w:bidi="ar"/>
              </w:rPr>
              <w:t>1</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单台/套设备投标报价低于全部通过符合性审查投标人投标报价平均值50%的，即投标报价&lt;全部通过符合性审查投标人投标报价平均值×50%；</w:t>
            </w:r>
          </w:p>
          <w:p w14:paraId="4389A1E3">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val="en-US" w:eastAsia="zh-CN" w:bidi="ar"/>
              </w:rPr>
              <w:t>2</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单台/套设备投标报价低于通过符合性审查的次低报价投标人投标报价50%的，即投标报价&lt;通过符合性审查的次低报价投标人投标报价×50%；</w:t>
            </w:r>
          </w:p>
          <w:p w14:paraId="4DE0EB60">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val="en-US" w:eastAsia="zh-CN" w:bidi="ar"/>
              </w:rPr>
              <w:t>3</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单台/套设备响应低于采购项目最高限价45%的，即投标报价&lt;采购项目最高限价×45%；</w:t>
            </w:r>
          </w:p>
          <w:p w14:paraId="6F11A6F1">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val="en-US" w:eastAsia="zh-CN" w:bidi="ar"/>
              </w:rPr>
              <w:t>4</w:t>
            </w:r>
            <w:r>
              <w:rPr>
                <w:rFonts w:hint="eastAsia" w:ascii="宋体" w:hAnsi="宋体" w:cs="宋体"/>
                <w:color w:val="auto"/>
                <w:kern w:val="0"/>
                <w:sz w:val="24"/>
                <w:highlight w:val="none"/>
                <w:lang w:eastAsia="zh-CN" w:bidi="ar"/>
              </w:rPr>
              <w:t>）</w:t>
            </w:r>
            <w:r>
              <w:rPr>
                <w:rFonts w:hint="eastAsia" w:ascii="宋体" w:hAnsi="宋体" w:cs="宋体"/>
                <w:color w:val="auto"/>
                <w:kern w:val="0"/>
                <w:sz w:val="24"/>
                <w:highlight w:val="none"/>
                <w:lang w:bidi="ar"/>
              </w:rPr>
              <w:t>评审委员会基于专业判断，认为投标人报价过低，有可能影响产品质量或者不能诚信履约的其他情形。</w:t>
            </w:r>
          </w:p>
          <w:p w14:paraId="596833D1">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评标委员会启动异常低价响应审查后，属于前述第1项至第4项情形的，相关投标人在30分钟内对响应价格作出解释，提供项目具体成本测算等与报价合理性相关的书面说明及必要的证明材料，包括但不限于原材料成本、人工成本、制造费用等。</w:t>
            </w:r>
          </w:p>
          <w:p w14:paraId="5CE44B0E">
            <w:pPr>
              <w:keepNext w:val="0"/>
              <w:keepLines w:val="0"/>
              <w:pageBreakBefore w:val="0"/>
              <w:widowControl/>
              <w:kinsoku/>
              <w:wordWrap/>
              <w:overflowPunct/>
              <w:topLinePunct w:val="0"/>
              <w:autoSpaceDE/>
              <w:autoSpaceDN/>
              <w:bidi w:val="0"/>
              <w:adjustRightInd/>
              <w:snapToGrid w:val="0"/>
              <w:spacing w:line="360" w:lineRule="auto"/>
              <w:ind w:firstLine="0" w:firstLineChars="0"/>
              <w:contextualSpacing/>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投标人不能提供书面说明、证明材料，或者提供的书面说明、证明材料不能证明其报价合理性的，为无效响应文件。</w:t>
            </w:r>
          </w:p>
        </w:tc>
      </w:tr>
      <w:tr w14:paraId="32CA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4B57EF26">
            <w:pPr>
              <w:widowControl/>
              <w:numPr>
                <w:ilvl w:val="0"/>
                <w:numId w:val="2"/>
              </w:numPr>
              <w:snapToGrid w:val="0"/>
              <w:spacing w:line="360" w:lineRule="auto"/>
              <w:contextualSpacing/>
              <w:jc w:val="center"/>
              <w:rPr>
                <w:rFonts w:ascii="宋体" w:hAnsi="宋体" w:cs="宋体"/>
                <w:color w:val="auto"/>
                <w:kern w:val="0"/>
                <w:sz w:val="24"/>
                <w:highlight w:val="none"/>
              </w:rPr>
            </w:pPr>
          </w:p>
        </w:tc>
        <w:tc>
          <w:tcPr>
            <w:tcW w:w="8901" w:type="dxa"/>
            <w:vAlign w:val="center"/>
          </w:tcPr>
          <w:p w14:paraId="1D5B8452">
            <w:pPr>
              <w:widowControl/>
              <w:snapToGrid w:val="0"/>
              <w:spacing w:line="360" w:lineRule="auto"/>
              <w:contextualSpacing/>
              <w:jc w:val="left"/>
              <w:rPr>
                <w:rFonts w:ascii="宋体" w:hAnsi="宋体" w:cs="宋体"/>
                <w:color w:val="auto"/>
                <w:kern w:val="0"/>
                <w:sz w:val="24"/>
                <w:highlight w:val="none"/>
              </w:rPr>
            </w:pPr>
            <w:r>
              <w:rPr>
                <w:rFonts w:hint="eastAsia" w:ascii="宋体" w:hAnsi="宋体" w:cs="宋体"/>
                <w:color w:val="auto"/>
                <w:kern w:val="0"/>
                <w:sz w:val="24"/>
                <w:highlight w:val="none"/>
              </w:rPr>
              <w:t>（1）标记“★”号条款为必须满足条款，如不能满足，视为无效投标。</w:t>
            </w:r>
          </w:p>
          <w:p w14:paraId="6B1BB12D">
            <w:pPr>
              <w:keepNext/>
              <w:keepLines/>
              <w:widowControl/>
              <w:snapToGrid w:val="0"/>
              <w:spacing w:line="360" w:lineRule="auto"/>
              <w:contextualSpacing/>
              <w:outlineLvl w:val="2"/>
              <w:rPr>
                <w:rFonts w:ascii="宋体" w:hAnsi="宋体" w:cs="宋体"/>
                <w:b/>
                <w:color w:val="auto"/>
                <w:kern w:val="0"/>
                <w:sz w:val="24"/>
                <w:highlight w:val="none"/>
              </w:rPr>
            </w:pPr>
            <w:r>
              <w:rPr>
                <w:rFonts w:hint="eastAsia" w:ascii="宋体" w:hAnsi="宋体" w:cs="宋体"/>
                <w:color w:val="auto"/>
                <w:kern w:val="0"/>
                <w:sz w:val="24"/>
                <w:highlight w:val="none"/>
              </w:rPr>
              <w:t>（2）招标文件的技术和商务条款中未标记“★”号的为非实质性要求，未响应非实质性要求的投标文件仍为有效，但可能影响评分。</w:t>
            </w:r>
          </w:p>
        </w:tc>
      </w:tr>
    </w:tbl>
    <w:p w14:paraId="1D14E323">
      <w:pPr>
        <w:adjustRightInd w:val="0"/>
        <w:snapToGrid w:val="0"/>
        <w:spacing w:line="360" w:lineRule="auto"/>
        <w:ind w:firstLine="643"/>
        <w:rPr>
          <w:rFonts w:ascii="宋体" w:hAnsi="宋体" w:cs="宋体"/>
          <w:b/>
          <w:bCs/>
          <w:color w:val="auto"/>
          <w:kern w:val="0"/>
          <w:sz w:val="32"/>
          <w:szCs w:val="32"/>
          <w:highlight w:val="none"/>
        </w:rPr>
      </w:pPr>
    </w:p>
    <w:p w14:paraId="5D7EE046">
      <w:pPr>
        <w:adjustRightInd w:val="0"/>
        <w:snapToGrid w:val="0"/>
        <w:spacing w:line="360" w:lineRule="auto"/>
        <w:ind w:firstLine="643"/>
        <w:jc w:val="center"/>
        <w:rPr>
          <w:rFonts w:ascii="宋体" w:hAnsi="宋体" w:cs="宋体"/>
          <w:b/>
          <w:bCs/>
          <w:color w:val="auto"/>
          <w:kern w:val="0"/>
          <w:sz w:val="32"/>
          <w:szCs w:val="32"/>
          <w:highlight w:val="none"/>
        </w:rPr>
      </w:pPr>
    </w:p>
    <w:p w14:paraId="57599C99">
      <w:pPr>
        <w:widowControl/>
        <w:ind w:firstLine="643"/>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投标人须知</w:t>
      </w:r>
    </w:p>
    <w:p w14:paraId="480209BF">
      <w:pPr>
        <w:adjustRightInd w:val="0"/>
        <w:snapToGrid w:val="0"/>
        <w:spacing w:line="360" w:lineRule="auto"/>
        <w:ind w:firstLine="482"/>
        <w:jc w:val="center"/>
        <w:rPr>
          <w:rFonts w:ascii="宋体" w:hAnsi="宋体" w:cs="宋体"/>
          <w:b/>
          <w:color w:val="auto"/>
          <w:kern w:val="0"/>
          <w:sz w:val="24"/>
          <w:highlight w:val="none"/>
        </w:rPr>
      </w:pPr>
      <w:bookmarkStart w:id="38" w:name="_Toc25007_WPSOffice_Level3"/>
      <w:bookmarkStart w:id="39" w:name="_Toc168800595"/>
      <w:r>
        <w:rPr>
          <w:rFonts w:hint="eastAsia" w:ascii="宋体" w:hAnsi="宋体" w:cs="宋体"/>
          <w:b/>
          <w:color w:val="auto"/>
          <w:kern w:val="0"/>
          <w:sz w:val="24"/>
          <w:highlight w:val="none"/>
        </w:rPr>
        <w:t>一、总则</w:t>
      </w:r>
      <w:bookmarkEnd w:id="38"/>
      <w:bookmarkEnd w:id="39"/>
    </w:p>
    <w:p w14:paraId="41C0957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bookmarkStart w:id="40" w:name="_Toc168800596"/>
      <w:r>
        <w:rPr>
          <w:rFonts w:ascii="宋体" w:hAnsi="宋体" w:cs="宋体"/>
          <w:color w:val="auto"/>
          <w:kern w:val="0"/>
          <w:sz w:val="24"/>
          <w:highlight w:val="none"/>
        </w:rPr>
        <w:t xml:space="preserve"> </w:t>
      </w:r>
      <w:r>
        <w:rPr>
          <w:rFonts w:hint="eastAsia" w:ascii="宋体" w:hAnsi="宋体" w:cs="宋体"/>
          <w:color w:val="auto"/>
          <w:kern w:val="0"/>
          <w:sz w:val="24"/>
          <w:highlight w:val="none"/>
        </w:rPr>
        <w:t>资金来源</w:t>
      </w:r>
      <w:bookmarkEnd w:id="40"/>
    </w:p>
    <w:p w14:paraId="74A2E1B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1.1 采购人已具备用于支付“投标人须知前附表”所述项目费用的能力，能够支付本次招标后所签订的合同项下的款项。</w:t>
      </w:r>
      <w:bookmarkStart w:id="41" w:name="_Toc168800597"/>
    </w:p>
    <w:p w14:paraId="04F0BB2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合格的投标人、合格的货物与服务</w:t>
      </w:r>
      <w:bookmarkEnd w:id="41"/>
    </w:p>
    <w:p w14:paraId="5801481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符合《中华人民共和国政府采购法》第二十二条要求。</w:t>
      </w:r>
    </w:p>
    <w:p w14:paraId="62028B5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 合同中提供的所有货物及其有关服务，均应来自中华人民共和国境内，本合同的支付也仅限于这些货物和服务。</w:t>
      </w:r>
    </w:p>
    <w:p w14:paraId="1DB7606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2.3 本款所述的“来源地”是指货物开采、生长或生产或提供服务的来源地。所述的货物是指制造、加工或实质上装配了主要部件而形成的货物，商业上公认的产品是指在基本特征、性能或功能上与部件有着实质性区别的产品。</w:t>
      </w:r>
    </w:p>
    <w:p w14:paraId="49645D7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 投标人必须满足“投标人须知前附表”所述项目要求。</w:t>
      </w:r>
    </w:p>
    <w:p w14:paraId="4046677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2.5</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其他要求：</w:t>
      </w:r>
    </w:p>
    <w:p w14:paraId="58F173B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2.5.1</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与采购人存在利害关系可能影响招标公正性的法人、其他组织或者个人，不得参加投标。</w:t>
      </w:r>
    </w:p>
    <w:p w14:paraId="5D74492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2.5.2</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单位负责人为同一人或者存在直接控股、管理关系的不同投标人，不得参加同一合同项下的政府采购活动。为本采购项目提供整体设计、规范编制或者项目管理、监理、检测等服务的投标人，不得再参加本采购项目的采购活动。</w:t>
      </w:r>
    </w:p>
    <w:p w14:paraId="0C99A26A">
      <w:pPr>
        <w:snapToGrid w:val="0"/>
        <w:spacing w:line="360" w:lineRule="auto"/>
        <w:ind w:firstLine="480" w:firstLineChars="200"/>
        <w:rPr>
          <w:rFonts w:ascii="宋体" w:hAnsi="宋体" w:cs="宋体"/>
          <w:color w:val="auto"/>
          <w:kern w:val="0"/>
          <w:sz w:val="24"/>
          <w:highlight w:val="none"/>
        </w:rPr>
      </w:pPr>
      <w:bookmarkStart w:id="42" w:name="_Toc168800598"/>
      <w:r>
        <w:rPr>
          <w:rFonts w:hint="eastAsia" w:ascii="宋体" w:hAnsi="宋体" w:cs="宋体"/>
          <w:color w:val="auto"/>
          <w:kern w:val="0"/>
          <w:sz w:val="24"/>
          <w:highlight w:val="none"/>
        </w:rPr>
        <w:t>3.</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投标费用</w:t>
      </w:r>
      <w:bookmarkEnd w:id="42"/>
    </w:p>
    <w:p w14:paraId="0AE6DB77">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投标人应承担所有参与此次投标活动所发生的相关费用，不论投标的结果如何，采购人将不承担任何费用。</w:t>
      </w:r>
    </w:p>
    <w:p w14:paraId="155FA53B">
      <w:pPr>
        <w:snapToGrid w:val="0"/>
        <w:spacing w:line="360" w:lineRule="auto"/>
        <w:ind w:firstLine="482"/>
        <w:jc w:val="center"/>
        <w:rPr>
          <w:rFonts w:ascii="宋体" w:hAnsi="宋体" w:cs="宋体"/>
          <w:b/>
          <w:color w:val="auto"/>
          <w:kern w:val="0"/>
          <w:sz w:val="24"/>
          <w:highlight w:val="none"/>
        </w:rPr>
      </w:pPr>
      <w:bookmarkStart w:id="43" w:name="_Toc21710_WPSOffice_Level3"/>
      <w:bookmarkStart w:id="44" w:name="_Toc168800599"/>
      <w:r>
        <w:rPr>
          <w:rFonts w:hint="eastAsia" w:ascii="宋体" w:hAnsi="宋体" w:cs="宋体"/>
          <w:b/>
          <w:color w:val="auto"/>
          <w:kern w:val="0"/>
          <w:sz w:val="24"/>
          <w:highlight w:val="none"/>
        </w:rPr>
        <w:t>二、招标文件</w:t>
      </w:r>
      <w:bookmarkEnd w:id="43"/>
      <w:bookmarkEnd w:id="44"/>
    </w:p>
    <w:p w14:paraId="3369ED7C">
      <w:pPr>
        <w:snapToGrid w:val="0"/>
        <w:spacing w:line="360" w:lineRule="auto"/>
        <w:ind w:firstLine="480" w:firstLineChars="200"/>
        <w:rPr>
          <w:rFonts w:ascii="宋体" w:hAnsi="宋体" w:cs="宋体"/>
          <w:color w:val="auto"/>
          <w:kern w:val="0"/>
          <w:sz w:val="24"/>
          <w:highlight w:val="none"/>
        </w:rPr>
      </w:pPr>
      <w:bookmarkStart w:id="45" w:name="_Toc168800600"/>
      <w:r>
        <w:rPr>
          <w:rFonts w:hint="eastAsia" w:ascii="宋体" w:hAnsi="宋体" w:cs="宋体"/>
          <w:color w:val="auto"/>
          <w:kern w:val="0"/>
          <w:sz w:val="24"/>
          <w:highlight w:val="none"/>
        </w:rPr>
        <w:t>4.招标文件构成</w:t>
      </w:r>
      <w:bookmarkEnd w:id="45"/>
    </w:p>
    <w:p w14:paraId="4CAA5ED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4.1招标文件包括：</w:t>
      </w:r>
    </w:p>
    <w:p w14:paraId="1E39DF7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4.1.1招标公告。</w:t>
      </w:r>
    </w:p>
    <w:p w14:paraId="63AA1F9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4.1.2投标人须知及前附表。</w:t>
      </w:r>
    </w:p>
    <w:p w14:paraId="5515988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4.1.3合同条款及前附表。</w:t>
      </w:r>
    </w:p>
    <w:p w14:paraId="6B18001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4.1.4合同格式。</w:t>
      </w:r>
    </w:p>
    <w:p w14:paraId="495F960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4.1.5用户需求书。</w:t>
      </w:r>
    </w:p>
    <w:p w14:paraId="24AC432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4.1.6投标文件格式。</w:t>
      </w:r>
    </w:p>
    <w:p w14:paraId="232783F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4.1.7评分标准。</w:t>
      </w:r>
    </w:p>
    <w:p w14:paraId="0A49730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 投标人应认真阅读招标文件中所有的事项、格式、条款、项目任务等要求。如果投标人没有按照招标文件要求提交全部资料或者投标文件没有按照招标文件要求做出实质性响应，没有实质性响应招标文件要求的投标将视为无效。</w:t>
      </w:r>
      <w:bookmarkStart w:id="46" w:name="_Toc168800601"/>
    </w:p>
    <w:p w14:paraId="50ACCD5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 招标文件的澄清</w:t>
      </w:r>
      <w:bookmarkEnd w:id="46"/>
    </w:p>
    <w:p w14:paraId="5B0AE29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5.1 投标人要求对招标文件进行澄清的，应在“投标人须知前附表”所述截止时间前按招标文件中的通讯地址以书面形式转至采购人，采购人对此要求将以书面形式予以答复，同时将书面答复寄送给每位获取招标文件的投标人，但不标明问题的来源。</w:t>
      </w:r>
      <w:bookmarkStart w:id="47" w:name="_Toc168800602"/>
    </w:p>
    <w:p w14:paraId="1F5BB13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 招标文件的修改</w:t>
      </w:r>
      <w:bookmarkEnd w:id="47"/>
    </w:p>
    <w:p w14:paraId="2CE9213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6.1 在投标截止时间前，采购人依法可主动地或在解答投标人提出的澄清问题时对招标文件进行修改。</w:t>
      </w:r>
    </w:p>
    <w:p w14:paraId="2FB2AD9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6.2 采购人对招标文件的修改或澄清将以修改函（或澄清函）形式书面通知所有投标人。修改函（或澄清函）与招标文件具有同等约束力。投标人接到修改函（或澄清函）后应立即以书面形式进行确认。</w:t>
      </w:r>
    </w:p>
    <w:p w14:paraId="2628E49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6.3 为使投标人编写投标文件时有充分时间对招标文件的修改部分进行研究，采购人可视情况酌情延长投标文件递交截止时间。</w:t>
      </w:r>
    </w:p>
    <w:p w14:paraId="7F28634C">
      <w:pPr>
        <w:snapToGrid w:val="0"/>
        <w:spacing w:line="360" w:lineRule="auto"/>
        <w:ind w:firstLine="482"/>
        <w:jc w:val="center"/>
        <w:rPr>
          <w:rFonts w:ascii="宋体" w:hAnsi="宋体" w:cs="宋体"/>
          <w:b/>
          <w:color w:val="auto"/>
          <w:kern w:val="0"/>
          <w:sz w:val="24"/>
          <w:highlight w:val="none"/>
        </w:rPr>
      </w:pPr>
      <w:bookmarkStart w:id="48" w:name="_Toc6173_WPSOffice_Level3"/>
      <w:bookmarkStart w:id="49" w:name="_Toc2102_WPSOffice_Level1"/>
      <w:bookmarkStart w:id="50" w:name="_Toc168800603"/>
      <w:r>
        <w:rPr>
          <w:rFonts w:hint="eastAsia" w:ascii="宋体" w:hAnsi="宋体" w:cs="宋体"/>
          <w:b/>
          <w:color w:val="auto"/>
          <w:kern w:val="0"/>
          <w:sz w:val="24"/>
          <w:highlight w:val="none"/>
        </w:rPr>
        <w:t>三、投标文件的编制</w:t>
      </w:r>
      <w:bookmarkEnd w:id="48"/>
      <w:bookmarkEnd w:id="49"/>
      <w:bookmarkEnd w:id="50"/>
    </w:p>
    <w:p w14:paraId="43EAF73D">
      <w:pPr>
        <w:snapToGrid w:val="0"/>
        <w:spacing w:line="360" w:lineRule="auto"/>
        <w:ind w:firstLine="480" w:firstLineChars="200"/>
        <w:rPr>
          <w:rFonts w:ascii="宋体" w:hAnsi="宋体" w:cs="宋体"/>
          <w:color w:val="auto"/>
          <w:kern w:val="0"/>
          <w:sz w:val="24"/>
          <w:highlight w:val="none"/>
        </w:rPr>
      </w:pPr>
      <w:bookmarkStart w:id="51" w:name="_Toc168800604"/>
      <w:r>
        <w:rPr>
          <w:rFonts w:hint="eastAsia" w:ascii="宋体" w:hAnsi="宋体" w:cs="宋体"/>
          <w:color w:val="auto"/>
          <w:kern w:val="0"/>
          <w:sz w:val="24"/>
          <w:highlight w:val="none"/>
        </w:rPr>
        <w:t>7. 投标的语言</w:t>
      </w:r>
      <w:bookmarkEnd w:id="51"/>
    </w:p>
    <w:p w14:paraId="27C79A9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投标人提交的投标文件以及投标人与采购人就有关投标的所有来往函电均应使用“投标人须知前附表”中规定的语言书写。投标人提交的支持文件的印制的文献可以用另一种语言，但相应内容须附有“投标人须知前附表”中规定语言的翻译本，在解释投标文件时以翻译本为准。</w:t>
      </w:r>
      <w:bookmarkStart w:id="52" w:name="_Toc168800605"/>
    </w:p>
    <w:p w14:paraId="3E4FAEC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 投标文件构成</w:t>
      </w:r>
      <w:bookmarkEnd w:id="52"/>
    </w:p>
    <w:p w14:paraId="0CDA875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 投标人编写的投标文件应包括下列部分：</w:t>
      </w:r>
    </w:p>
    <w:p w14:paraId="1BD07D8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8.1.1投标函；</w:t>
      </w:r>
    </w:p>
    <w:p w14:paraId="71045C3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8.1.2投标产品分项报价表；</w:t>
      </w:r>
    </w:p>
    <w:p w14:paraId="0C977CC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8.1.3产品说明一览表（包括详细配置、技术参数、性能说明、产品说明书、</w:t>
      </w:r>
      <w:r>
        <w:rPr>
          <w:rFonts w:hint="eastAsia" w:ascii="宋体" w:hAnsi="宋体" w:cs="宋体"/>
          <w:color w:val="auto"/>
          <w:kern w:val="0"/>
          <w:sz w:val="24"/>
          <w:highlight w:val="none"/>
          <w:lang w:eastAsia="zh-Hans"/>
        </w:rPr>
        <w:t>图片</w:t>
      </w:r>
      <w:r>
        <w:rPr>
          <w:rFonts w:hint="eastAsia" w:ascii="宋体" w:hAnsi="宋体" w:cs="宋体"/>
          <w:color w:val="auto"/>
          <w:kern w:val="0"/>
          <w:sz w:val="24"/>
          <w:highlight w:val="none"/>
        </w:rPr>
        <w:t>、产品检验报告等）；</w:t>
      </w:r>
    </w:p>
    <w:p w14:paraId="3EB89C8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8.1.4偏离表；</w:t>
      </w:r>
    </w:p>
    <w:p w14:paraId="0F25762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8.1.5投标人关于资格的声明函；</w:t>
      </w:r>
    </w:p>
    <w:p w14:paraId="57AA7A3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8.1.6</w:t>
      </w:r>
      <w:bookmarkStart w:id="53" w:name="_Toc168800606"/>
      <w:r>
        <w:rPr>
          <w:rFonts w:hint="eastAsia" w:ascii="宋体" w:hAnsi="宋体" w:cs="宋体"/>
          <w:color w:val="auto"/>
          <w:kern w:val="0"/>
          <w:sz w:val="24"/>
          <w:highlight w:val="none"/>
        </w:rPr>
        <w:t>法定代表人资格证明书；</w:t>
      </w:r>
    </w:p>
    <w:p w14:paraId="47B23BA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8.1.7法定代表人授权委托书；</w:t>
      </w:r>
    </w:p>
    <w:p w14:paraId="0550025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8.1.8资格证明文件；</w:t>
      </w:r>
    </w:p>
    <w:p w14:paraId="6EB59B87">
      <w:pPr>
        <w:pStyle w:val="45"/>
        <w:snapToGrid w:val="0"/>
        <w:spacing w:line="360" w:lineRule="auto"/>
        <w:ind w:firstLine="480"/>
        <w:rPr>
          <w:rFonts w:hint="eastAsia" w:hAnsi="宋体" w:cs="宋体"/>
          <w:color w:val="auto"/>
          <w:kern w:val="0"/>
          <w:sz w:val="24"/>
          <w:szCs w:val="24"/>
          <w:highlight w:val="none"/>
        </w:rPr>
      </w:pPr>
      <w:r>
        <w:rPr>
          <w:rFonts w:hint="eastAsia" w:ascii="宋体" w:hAnsi="宋体" w:cs="宋体"/>
          <w:color w:val="auto"/>
          <w:kern w:val="0"/>
          <w:sz w:val="24"/>
          <w:highlight w:val="none"/>
        </w:rPr>
        <w:t>8.1.9</w:t>
      </w:r>
      <w:r>
        <w:rPr>
          <w:rFonts w:hint="eastAsia" w:hAnsi="宋体" w:cs="宋体"/>
          <w:color w:val="auto"/>
          <w:kern w:val="0"/>
          <w:sz w:val="24"/>
          <w:szCs w:val="24"/>
          <w:highlight w:val="none"/>
        </w:rPr>
        <w:t>中小企业声明函、监狱企业证明、残疾人福利性单位声明函；</w:t>
      </w:r>
    </w:p>
    <w:p w14:paraId="3084FF20">
      <w:pPr>
        <w:pStyle w:val="45"/>
        <w:snapToGrid w:val="0"/>
        <w:spacing w:line="360" w:lineRule="auto"/>
        <w:ind w:firstLine="480"/>
        <w:rPr>
          <w:rFonts w:hint="eastAsia" w:hAnsi="宋体" w:cs="宋体"/>
          <w:color w:val="auto"/>
          <w:kern w:val="0"/>
          <w:sz w:val="24"/>
          <w:szCs w:val="24"/>
          <w:highlight w:val="none"/>
        </w:rPr>
      </w:pPr>
      <w:r>
        <w:rPr>
          <w:rFonts w:hint="eastAsia" w:ascii="宋体" w:hAnsi="宋体" w:cs="宋体"/>
          <w:color w:val="auto"/>
          <w:kern w:val="0"/>
          <w:sz w:val="24"/>
          <w:highlight w:val="none"/>
        </w:rPr>
        <w:t>8.1.</w:t>
      </w:r>
      <w:r>
        <w:rPr>
          <w:rFonts w:hint="eastAsia" w:hAnsi="宋体" w:cs="宋体"/>
          <w:color w:val="auto"/>
          <w:kern w:val="0"/>
          <w:sz w:val="24"/>
          <w:highlight w:val="none"/>
          <w:lang w:val="en-US" w:eastAsia="zh-CN"/>
        </w:rPr>
        <w:t>10</w:t>
      </w:r>
      <w:r>
        <w:rPr>
          <w:rFonts w:hint="eastAsia" w:ascii="宋体" w:hAnsi="宋体" w:cs="宋体"/>
          <w:color w:val="auto"/>
          <w:kern w:val="0"/>
          <w:sz w:val="24"/>
          <w:highlight w:val="none"/>
        </w:rPr>
        <w:t>关于符合本国产品标准的声明函</w:t>
      </w:r>
      <w:r>
        <w:rPr>
          <w:rFonts w:hint="eastAsia" w:hAnsi="宋体" w:cs="宋体"/>
          <w:color w:val="auto"/>
          <w:kern w:val="0"/>
          <w:sz w:val="24"/>
          <w:szCs w:val="24"/>
          <w:highlight w:val="none"/>
        </w:rPr>
        <w:t>；</w:t>
      </w:r>
    </w:p>
    <w:p w14:paraId="08304118">
      <w:pPr>
        <w:pStyle w:val="45"/>
        <w:snapToGrid w:val="0"/>
        <w:spacing w:line="360" w:lineRule="auto"/>
        <w:ind w:firstLine="480"/>
        <w:rPr>
          <w:rFonts w:hint="default" w:hAnsi="宋体" w:eastAsia="宋体" w:cs="宋体"/>
          <w:color w:val="auto"/>
          <w:kern w:val="0"/>
          <w:sz w:val="24"/>
          <w:szCs w:val="24"/>
          <w:highlight w:val="none"/>
          <w:lang w:val="en-US" w:eastAsia="zh-CN"/>
        </w:rPr>
      </w:pPr>
      <w:r>
        <w:rPr>
          <w:rFonts w:hint="eastAsia" w:hAnsi="宋体" w:cs="宋体"/>
          <w:color w:val="auto"/>
          <w:kern w:val="0"/>
          <w:sz w:val="24"/>
          <w:szCs w:val="24"/>
          <w:highlight w:val="none"/>
          <w:lang w:val="en-US" w:eastAsia="zh-CN"/>
        </w:rPr>
        <w:t>8.1.11</w:t>
      </w:r>
      <w:r>
        <w:rPr>
          <w:rFonts w:hint="eastAsia" w:ascii="宋体" w:hAnsi="宋体" w:cs="宋体"/>
          <w:color w:val="auto"/>
          <w:kern w:val="0"/>
          <w:sz w:val="24"/>
          <w:highlight w:val="none"/>
          <w:lang w:eastAsia="zh-CN"/>
        </w:rPr>
        <w:t>政府采购节能产品、环境标志产品声明函</w:t>
      </w:r>
      <w:r>
        <w:rPr>
          <w:rFonts w:hint="eastAsia" w:hAnsi="宋体" w:cs="宋体"/>
          <w:color w:val="auto"/>
          <w:kern w:val="0"/>
          <w:sz w:val="24"/>
          <w:highlight w:val="none"/>
          <w:lang w:eastAsia="zh-CN"/>
        </w:rPr>
        <w:t>；</w:t>
      </w:r>
    </w:p>
    <w:p w14:paraId="081A85B2">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2</w:t>
      </w:r>
      <w:r>
        <w:rPr>
          <w:rFonts w:hint="eastAsia" w:hAnsi="宋体" w:cs="宋体"/>
          <w:color w:val="auto"/>
          <w:kern w:val="0"/>
          <w:sz w:val="24"/>
          <w:szCs w:val="24"/>
          <w:highlight w:val="none"/>
        </w:rPr>
        <w:t>近三年（202</w:t>
      </w:r>
      <w:r>
        <w:rPr>
          <w:rFonts w:hint="eastAsia" w:hAnsi="宋体" w:cs="宋体"/>
          <w:color w:val="auto"/>
          <w:kern w:val="0"/>
          <w:sz w:val="24"/>
          <w:szCs w:val="24"/>
          <w:highlight w:val="none"/>
          <w:lang w:val="en-US" w:eastAsia="zh-CN"/>
        </w:rPr>
        <w:t>3</w:t>
      </w:r>
      <w:r>
        <w:rPr>
          <w:rFonts w:hint="eastAsia" w:hAnsi="宋体" w:cs="宋体"/>
          <w:color w:val="auto"/>
          <w:kern w:val="0"/>
          <w:sz w:val="24"/>
          <w:szCs w:val="24"/>
          <w:highlight w:val="none"/>
        </w:rPr>
        <w:t>年1月1日至投标文件递交截止时间）类似项目业绩；</w:t>
      </w:r>
    </w:p>
    <w:p w14:paraId="39BDC8C6">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3</w:t>
      </w:r>
      <w:r>
        <w:rPr>
          <w:rFonts w:hint="eastAsia" w:hAnsi="宋体" w:cs="宋体"/>
          <w:color w:val="auto"/>
          <w:kern w:val="0"/>
          <w:sz w:val="24"/>
          <w:szCs w:val="24"/>
          <w:highlight w:val="none"/>
        </w:rPr>
        <w:t>供货及安装实施方案；</w:t>
      </w:r>
    </w:p>
    <w:p w14:paraId="6AE5EBFA">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4</w:t>
      </w:r>
      <w:r>
        <w:rPr>
          <w:rFonts w:hint="eastAsia" w:hAnsi="宋体" w:cs="宋体"/>
          <w:color w:val="auto"/>
          <w:kern w:val="0"/>
          <w:sz w:val="24"/>
          <w:szCs w:val="24"/>
          <w:highlight w:val="none"/>
        </w:rPr>
        <w:t>售后服务方案及技术支持；</w:t>
      </w:r>
    </w:p>
    <w:p w14:paraId="014F60F1">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5</w:t>
      </w:r>
      <w:r>
        <w:rPr>
          <w:rFonts w:hint="eastAsia" w:hAnsi="宋体" w:cs="宋体"/>
          <w:color w:val="auto"/>
          <w:kern w:val="0"/>
          <w:sz w:val="24"/>
          <w:szCs w:val="24"/>
          <w:highlight w:val="none"/>
        </w:rPr>
        <w:t>技术培训方案</w:t>
      </w:r>
    </w:p>
    <w:p w14:paraId="257D5C98">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6</w:t>
      </w:r>
      <w:r>
        <w:rPr>
          <w:rFonts w:hint="eastAsia" w:hAnsi="宋体" w:cs="宋体"/>
          <w:color w:val="auto"/>
          <w:kern w:val="0"/>
          <w:sz w:val="24"/>
          <w:szCs w:val="24"/>
          <w:highlight w:val="none"/>
        </w:rPr>
        <w:t>投标人</w:t>
      </w:r>
      <w:r>
        <w:rPr>
          <w:rFonts w:hint="eastAsia" w:hAnsi="宋体" w:cs="宋体"/>
          <w:color w:val="auto"/>
          <w:kern w:val="0"/>
          <w:sz w:val="24"/>
          <w:szCs w:val="24"/>
          <w:highlight w:val="none"/>
          <w:lang w:eastAsia="zh-CN"/>
        </w:rPr>
        <w:t>认为</w:t>
      </w:r>
      <w:r>
        <w:rPr>
          <w:rFonts w:hint="eastAsia" w:hAnsi="宋体" w:cs="宋体"/>
          <w:color w:val="auto"/>
          <w:kern w:val="0"/>
          <w:sz w:val="24"/>
          <w:szCs w:val="24"/>
          <w:highlight w:val="none"/>
        </w:rPr>
        <w:t>需提交的其他文件；</w:t>
      </w:r>
    </w:p>
    <w:p w14:paraId="1836C640">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8.1.1</w:t>
      </w:r>
      <w:r>
        <w:rPr>
          <w:rFonts w:hint="eastAsia" w:hAnsi="宋体" w:cs="宋体"/>
          <w:color w:val="auto"/>
          <w:kern w:val="0"/>
          <w:sz w:val="24"/>
          <w:szCs w:val="24"/>
          <w:highlight w:val="none"/>
          <w:lang w:val="en-US" w:eastAsia="zh-CN"/>
        </w:rPr>
        <w:t>7</w:t>
      </w:r>
      <w:r>
        <w:rPr>
          <w:rFonts w:hint="eastAsia" w:hAnsi="宋体" w:cs="宋体"/>
          <w:color w:val="auto"/>
          <w:kern w:val="0"/>
          <w:sz w:val="24"/>
          <w:szCs w:val="24"/>
          <w:highlight w:val="none"/>
        </w:rPr>
        <w:t>投标人</w:t>
      </w:r>
      <w:r>
        <w:rPr>
          <w:rFonts w:hint="eastAsia" w:hAnsi="宋体" w:cs="宋体"/>
          <w:color w:val="auto"/>
          <w:kern w:val="0"/>
          <w:sz w:val="24"/>
          <w:szCs w:val="24"/>
          <w:highlight w:val="none"/>
          <w:lang w:eastAsia="zh-CN"/>
        </w:rPr>
        <w:t>认为</w:t>
      </w:r>
      <w:r>
        <w:rPr>
          <w:rFonts w:hint="eastAsia" w:hAnsi="宋体" w:cs="宋体"/>
          <w:color w:val="auto"/>
          <w:kern w:val="0"/>
          <w:sz w:val="24"/>
          <w:szCs w:val="24"/>
          <w:highlight w:val="none"/>
        </w:rPr>
        <w:t>需说明的其他问题。</w:t>
      </w:r>
    </w:p>
    <w:p w14:paraId="766CB7FD">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注：以上材料除“8.1.1</w:t>
      </w:r>
      <w:r>
        <w:rPr>
          <w:rFonts w:hint="eastAsia" w:hAnsi="宋体" w:cs="宋体"/>
          <w:color w:val="auto"/>
          <w:kern w:val="0"/>
          <w:sz w:val="24"/>
          <w:szCs w:val="24"/>
          <w:highlight w:val="none"/>
          <w:lang w:val="en-US" w:eastAsia="zh-CN"/>
        </w:rPr>
        <w:t>1</w:t>
      </w:r>
      <w:r>
        <w:rPr>
          <w:rFonts w:hint="eastAsia" w:hAnsi="宋体" w:cs="宋体"/>
          <w:color w:val="auto"/>
          <w:kern w:val="0"/>
          <w:sz w:val="24"/>
          <w:szCs w:val="24"/>
          <w:highlight w:val="none"/>
        </w:rPr>
        <w:t>至8.1.</w:t>
      </w:r>
      <w:r>
        <w:rPr>
          <w:rFonts w:hAnsi="宋体" w:cs="宋体"/>
          <w:color w:val="auto"/>
          <w:kern w:val="0"/>
          <w:sz w:val="24"/>
          <w:szCs w:val="24"/>
          <w:highlight w:val="none"/>
        </w:rPr>
        <w:t>1</w:t>
      </w:r>
      <w:r>
        <w:rPr>
          <w:rFonts w:hint="eastAsia" w:hAnsi="宋体" w:cs="宋体"/>
          <w:color w:val="auto"/>
          <w:kern w:val="0"/>
          <w:sz w:val="24"/>
          <w:szCs w:val="24"/>
          <w:highlight w:val="none"/>
          <w:lang w:val="en-US" w:eastAsia="zh-CN"/>
        </w:rPr>
        <w:t>7</w:t>
      </w:r>
      <w:r>
        <w:rPr>
          <w:rFonts w:hint="eastAsia" w:hAnsi="宋体" w:cs="宋体"/>
          <w:color w:val="auto"/>
          <w:kern w:val="0"/>
          <w:sz w:val="24"/>
          <w:szCs w:val="24"/>
          <w:highlight w:val="none"/>
        </w:rPr>
        <w:t>”外，缺少任意一项，投标文件为无效。</w:t>
      </w:r>
    </w:p>
    <w:p w14:paraId="23C08400">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9．投标函格式</w:t>
      </w:r>
      <w:bookmarkEnd w:id="53"/>
    </w:p>
    <w:p w14:paraId="48F6BAD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投标人应完整地填写招标文件中的投标函格式和投标报价表及其附件，说明所提供的货物和服务、简介、来源、数量及价格。</w:t>
      </w:r>
      <w:bookmarkStart w:id="54" w:name="_Toc168800607"/>
    </w:p>
    <w:p w14:paraId="263D64F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10. 投标报价</w:t>
      </w:r>
      <w:bookmarkEnd w:id="54"/>
      <w:r>
        <w:rPr>
          <w:rFonts w:hint="eastAsia" w:ascii="宋体" w:hAnsi="宋体" w:cs="宋体"/>
          <w:color w:val="auto"/>
          <w:kern w:val="0"/>
          <w:sz w:val="24"/>
          <w:highlight w:val="none"/>
        </w:rPr>
        <w:t>、投标货币</w:t>
      </w:r>
    </w:p>
    <w:p w14:paraId="480FE47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10.1 投标人应在适当的投标报价表上标明，本合同拟提供服务的单价(适用时)和总价。</w:t>
      </w:r>
    </w:p>
    <w:p w14:paraId="555938C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10.2 投标人所报的投标价在合同执行过程中是固定不变的，不得以任何理由予以变更。根据投标人须知的规定，以可调整的价格提交的投标文件将作为非投标性投标而予以拒绝。</w:t>
      </w:r>
    </w:p>
    <w:p w14:paraId="01F6BB6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10.3 所有投标应按“投标人须知前附表”中规定的货币报价。</w:t>
      </w:r>
      <w:bookmarkStart w:id="55" w:name="_Toc168800609"/>
    </w:p>
    <w:p w14:paraId="7680773E">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10.4 投标人对各种服务只允许有一个报价，采购人不接受任何有选择的报价。要求投标函有明确的投标报价（总价），有明确的</w:t>
      </w:r>
      <w:r>
        <w:rPr>
          <w:rFonts w:hint="eastAsia" w:hAnsi="宋体" w:cs="宋体"/>
          <w:color w:val="auto"/>
          <w:kern w:val="0"/>
          <w:sz w:val="24"/>
          <w:highlight w:val="none"/>
        </w:rPr>
        <w:t>项目完成期限</w:t>
      </w:r>
      <w:r>
        <w:rPr>
          <w:rFonts w:hint="eastAsia" w:hAnsi="宋体" w:cs="宋体"/>
          <w:color w:val="auto"/>
          <w:kern w:val="0"/>
          <w:sz w:val="24"/>
          <w:szCs w:val="24"/>
          <w:highlight w:val="none"/>
        </w:rPr>
        <w:t>，有明确的</w:t>
      </w:r>
      <w:r>
        <w:rPr>
          <w:rFonts w:hint="eastAsia" w:hAnsi="宋体" w:cs="宋体"/>
          <w:color w:val="auto"/>
          <w:kern w:val="0"/>
          <w:sz w:val="24"/>
          <w:highlight w:val="none"/>
        </w:rPr>
        <w:t>质保期</w:t>
      </w:r>
      <w:r>
        <w:rPr>
          <w:rFonts w:hint="eastAsia" w:hAnsi="宋体" w:cs="宋体"/>
          <w:color w:val="auto"/>
          <w:kern w:val="0"/>
          <w:sz w:val="24"/>
          <w:szCs w:val="24"/>
          <w:highlight w:val="none"/>
        </w:rPr>
        <w:t>。</w:t>
      </w:r>
    </w:p>
    <w:p w14:paraId="2C1B3B09">
      <w:pPr>
        <w:pStyle w:val="45"/>
        <w:snapToGrid w:val="0"/>
        <w:spacing w:line="360" w:lineRule="auto"/>
        <w:ind w:firstLine="480" w:firstLineChars="200"/>
        <w:rPr>
          <w:rFonts w:hAnsi="宋体" w:cs="宋体"/>
          <w:b/>
          <w:bCs/>
          <w:color w:val="auto"/>
          <w:kern w:val="0"/>
          <w:sz w:val="24"/>
          <w:szCs w:val="24"/>
          <w:highlight w:val="none"/>
        </w:rPr>
      </w:pPr>
      <w:r>
        <w:rPr>
          <w:rFonts w:hint="eastAsia" w:hAnsi="宋体" w:cs="宋体"/>
          <w:color w:val="auto"/>
          <w:kern w:val="0"/>
          <w:sz w:val="24"/>
          <w:szCs w:val="24"/>
          <w:highlight w:val="none"/>
        </w:rPr>
        <w:t>10.5本次投标报价为与项目有关的开发、设计、人员、税金、保险、培训、代理服务费等所有费用的报价。该报价应包括：全部货物和服务的人员费用、深化设计、设计审核、材料费、加工费、零配件购置费、现场监造费、出厂验收费、安装费、运输费、保险费、有关部门检测验收费、售后技术服务、必不可少的部件、标准备件、专用工具、踏勘费、及相关专业配合等费用。投标人还应充分考虑水、电及与本项目有关的其他一切费用，一并报入综合单价中，采购人不再支付除合同价款以外的任何费用。</w:t>
      </w:r>
    </w:p>
    <w:p w14:paraId="316D0FDD">
      <w:pPr>
        <w:pStyle w:val="45"/>
        <w:snapToGrid w:val="0"/>
        <w:spacing w:line="360" w:lineRule="auto"/>
        <w:ind w:firstLine="480"/>
        <w:rPr>
          <w:rFonts w:hAnsi="宋体" w:cs="宋体"/>
          <w:color w:val="auto"/>
          <w:kern w:val="0"/>
          <w:sz w:val="24"/>
          <w:highlight w:val="none"/>
        </w:rPr>
      </w:pPr>
      <w:r>
        <w:rPr>
          <w:rFonts w:hint="eastAsia" w:hAnsi="宋体" w:cs="宋体"/>
          <w:color w:val="auto"/>
          <w:kern w:val="0"/>
          <w:sz w:val="24"/>
          <w:highlight w:val="none"/>
        </w:rPr>
        <w:t>10.6本次招标的项目采用固定总价合同，合同总价在招标文件及合同约定的招标内容、及相应风险范围之内不可调整。</w:t>
      </w:r>
    </w:p>
    <w:p w14:paraId="6E1905FD">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10.7投标人在报价时应充分考虑本合同期内的各种风险,包括漏项风险、加工条件、原材料价格变动和各种税费等风险，在合同执行期间其货物价格不再实行政策性调整和变动。</w:t>
      </w:r>
    </w:p>
    <w:p w14:paraId="74027EC7">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10.8 投标人在投标文件递交开标后，投标人不得调整、修改报价。</w:t>
      </w:r>
    </w:p>
    <w:p w14:paraId="04D0FAB8">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10.9 投标人的分项报价表反映出货物（服务）单价、数量、合价、产地及供货商等内容。</w:t>
      </w:r>
    </w:p>
    <w:p w14:paraId="3952F9CF">
      <w:pPr>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11. 投标保证金</w:t>
      </w:r>
      <w:r>
        <w:rPr>
          <w:rFonts w:hint="eastAsia" w:ascii="宋体" w:hAnsi="宋体" w:cs="宋体"/>
          <w:color w:val="auto"/>
          <w:kern w:val="0"/>
          <w:sz w:val="24"/>
          <w:highlight w:val="none"/>
          <w:lang w:eastAsia="zh-CN"/>
        </w:rPr>
        <w:t>：本项目不收取投标保证金。</w:t>
      </w:r>
    </w:p>
    <w:p w14:paraId="48138E3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12. 证明投标人资格的文件</w:t>
      </w:r>
      <w:bookmarkEnd w:id="55"/>
    </w:p>
    <w:p w14:paraId="068856B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12.1 按照规定，投标人应提交证明其有资格参加投标和中标后有能力履行合同的文件，并作为其投标文件的组成部分。</w:t>
      </w:r>
    </w:p>
    <w:p w14:paraId="6C8440C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12.2开标结束后，采购人或采购代理机构对投标人的资格进行审查。</w:t>
      </w:r>
    </w:p>
    <w:p w14:paraId="74CBABF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12.3投标人应按要求填写并提交招标文件上所附的“资格证明文件”。</w:t>
      </w:r>
      <w:bookmarkStart w:id="56" w:name="_Toc168800610"/>
    </w:p>
    <w:p w14:paraId="65F9A19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 证明货物和服务的合格性</w:t>
      </w:r>
      <w:bookmarkEnd w:id="56"/>
    </w:p>
    <w:p w14:paraId="75AA518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13.1按照规定，投标人应提交证明其拟供的合同项下的货物和服务的合格性符合招标文件规定的文件，并作为其投标文件的一部分。</w:t>
      </w:r>
    </w:p>
    <w:p w14:paraId="095E2D7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13.2货物和服务合格性的证明文件应包括投标报价表中对货物和服务来源地的说明，并由装运货物时出具的原产地证书证实。</w:t>
      </w:r>
    </w:p>
    <w:p w14:paraId="3A7C2B7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13.3 证明货物和服务与招标文件的要求相一致的文件，它可以是文字资料、图纸和数据，包括： </w:t>
      </w:r>
    </w:p>
    <w:p w14:paraId="07DC517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13.3.1货物和服务主要技术指标和性能的详细说明。</w:t>
      </w:r>
    </w:p>
    <w:p w14:paraId="5E9813E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13.3.2应提供货物和服务从买方开始使用至“投标文件”中规定的期间正常、连续地使用所需的完整和备件和特种工具等清单，包括备件和特种工具的货源程序及现行价格。</w:t>
      </w:r>
    </w:p>
    <w:p w14:paraId="591ABB6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13.3.3逐条对买方要求的技术规格进行评议，说明所提供货物和服务已对买方的技术规格做出了实质性的投标；或说明与技术规格条文的偏差和例外。</w:t>
      </w:r>
    </w:p>
    <w:p w14:paraId="64FA150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13.4 投标人在阐述上述13.3.3时应注意：买方在技术规格中指出的工艺、材料和货物的标准以及参照的牌号或分类号仅起说明作用，并不具任何限制性，投标人在投标中可能选取替代标准，牌号或分类号，但这些替代要实质上相当于技术规格的要求，并且使买方满意。</w:t>
      </w:r>
    </w:p>
    <w:p w14:paraId="7EF2BA5B">
      <w:pPr>
        <w:snapToGrid w:val="0"/>
        <w:spacing w:line="360" w:lineRule="auto"/>
        <w:ind w:firstLine="480" w:firstLineChars="200"/>
        <w:rPr>
          <w:rFonts w:ascii="宋体" w:hAnsi="宋体" w:cs="宋体"/>
          <w:color w:val="auto"/>
          <w:kern w:val="0"/>
          <w:sz w:val="24"/>
          <w:highlight w:val="none"/>
        </w:rPr>
      </w:pPr>
      <w:bookmarkStart w:id="57" w:name="_Toc168800612"/>
      <w:r>
        <w:rPr>
          <w:rFonts w:hint="eastAsia" w:ascii="宋体" w:hAnsi="宋体" w:cs="宋体"/>
          <w:color w:val="auto"/>
          <w:kern w:val="0"/>
          <w:sz w:val="24"/>
          <w:highlight w:val="none"/>
        </w:rPr>
        <w:t>14. 投标有效期</w:t>
      </w:r>
      <w:bookmarkEnd w:id="57"/>
    </w:p>
    <w:p w14:paraId="5478F67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14.1所有投标应从规定的开标之日起，在“投标人须知前附表”所规定的以日历日计算的投标有效期内有效。</w:t>
      </w:r>
    </w:p>
    <w:p w14:paraId="1D11F33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14.2在特殊情况下，在原投标有效期期满之前，采购人可征得投标人同意延长投标有效期。这种要求与答复均应以信函、电子邮件形式等进行。投标人可以拒绝采购人的这种要求，同意延长的投标人不允许修改其投标文件。</w:t>
      </w:r>
      <w:bookmarkStart w:id="58" w:name="_Toc168800613"/>
    </w:p>
    <w:p w14:paraId="2E53C54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 投标文件的式样和签署</w:t>
      </w:r>
      <w:bookmarkEnd w:id="58"/>
    </w:p>
    <w:p w14:paraId="5AADCD5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15.1投标人按“投标人须知前附表”规定的数目递交投标文件，每套投标文件须清楚地标明“正本”或“副本”。一旦正本和副本不符，以正本为准。</w:t>
      </w:r>
    </w:p>
    <w:p w14:paraId="19F2BB4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15.2投标文件的正本和所有的副本均需打印并由投标人法定代表人或法人授权代表签字或盖章。授权代表须将以书面形式出具的“授权委托书”附在投标文件中。</w:t>
      </w:r>
    </w:p>
    <w:p w14:paraId="379575D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15.3除投标人对错处做必要修改外，投标文件不得行间插字，涂改和增删，如有修改错漏处，必须由投标人法定代表人或其授权代表签字或盖章。</w:t>
      </w:r>
    </w:p>
    <w:p w14:paraId="30299393">
      <w:pPr>
        <w:numPr>
          <w:ilvl w:val="0"/>
          <w:numId w:val="3"/>
        </w:numPr>
        <w:snapToGrid w:val="0"/>
        <w:spacing w:line="360" w:lineRule="auto"/>
        <w:ind w:firstLine="482"/>
        <w:jc w:val="center"/>
        <w:rPr>
          <w:rFonts w:ascii="宋体" w:hAnsi="宋体" w:cs="宋体"/>
          <w:b/>
          <w:color w:val="auto"/>
          <w:kern w:val="0"/>
          <w:sz w:val="24"/>
          <w:highlight w:val="none"/>
        </w:rPr>
      </w:pPr>
      <w:bookmarkStart w:id="59" w:name="_Toc3611_WPSOffice_Level3"/>
      <w:bookmarkStart w:id="60" w:name="_Toc14848_WPSOffice_Level1"/>
      <w:bookmarkStart w:id="61" w:name="_Toc168800614"/>
      <w:r>
        <w:rPr>
          <w:rFonts w:hint="eastAsia" w:ascii="宋体" w:hAnsi="宋体" w:cs="宋体"/>
          <w:b/>
          <w:color w:val="auto"/>
          <w:kern w:val="0"/>
          <w:sz w:val="24"/>
          <w:highlight w:val="none"/>
        </w:rPr>
        <w:t>投标文件的递交</w:t>
      </w:r>
      <w:bookmarkEnd w:id="59"/>
      <w:bookmarkEnd w:id="60"/>
      <w:bookmarkEnd w:id="61"/>
    </w:p>
    <w:p w14:paraId="00A1343F">
      <w:pPr>
        <w:snapToGrid w:val="0"/>
        <w:spacing w:line="360" w:lineRule="auto"/>
        <w:ind w:firstLine="480" w:firstLineChars="200"/>
        <w:rPr>
          <w:rFonts w:ascii="宋体" w:hAnsi="宋体" w:cs="宋体"/>
          <w:color w:val="auto"/>
          <w:kern w:val="0"/>
          <w:sz w:val="24"/>
          <w:highlight w:val="none"/>
        </w:rPr>
      </w:pPr>
      <w:bookmarkStart w:id="62" w:name="_Toc168800615"/>
      <w:r>
        <w:rPr>
          <w:rFonts w:hint="eastAsia" w:ascii="宋体" w:hAnsi="宋体" w:cs="宋体"/>
          <w:color w:val="auto"/>
          <w:kern w:val="0"/>
          <w:sz w:val="24"/>
          <w:highlight w:val="none"/>
        </w:rPr>
        <w:t>16. 投标文件的密封和标记</w:t>
      </w:r>
      <w:bookmarkEnd w:id="62"/>
    </w:p>
    <w:p w14:paraId="13E0521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16.1 投标文件须按以下方法装袋密封：</w:t>
      </w:r>
    </w:p>
    <w:p w14:paraId="552541A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投标文件密封袋内装投标文件正、副本及电子版文件。封口处应有投标人法定代表人或是其授权代表的签字及投标人的公章。封皮上写明项目名称、投标人名称，并注明“xx年x月x日x时前不得开启”字样。</w:t>
      </w:r>
    </w:p>
    <w:p w14:paraId="0471E64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16.2如果投标文件未按要求密封和加写标记，采购人对误投或过早启封概不负责。对由此造成提前开封的投标文件，采购人将予以拒绝，并退回投标人。</w:t>
      </w:r>
    </w:p>
    <w:p w14:paraId="7DEA7510">
      <w:pPr>
        <w:snapToGrid w:val="0"/>
        <w:spacing w:line="360" w:lineRule="auto"/>
        <w:ind w:firstLine="480" w:firstLineChars="200"/>
        <w:rPr>
          <w:rFonts w:ascii="宋体" w:hAnsi="宋体" w:cs="宋体"/>
          <w:color w:val="auto"/>
          <w:kern w:val="0"/>
          <w:sz w:val="24"/>
          <w:highlight w:val="none"/>
        </w:rPr>
      </w:pPr>
      <w:bookmarkStart w:id="63" w:name="_Toc168800616"/>
      <w:r>
        <w:rPr>
          <w:rFonts w:hint="eastAsia" w:ascii="宋体" w:hAnsi="宋体" w:cs="宋体"/>
          <w:color w:val="auto"/>
          <w:kern w:val="0"/>
          <w:sz w:val="24"/>
          <w:highlight w:val="none"/>
        </w:rPr>
        <w:t>17. 投标截止</w:t>
      </w:r>
      <w:bookmarkEnd w:id="63"/>
      <w:r>
        <w:rPr>
          <w:rFonts w:hint="eastAsia" w:ascii="宋体" w:hAnsi="宋体" w:cs="宋体"/>
          <w:color w:val="auto"/>
          <w:kern w:val="0"/>
          <w:sz w:val="24"/>
          <w:highlight w:val="none"/>
        </w:rPr>
        <w:t>时间</w:t>
      </w:r>
    </w:p>
    <w:p w14:paraId="4AADF14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17.1 投标人应在“投标人须知前附表”规定的投标截止时间前送达投标文件，投标截止时间后送达的投标文件将被拒绝。</w:t>
      </w:r>
    </w:p>
    <w:p w14:paraId="73FF57D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17.2采购人可以按规定通过修改招标文件而酌情延长投标截止时间。在此情况下，采购人和投标人受投标截止时间制约的所有权利和义务均应延长至新的投标截止时间。</w:t>
      </w:r>
      <w:bookmarkStart w:id="64" w:name="_Toc168800617"/>
    </w:p>
    <w:p w14:paraId="45FFE1D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18. 迟交的投标文件</w:t>
      </w:r>
      <w:bookmarkEnd w:id="64"/>
    </w:p>
    <w:p w14:paraId="26B4AC3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采购人将拒绝投标截止时间后送达的投标文件。</w:t>
      </w:r>
      <w:bookmarkStart w:id="65" w:name="_Toc168800618"/>
    </w:p>
    <w:p w14:paraId="69560BF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 投标文件的修改和撤回</w:t>
      </w:r>
      <w:bookmarkEnd w:id="65"/>
    </w:p>
    <w:p w14:paraId="24A9A88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19.1截止时间前，投标人可以修改或撤回其投标文件，但必须以书面形式通知采购人。</w:t>
      </w:r>
    </w:p>
    <w:p w14:paraId="4ECDEB1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19.2投标人的修改或撤回通知书应按规定编制、密封、标记和发送，并应在封套上加注“修改”或“撤回”字样。</w:t>
      </w:r>
    </w:p>
    <w:p w14:paraId="6772C34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 在投标截止时间之后，投标人不得对其投标文件做任何修改。</w:t>
      </w:r>
    </w:p>
    <w:p w14:paraId="2219EF86">
      <w:pPr>
        <w:adjustRightInd w:val="0"/>
        <w:snapToGrid w:val="0"/>
        <w:spacing w:line="360" w:lineRule="auto"/>
        <w:ind w:firstLine="482"/>
        <w:jc w:val="center"/>
        <w:rPr>
          <w:rFonts w:ascii="宋体" w:hAnsi="宋体" w:cs="宋体"/>
          <w:b/>
          <w:color w:val="auto"/>
          <w:kern w:val="0"/>
          <w:sz w:val="24"/>
          <w:highlight w:val="none"/>
        </w:rPr>
      </w:pPr>
      <w:bookmarkStart w:id="66" w:name="_Toc17585_WPSOffice_Level1"/>
      <w:bookmarkStart w:id="67" w:name="_Toc168800619"/>
      <w:bookmarkStart w:id="68" w:name="_Toc27283_WPSOffice_Level3"/>
      <w:r>
        <w:rPr>
          <w:rFonts w:hint="eastAsia" w:ascii="宋体" w:hAnsi="宋体" w:cs="宋体"/>
          <w:b/>
          <w:color w:val="auto"/>
          <w:kern w:val="0"/>
          <w:sz w:val="24"/>
          <w:highlight w:val="none"/>
        </w:rPr>
        <w:t>五、开标与评标</w:t>
      </w:r>
      <w:bookmarkEnd w:id="66"/>
      <w:bookmarkEnd w:id="67"/>
      <w:bookmarkEnd w:id="68"/>
    </w:p>
    <w:p w14:paraId="046E8518">
      <w:pPr>
        <w:snapToGrid w:val="0"/>
        <w:spacing w:line="360" w:lineRule="auto"/>
        <w:ind w:firstLine="480" w:firstLineChars="200"/>
        <w:rPr>
          <w:rFonts w:ascii="宋体" w:hAnsi="宋体" w:cs="宋体"/>
          <w:color w:val="auto"/>
          <w:kern w:val="0"/>
          <w:sz w:val="24"/>
          <w:highlight w:val="none"/>
        </w:rPr>
      </w:pPr>
      <w:bookmarkStart w:id="69" w:name="_Toc168800620"/>
      <w:r>
        <w:rPr>
          <w:rFonts w:hint="eastAsia" w:ascii="宋体" w:hAnsi="宋体" w:cs="宋体"/>
          <w:color w:val="auto"/>
          <w:kern w:val="0"/>
          <w:sz w:val="24"/>
          <w:highlight w:val="none"/>
        </w:rPr>
        <w:t>20. 开标</w:t>
      </w:r>
      <w:bookmarkEnd w:id="69"/>
    </w:p>
    <w:p w14:paraId="648E51B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20.1开标在招标文件确定的提交投标文件截止时间的同一时间进行。采购人或者采购代理机构将在“投标人须知前附表”规定的时间和地点组织开标。</w:t>
      </w:r>
    </w:p>
    <w:p w14:paraId="68E5573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20.2按照规定，提交了可接受的“撤回”通知的投标文件将不予开封。</w:t>
      </w:r>
    </w:p>
    <w:p w14:paraId="126554B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20.3开标由采购人或者采购代理机构主持，邀请投标人参加。评标委员会成员不得参加开标活动。</w:t>
      </w:r>
    </w:p>
    <w:p w14:paraId="3DDD6DB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20.4开标时，应当由投标人或者其推选的代表检查投标文件的密封情况；经确认无误后，由采购人或者采购代理机构工作人员当众拆封，宣布投标人名称、投标价格和招标文件规定的需要宣布的其他内容。</w:t>
      </w:r>
    </w:p>
    <w:p w14:paraId="441C64D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20.5投标人不足3家的，不得开标。</w:t>
      </w:r>
    </w:p>
    <w:p w14:paraId="7F64710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20.6开标过程应当由采购人或者采购代理机构负责记录，由参加开标的各投标人代表和相关工作人员签字确认。</w:t>
      </w:r>
    </w:p>
    <w:p w14:paraId="61789BC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35C241D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20.8投标人未参加开标的，视同认可开标结果。</w:t>
      </w:r>
    </w:p>
    <w:p w14:paraId="75DEB6E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20.9投标文件有下列情况之一的，投标文件无效，采购人或者采购代理机构予以退回：</w:t>
      </w:r>
    </w:p>
    <w:p w14:paraId="44A9F3F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20.9.1</w:t>
      </w:r>
      <w:r>
        <w:rPr>
          <w:rFonts w:hint="eastAsia" w:ascii="宋体" w:hAnsi="宋体" w:cs="宋体"/>
          <w:color w:val="auto"/>
          <w:kern w:val="0"/>
          <w:sz w:val="24"/>
          <w:highlight w:val="none"/>
        </w:rPr>
        <w:tab/>
      </w:r>
      <w:r>
        <w:rPr>
          <w:rFonts w:hint="eastAsia" w:ascii="宋体" w:hAnsi="宋体" w:cs="宋体"/>
          <w:color w:val="auto"/>
          <w:kern w:val="0"/>
          <w:sz w:val="24"/>
          <w:highlight w:val="none"/>
        </w:rPr>
        <w:t>投标文件未按照招标文件的要求予以密封。</w:t>
      </w:r>
    </w:p>
    <w:p w14:paraId="04DE86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20.9.2 投标文件未能于投标截止时间之前递交至指定地点及指定接收人。</w:t>
      </w:r>
    </w:p>
    <w:p w14:paraId="0E1CC16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20.10开标后采购人或采购代理机构对投标人的资格进行审查。合格投标人不足3家的，不得评标。</w:t>
      </w:r>
      <w:bookmarkStart w:id="70" w:name="_Toc168800621"/>
    </w:p>
    <w:p w14:paraId="501DC89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 评标委员会的组成</w:t>
      </w:r>
      <w:bookmarkEnd w:id="70"/>
    </w:p>
    <w:p w14:paraId="386795D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21.1评标委员会负责具体评标事务，并独立履行下列职责：</w:t>
      </w:r>
    </w:p>
    <w:p w14:paraId="0E025D5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（一）审查、评价投标文件是否符合招标文件的商务、技术等实质性要求。</w:t>
      </w:r>
    </w:p>
    <w:p w14:paraId="0ACD44B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（二）要求投标人对投标文件有关事项作出澄清或者说明。</w:t>
      </w:r>
    </w:p>
    <w:p w14:paraId="1F09B28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（三）对投标文件进行比较和评价。</w:t>
      </w:r>
    </w:p>
    <w:p w14:paraId="141A7C1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（四）确定中标候选人名单，以及根据采购人委托直接确定中标人。</w:t>
      </w:r>
    </w:p>
    <w:p w14:paraId="362DAB6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（五）向采购人、采购代理机构或者有关部门报告评标中发现的违法行为。</w:t>
      </w:r>
    </w:p>
    <w:p w14:paraId="2BD857D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21.2评标委员会由采购人代表和评审专家组成，成员人数应当为</w:t>
      </w:r>
      <w:r>
        <w:rPr>
          <w:rFonts w:ascii="宋体" w:hAnsi="宋体" w:cs="宋体"/>
          <w:color w:val="auto"/>
          <w:kern w:val="0"/>
          <w:sz w:val="24"/>
          <w:highlight w:val="none"/>
        </w:rPr>
        <w:t>5</w:t>
      </w:r>
      <w:r>
        <w:rPr>
          <w:rFonts w:hint="eastAsia" w:ascii="宋体" w:hAnsi="宋体" w:cs="宋体"/>
          <w:color w:val="auto"/>
          <w:kern w:val="0"/>
          <w:sz w:val="24"/>
          <w:highlight w:val="none"/>
        </w:rPr>
        <w:t>人以上单数，其中评审专家不得少于成员总数的三分之二。</w:t>
      </w:r>
    </w:p>
    <w:p w14:paraId="2AB933E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21.3评标委员会成员名单在评标结果公告前应当保密。</w:t>
      </w:r>
    </w:p>
    <w:p w14:paraId="4683B48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21.4采购人或者采购代理机构应当从省级以上财政部门设立的政府采购评审专家库中，通过随机方式抽取评审专家。对技术复杂、专业性强的采购项目，通过随机方式难以确定合适评审专家的，经主管预算单位同意，采购人可以自行选定相应专业领域的评审专家。</w:t>
      </w:r>
    </w:p>
    <w:p w14:paraId="76A10B0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21.5与投标人有利害关系的人不得进入评标委员会。</w:t>
      </w:r>
      <w:bookmarkStart w:id="71" w:name="_Toc168800622"/>
    </w:p>
    <w:p w14:paraId="03C19F5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22.评标过程的保密性</w:t>
      </w:r>
      <w:bookmarkEnd w:id="71"/>
    </w:p>
    <w:p w14:paraId="58A8623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22.1开标后，直至向中标的投标人授予合同时止，凡与审查、澄清、评价和比较投标的有关资料以及授标意见等，均不得向投标人及与评标无关的其他人透露。</w:t>
      </w:r>
    </w:p>
    <w:p w14:paraId="16302CE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22.2在评标过程中，如果投标人试图在投标文件审查、澄清、比较及授予合同方面向采购人施加任何影响，其投标将被拒绝。</w:t>
      </w:r>
      <w:bookmarkStart w:id="72" w:name="_Toc168800623"/>
    </w:p>
    <w:p w14:paraId="7F9BBDA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23. 投标文件的澄清</w:t>
      </w:r>
      <w:bookmarkEnd w:id="72"/>
    </w:p>
    <w:p w14:paraId="031C7B3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为有助于对投标文件的审查、评价和比较，评标委员会可要求投标人对其投标文件进行澄清，有关澄清的要求和答复应以书面形式提交，但不得寻求或允许对投标价格或实质性内容做任何更改。</w:t>
      </w:r>
      <w:bookmarkStart w:id="73" w:name="_Toc168800624"/>
    </w:p>
    <w:p w14:paraId="14C711D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 投标文件的</w:t>
      </w:r>
      <w:bookmarkEnd w:id="73"/>
      <w:r>
        <w:rPr>
          <w:rFonts w:hint="eastAsia" w:ascii="宋体" w:hAnsi="宋体" w:cs="宋体"/>
          <w:color w:val="auto"/>
          <w:kern w:val="0"/>
          <w:sz w:val="24"/>
          <w:highlight w:val="none"/>
        </w:rPr>
        <w:t>审查</w:t>
      </w:r>
    </w:p>
    <w:p w14:paraId="10497C6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24.1开标后，采购人或采购代理机构对所有投标人进行资格审查，资格审查不合格的投标人不得进入评审环节。</w:t>
      </w:r>
    </w:p>
    <w:p w14:paraId="0A3F88A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24.2在资格审查后，评标委员会将对通过资格审查的投标人进行符合性评审。</w:t>
      </w:r>
    </w:p>
    <w:p w14:paraId="6C68BBE3">
      <w:pPr>
        <w:snapToGrid w:val="0"/>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24.3投标文件有下列情形之一的视为符合性评审不合格：</w:t>
      </w:r>
    </w:p>
    <w:p w14:paraId="68FDA23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24.3.2</w:t>
      </w:r>
      <w:r>
        <w:rPr>
          <w:rFonts w:hint="eastAsia" w:ascii="宋体" w:hAnsi="宋体" w:cs="宋体"/>
          <w:b/>
          <w:bCs/>
          <w:color w:val="auto"/>
          <w:kern w:val="0"/>
          <w:sz w:val="24"/>
          <w:highlight w:val="none"/>
          <w:lang w:val="en-US" w:eastAsia="zh-CN"/>
        </w:rPr>
        <w:t>1</w:t>
      </w:r>
      <w:r>
        <w:rPr>
          <w:rFonts w:hint="eastAsia" w:ascii="宋体" w:hAnsi="宋体" w:cs="宋体"/>
          <w:b/>
          <w:bCs/>
          <w:color w:val="auto"/>
          <w:kern w:val="0"/>
          <w:sz w:val="24"/>
          <w:highlight w:val="none"/>
        </w:rPr>
        <w:t>投标文件中的投标函未加盖投标人公章或法定代表人（或委托代理人）印章（或签字）或投标函件内容不全的。</w:t>
      </w:r>
    </w:p>
    <w:p w14:paraId="06FDE335">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2</w:t>
      </w:r>
      <w:r>
        <w:rPr>
          <w:rFonts w:hint="eastAsia" w:ascii="宋体" w:hAnsi="宋体" w:cs="宋体"/>
          <w:b/>
          <w:bCs/>
          <w:color w:val="auto"/>
          <w:kern w:val="0"/>
          <w:sz w:val="24"/>
          <w:highlight w:val="none"/>
        </w:rPr>
        <w:t>法定代表人委托代理人没有合法、有效的委托书原件。</w:t>
      </w:r>
    </w:p>
    <w:p w14:paraId="44E0E3EE">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3</w:t>
      </w:r>
      <w:r>
        <w:rPr>
          <w:rFonts w:hint="eastAsia" w:ascii="宋体" w:hAnsi="宋体" w:cs="宋体"/>
          <w:b/>
          <w:bCs/>
          <w:color w:val="auto"/>
          <w:kern w:val="0"/>
          <w:sz w:val="24"/>
          <w:highlight w:val="none"/>
        </w:rPr>
        <w:t>投标文件未按规定格式填写，或内容不全、关键字迹模糊无法辨认或投标文件正、副本数量不符合招标文件要求的。</w:t>
      </w:r>
    </w:p>
    <w:p w14:paraId="7B3E08F8">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4</w:t>
      </w:r>
      <w:r>
        <w:rPr>
          <w:rFonts w:hint="eastAsia" w:ascii="宋体" w:hAnsi="宋体" w:cs="宋体"/>
          <w:b/>
          <w:bCs/>
          <w:color w:val="auto"/>
          <w:kern w:val="0"/>
          <w:sz w:val="24"/>
          <w:highlight w:val="none"/>
        </w:rPr>
        <w:t>投标人递交两份或多份内容不同的投标文件，或在一份投标文件中对同一项报有两个或多个报价，且未声明哪一个有效的（按招标文件规定提交备选方案的除外）。</w:t>
      </w:r>
    </w:p>
    <w:p w14:paraId="4F1DEAA3">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5</w:t>
      </w:r>
      <w:r>
        <w:rPr>
          <w:rFonts w:hint="eastAsia" w:ascii="宋体" w:hAnsi="宋体" w:cs="宋体"/>
          <w:b/>
          <w:bCs/>
          <w:color w:val="auto"/>
          <w:kern w:val="0"/>
          <w:sz w:val="24"/>
          <w:highlight w:val="none"/>
        </w:rPr>
        <w:tab/>
      </w:r>
      <w:r>
        <w:rPr>
          <w:rFonts w:hint="eastAsia" w:ascii="宋体" w:hAnsi="宋体" w:cs="宋体"/>
          <w:b/>
          <w:bCs/>
          <w:color w:val="auto"/>
          <w:kern w:val="0"/>
          <w:sz w:val="24"/>
          <w:highlight w:val="none"/>
        </w:rPr>
        <w:t>投标报价超出项目预算或最高限价</w:t>
      </w:r>
      <w:r>
        <w:rPr>
          <w:rFonts w:hint="eastAsia" w:ascii="宋体" w:hAnsi="宋体" w:cs="宋体"/>
          <w:b/>
          <w:bCs/>
          <w:color w:val="auto"/>
          <w:kern w:val="0"/>
          <w:sz w:val="24"/>
          <w:highlight w:val="none"/>
          <w:lang w:eastAsia="zh-CN"/>
        </w:rPr>
        <w:t>或单价限价</w:t>
      </w:r>
      <w:r>
        <w:rPr>
          <w:rFonts w:hint="eastAsia" w:ascii="宋体" w:hAnsi="宋体" w:cs="宋体"/>
          <w:b/>
          <w:bCs/>
          <w:color w:val="auto"/>
          <w:kern w:val="0"/>
          <w:sz w:val="24"/>
          <w:highlight w:val="none"/>
        </w:rPr>
        <w:t>的。</w:t>
      </w:r>
    </w:p>
    <w:p w14:paraId="066C690C">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6</w:t>
      </w:r>
      <w:r>
        <w:rPr>
          <w:rFonts w:hint="eastAsia" w:ascii="宋体" w:hAnsi="宋体" w:cs="宋体"/>
          <w:b/>
          <w:bCs/>
          <w:color w:val="auto"/>
          <w:kern w:val="0"/>
          <w:sz w:val="24"/>
          <w:highlight w:val="none"/>
        </w:rPr>
        <w:t>“★”条款负偏离，不满足采购人技术要求。</w:t>
      </w:r>
    </w:p>
    <w:p w14:paraId="6D984EBD">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7</w:t>
      </w:r>
      <w:r>
        <w:rPr>
          <w:rFonts w:hint="eastAsia" w:ascii="宋体" w:hAnsi="宋体" w:cs="宋体"/>
          <w:b/>
          <w:bCs/>
          <w:color w:val="auto"/>
          <w:kern w:val="0"/>
          <w:sz w:val="24"/>
          <w:highlight w:val="none"/>
        </w:rPr>
        <w:t>投标有效期不满足招标文件要求的。</w:t>
      </w:r>
    </w:p>
    <w:p w14:paraId="184311F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8</w:t>
      </w:r>
      <w:r>
        <w:rPr>
          <w:rFonts w:hint="eastAsia" w:ascii="宋体" w:hAnsi="宋体" w:cs="宋体"/>
          <w:b/>
          <w:bCs/>
          <w:color w:val="auto"/>
          <w:kern w:val="0"/>
          <w:sz w:val="24"/>
          <w:highlight w:val="none"/>
        </w:rPr>
        <w:t>投标文件附有采购人不能接受的条件，或者对合同中约定的采购人的权利和投标人的义务方面造成重大限制的。</w:t>
      </w:r>
    </w:p>
    <w:p w14:paraId="4B65B611">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24.3.</w:t>
      </w:r>
      <w:r>
        <w:rPr>
          <w:rFonts w:hint="eastAsia" w:ascii="宋体" w:hAnsi="宋体" w:cs="宋体"/>
          <w:b/>
          <w:bCs/>
          <w:color w:val="auto"/>
          <w:kern w:val="0"/>
          <w:sz w:val="24"/>
          <w:highlight w:val="none"/>
          <w:lang w:val="en-US" w:eastAsia="zh-CN"/>
        </w:rPr>
        <w:t>9</w:t>
      </w:r>
      <w:r>
        <w:rPr>
          <w:rFonts w:hint="eastAsia" w:ascii="宋体" w:hAnsi="宋体" w:cs="宋体"/>
          <w:b/>
          <w:bCs/>
          <w:color w:val="auto"/>
          <w:kern w:val="0"/>
          <w:sz w:val="24"/>
          <w:highlight w:val="none"/>
        </w:rPr>
        <w:t>投标人投标文件中供货期、质保期不满足招标文件要求，偏离表内容不齐全。</w:t>
      </w:r>
    </w:p>
    <w:p w14:paraId="1D8EBE23">
      <w:pPr>
        <w:snapToGrid w:val="0"/>
        <w:spacing w:line="360" w:lineRule="auto"/>
        <w:ind w:firstLine="482" w:firstLineChars="200"/>
        <w:rPr>
          <w:rFonts w:ascii="宋体" w:hAnsi="宋体" w:cs="宋体"/>
          <w:color w:val="auto"/>
          <w:kern w:val="0"/>
          <w:sz w:val="24"/>
          <w:highlight w:val="none"/>
        </w:rPr>
      </w:pPr>
      <w:r>
        <w:rPr>
          <w:rFonts w:hint="eastAsia" w:ascii="宋体" w:hAnsi="宋体" w:cs="宋体"/>
          <w:b/>
          <w:bCs/>
          <w:color w:val="auto"/>
          <w:kern w:val="0"/>
          <w:sz w:val="24"/>
          <w:highlight w:val="none"/>
        </w:rPr>
        <w:t>24.3.1</w:t>
      </w:r>
      <w:r>
        <w:rPr>
          <w:rFonts w:hint="eastAsia" w:ascii="宋体" w:hAnsi="宋体" w:cs="宋体"/>
          <w:b/>
          <w:bCs/>
          <w:color w:val="auto"/>
          <w:kern w:val="0"/>
          <w:sz w:val="24"/>
          <w:highlight w:val="none"/>
          <w:lang w:val="en-US" w:eastAsia="zh-CN"/>
        </w:rPr>
        <w:t>0</w:t>
      </w:r>
      <w:r>
        <w:rPr>
          <w:rFonts w:hint="eastAsia" w:ascii="宋体" w:hAnsi="宋体" w:cs="宋体"/>
          <w:b/>
          <w:bCs/>
          <w:color w:val="auto"/>
          <w:kern w:val="0"/>
          <w:sz w:val="24"/>
          <w:highlight w:val="none"/>
        </w:rPr>
        <w:t>不符合法律、法规或招标文件中规定的其他实质性要求的。</w:t>
      </w:r>
    </w:p>
    <w:p w14:paraId="7581E48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24.4如果投标文件没有满足招标文件的实质性要求，评标委员会将予以拒绝。投标人不得通过修正或撤销不合要求的偏离或保留从而使其投标文件成为实质上投标的投标文件。</w:t>
      </w:r>
    </w:p>
    <w:p w14:paraId="2B7A9FD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24.5在评标过程中，评标委员会如发现投标人以他人的名义投标、串通投标或以其它弄虚作假方式投标的，该投标人的投标无效。</w:t>
      </w:r>
    </w:p>
    <w:p w14:paraId="1AE9E87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24.6投标文件报价出现前后不一致的，除招标文件另有规定外，按照下列规定修正：</w:t>
      </w:r>
    </w:p>
    <w:p w14:paraId="0F79AD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（一）投标文件中投标函报价与投标文件中相应内容不一致的，以投标函报价为准。</w:t>
      </w:r>
    </w:p>
    <w:p w14:paraId="6993D20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（二）大写金额和小写金额不一致的，以大写金额为准。</w:t>
      </w:r>
    </w:p>
    <w:p w14:paraId="71B4371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（三）单价金额小数点或者百分比有明显错位的，以投标函的总价为准，并修改单价。</w:t>
      </w:r>
    </w:p>
    <w:p w14:paraId="0E59A19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（四）总价金额与按单价汇总金额不一致的，以单价金额计算结果为准。</w:t>
      </w:r>
    </w:p>
    <w:p w14:paraId="10EA536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24.7同时出现两种以上不一致的，按照前款规定的顺序修正。修正后的报价应当采用书面形式，并加盖公章，或者由法定代表人或其授权代表签字。修正后的报价经投标人确认后产生约束力，投标人不确认的，其投标无效。</w:t>
      </w:r>
    </w:p>
    <w:p w14:paraId="72CBC878">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24.8 政府采购评审中出现下列情形之一的，评标委员会将启动异常低价响应审查程序：</w:t>
      </w:r>
    </w:p>
    <w:p w14:paraId="700F85EE">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24.8.1</w:t>
      </w:r>
      <w:r>
        <w:rPr>
          <w:rFonts w:hint="eastAsia" w:ascii="宋体" w:hAnsi="宋体" w:cs="宋体"/>
          <w:color w:val="auto"/>
          <w:kern w:val="0"/>
          <w:sz w:val="24"/>
          <w:highlight w:val="none"/>
        </w:rPr>
        <w:t>单台/套设备投标报价低于全部通过符合性审查投标人投标报价平均值50%的，即投标报价&lt;全部通过符合性审查投标人投标报价平均值×50%；</w:t>
      </w:r>
    </w:p>
    <w:p w14:paraId="39DDCFAD">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24.8.2</w:t>
      </w:r>
      <w:r>
        <w:rPr>
          <w:rFonts w:hint="eastAsia" w:ascii="宋体" w:hAnsi="宋体" w:cs="宋体"/>
          <w:color w:val="auto"/>
          <w:kern w:val="0"/>
          <w:sz w:val="24"/>
          <w:highlight w:val="none"/>
        </w:rPr>
        <w:t>单台/套设备投标报价低于通过符合性审查的次低报价投标人投标报价50%的，即投标报价&lt;通过符合性审查的次低报价投标人投标报价×50%；</w:t>
      </w:r>
    </w:p>
    <w:p w14:paraId="55166E9D">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24.8.3</w:t>
      </w:r>
      <w:r>
        <w:rPr>
          <w:rFonts w:hint="eastAsia" w:ascii="宋体" w:hAnsi="宋体" w:cs="宋体"/>
          <w:color w:val="auto"/>
          <w:kern w:val="0"/>
          <w:sz w:val="24"/>
          <w:highlight w:val="none"/>
        </w:rPr>
        <w:t>单台/套设备响应低于采购项目最高限价45%的，即投标报价&lt;采购项目最高限价×45%；</w:t>
      </w:r>
    </w:p>
    <w:p w14:paraId="3F06E8C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24.8.4</w:t>
      </w:r>
      <w:r>
        <w:rPr>
          <w:rFonts w:hint="eastAsia" w:ascii="宋体" w:hAnsi="宋体" w:cs="宋体"/>
          <w:color w:val="auto"/>
          <w:kern w:val="0"/>
          <w:sz w:val="24"/>
          <w:highlight w:val="none"/>
        </w:rPr>
        <w:t>评审委员会基于专业判断，认为投标人报价过低，有可能影响产品质量或者不能诚信履约的其他情形。</w:t>
      </w:r>
    </w:p>
    <w:p w14:paraId="65960DDE">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24.8.5</w:t>
      </w:r>
      <w:r>
        <w:rPr>
          <w:rFonts w:hint="eastAsia" w:ascii="宋体" w:hAnsi="宋体" w:cs="宋体"/>
          <w:color w:val="auto"/>
          <w:kern w:val="0"/>
          <w:sz w:val="24"/>
          <w:highlight w:val="none"/>
        </w:rPr>
        <w:t>评标委员会启动异常低价响应审查后，属于前述第1项至第4项情形的，相关投标人在30分钟内对响应价格作出解释，提供项目具体成本测算等与报价合理性相关的书面说明及必要的证明材料，包括但不限于原材料成本、人工成本、制造费用等。</w:t>
      </w:r>
    </w:p>
    <w:p w14:paraId="56ECC4E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24.8.6</w:t>
      </w:r>
      <w:r>
        <w:rPr>
          <w:rFonts w:hint="eastAsia" w:ascii="宋体" w:hAnsi="宋体" w:cs="宋体"/>
          <w:color w:val="auto"/>
          <w:kern w:val="0"/>
          <w:sz w:val="24"/>
          <w:highlight w:val="none"/>
        </w:rPr>
        <w:t>投标人不能提供书面说明、证明材料，或者提供的书面说明、证明材料不能证明其报价合理性的，为无效响应文件。</w:t>
      </w:r>
    </w:p>
    <w:p w14:paraId="78D979D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25. 评标方法</w:t>
      </w:r>
    </w:p>
    <w:p w14:paraId="55F7E7DD">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综合评分法。评标委员会将按照招标文件要求，对满足招标文件全部实质性要求的投标文件按照评审因素的量化指标评审，得分最高的投标人为第一中标候选人。</w:t>
      </w:r>
      <w:bookmarkStart w:id="74" w:name="_Toc168800625"/>
    </w:p>
    <w:p w14:paraId="72468FC8">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26. 投标的评审、比较和中标候选人的推荐</w:t>
      </w:r>
      <w:bookmarkEnd w:id="74"/>
    </w:p>
    <w:p w14:paraId="56493D78">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26.1详细评审以招标文件为依据，对所有实质上响应的投标按照评分标准进行综合打分（评分标准详见附件一）。</w:t>
      </w:r>
    </w:p>
    <w:p w14:paraId="3514F833">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26.2中标人的确定</w:t>
      </w:r>
    </w:p>
    <w:p w14:paraId="47499C54">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评标委员会按照招标文件规定的评审程序、评审方法和评审标准进行评审，并出具评审报告，推荐中标候选人排序。</w:t>
      </w:r>
    </w:p>
    <w:p w14:paraId="2251D57C">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26.3采购人授权评标委员会直接确定中标人。</w:t>
      </w:r>
    </w:p>
    <w:p w14:paraId="4CA13C6D">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26.4本项目推荐3名有排序的中标候选人。采购人必须按照评审报告推荐的中标候选人顺序来确定中标人。如果中标人拒绝与采购人签订合同，采购人可以按照评审报告推荐的中标候选人名单排序，确定下一个候选人为中标人</w:t>
      </w:r>
      <w:r>
        <w:rPr>
          <w:rFonts w:ascii="宋体" w:hAnsi="宋体" w:cs="宋体"/>
          <w:color w:val="auto"/>
          <w:kern w:val="0"/>
          <w:sz w:val="24"/>
          <w:highlight w:val="none"/>
        </w:rPr>
        <w:t>，</w:t>
      </w:r>
      <w:r>
        <w:rPr>
          <w:rFonts w:hint="eastAsia" w:ascii="宋体" w:hAnsi="宋体" w:cs="宋体"/>
          <w:color w:val="auto"/>
          <w:kern w:val="0"/>
          <w:sz w:val="24"/>
          <w:highlight w:val="none"/>
        </w:rPr>
        <w:t>也可以重新开展政府采购活动。</w:t>
      </w:r>
    </w:p>
    <w:p w14:paraId="4B661C71">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7</w:t>
      </w:r>
      <w:r>
        <w:rPr>
          <w:rFonts w:hint="eastAsia" w:ascii="宋体" w:hAnsi="宋体" w:cs="宋体"/>
          <w:color w:val="auto"/>
          <w:kern w:val="0"/>
          <w:sz w:val="24"/>
          <w:highlight w:val="none"/>
        </w:rPr>
        <w:t>样品及演示</w:t>
      </w:r>
    </w:p>
    <w:p w14:paraId="4E14420E">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7</w:t>
      </w:r>
      <w:r>
        <w:rPr>
          <w:rFonts w:hint="eastAsia" w:ascii="宋体" w:hAnsi="宋体" w:cs="宋体"/>
          <w:color w:val="auto"/>
          <w:kern w:val="0"/>
          <w:sz w:val="24"/>
          <w:highlight w:val="none"/>
        </w:rPr>
        <w:t>.1要求投标人提供样品的，按照招标文件关于样品的评审方法以及评审标准进行评审。</w:t>
      </w:r>
    </w:p>
    <w:p w14:paraId="3F368247">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7</w:t>
      </w:r>
      <w:r>
        <w:rPr>
          <w:rFonts w:hint="eastAsia" w:ascii="宋体" w:hAnsi="宋体" w:cs="宋体"/>
          <w:color w:val="auto"/>
          <w:kern w:val="0"/>
          <w:sz w:val="24"/>
          <w:highlight w:val="none"/>
        </w:rPr>
        <w:t>.2采购活动结束后，对于未中标人提供的样品，应当及时退还或者经未中标人同意后自行处理；对于中标人提供的样品，应当按招标文件规定进行保管、封存，并作为履约验收的参考。</w:t>
      </w:r>
    </w:p>
    <w:p w14:paraId="1259FEC0">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7</w:t>
      </w:r>
      <w:r>
        <w:rPr>
          <w:rFonts w:hint="eastAsia" w:ascii="宋体" w:hAnsi="宋体" w:cs="宋体"/>
          <w:color w:val="auto"/>
          <w:kern w:val="0"/>
          <w:sz w:val="24"/>
          <w:highlight w:val="none"/>
        </w:rPr>
        <w:t>.3演示的评审方法以及评审标准具体内容详见招标文件。</w:t>
      </w:r>
    </w:p>
    <w:p w14:paraId="0617BDA1">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2</w:t>
      </w:r>
      <w:r>
        <w:rPr>
          <w:rFonts w:ascii="宋体" w:hAnsi="宋体" w:cs="宋体"/>
          <w:color w:val="auto"/>
          <w:kern w:val="0"/>
          <w:sz w:val="24"/>
          <w:highlight w:val="none"/>
        </w:rPr>
        <w:t>8</w:t>
      </w:r>
      <w:r>
        <w:rPr>
          <w:rFonts w:hint="eastAsia" w:ascii="宋体" w:hAnsi="宋体" w:cs="宋体"/>
          <w:color w:val="auto"/>
          <w:kern w:val="0"/>
          <w:sz w:val="24"/>
          <w:highlight w:val="none"/>
        </w:rPr>
        <w:t>. 中标公示及中标通知书签发</w:t>
      </w:r>
    </w:p>
    <w:p w14:paraId="7F4881A1">
      <w:pPr>
        <w:adjustRightInd w:val="0"/>
        <w:snapToGrid w:val="0"/>
        <w:spacing w:line="360" w:lineRule="auto"/>
        <w:ind w:firstLine="480" w:firstLineChars="200"/>
        <w:contextualSpacing/>
        <w:rPr>
          <w:rFonts w:ascii="宋体" w:hAnsi="宋体" w:cs="宋体"/>
          <w:color w:val="auto"/>
          <w:kern w:val="0"/>
          <w:sz w:val="24"/>
          <w:highlight w:val="none"/>
        </w:rPr>
      </w:pPr>
      <w:r>
        <w:rPr>
          <w:rFonts w:hint="eastAsia" w:ascii="宋体" w:hAnsi="宋体" w:cs="宋体"/>
          <w:color w:val="auto"/>
          <w:kern w:val="0"/>
          <w:sz w:val="24"/>
          <w:highlight w:val="none"/>
        </w:rPr>
        <w:t>中标人确定之日起，采购人或者采购代理机构将自中标人确定之日起2个工作日内在指定平台发布采购结果。在公告中标结果的同时，采购人或代理机构向中标人发出中标通知书。</w:t>
      </w:r>
    </w:p>
    <w:p w14:paraId="0D7CF0F5">
      <w:pPr>
        <w:numPr>
          <w:ilvl w:val="0"/>
          <w:numId w:val="3"/>
        </w:numPr>
        <w:snapToGrid w:val="0"/>
        <w:spacing w:line="360" w:lineRule="auto"/>
        <w:ind w:firstLine="482"/>
        <w:jc w:val="center"/>
        <w:rPr>
          <w:rFonts w:ascii="宋体" w:hAnsi="宋体" w:cs="宋体"/>
          <w:b/>
          <w:color w:val="auto"/>
          <w:kern w:val="0"/>
          <w:sz w:val="24"/>
          <w:highlight w:val="none"/>
        </w:rPr>
      </w:pPr>
      <w:bookmarkStart w:id="75" w:name="_Toc16484_WPSOffice_Level1"/>
      <w:bookmarkStart w:id="76" w:name="_Toc24388_WPSOffice_Level3"/>
      <w:r>
        <w:rPr>
          <w:rFonts w:hint="eastAsia" w:ascii="宋体" w:hAnsi="宋体" w:cs="宋体"/>
          <w:b/>
          <w:color w:val="auto"/>
          <w:kern w:val="0"/>
          <w:sz w:val="24"/>
          <w:highlight w:val="none"/>
        </w:rPr>
        <w:t>授予合同</w:t>
      </w:r>
      <w:bookmarkEnd w:id="75"/>
      <w:bookmarkEnd w:id="76"/>
    </w:p>
    <w:p w14:paraId="3FF7E231">
      <w:pPr>
        <w:snapToGrid w:val="0"/>
        <w:spacing w:line="360" w:lineRule="auto"/>
        <w:ind w:firstLine="480" w:firstLineChars="200"/>
        <w:rPr>
          <w:rFonts w:ascii="宋体" w:hAnsi="宋体" w:cs="宋体"/>
          <w:color w:val="auto"/>
          <w:kern w:val="0"/>
          <w:sz w:val="24"/>
          <w:highlight w:val="none"/>
        </w:rPr>
      </w:pPr>
      <w:bookmarkStart w:id="77" w:name="_Toc168800626"/>
      <w:r>
        <w:rPr>
          <w:rFonts w:hint="eastAsia" w:ascii="宋体" w:hAnsi="宋体" w:cs="宋体"/>
          <w:color w:val="auto"/>
          <w:kern w:val="0"/>
          <w:sz w:val="24"/>
          <w:highlight w:val="none"/>
        </w:rPr>
        <w:t>2</w:t>
      </w:r>
      <w:r>
        <w:rPr>
          <w:rFonts w:ascii="宋体" w:hAnsi="宋体" w:cs="宋体"/>
          <w:color w:val="auto"/>
          <w:kern w:val="0"/>
          <w:sz w:val="24"/>
          <w:highlight w:val="none"/>
        </w:rPr>
        <w:t>9</w:t>
      </w:r>
      <w:r>
        <w:rPr>
          <w:rFonts w:hint="eastAsia" w:ascii="宋体" w:hAnsi="宋体" w:cs="宋体"/>
          <w:color w:val="auto"/>
          <w:kern w:val="0"/>
          <w:sz w:val="24"/>
          <w:highlight w:val="none"/>
        </w:rPr>
        <w:t>. 合同授予标准</w:t>
      </w:r>
      <w:bookmarkEnd w:id="77"/>
    </w:p>
    <w:p w14:paraId="7CD2503A">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采购人将合同授予被确定的中标人。合同履行中，采购人需追加与合同标的相同的货物的，在不改变原合同其他条款的前提下，可以与中标人协商签订补充合同，追加与合同标的相同的货物，所有补充合同的累积增加的采购金额不得超过原合同采购金额的10％。</w:t>
      </w:r>
      <w:bookmarkStart w:id="78" w:name="_Toc168800630"/>
    </w:p>
    <w:p w14:paraId="50317158">
      <w:pPr>
        <w:adjustRightInd w:val="0"/>
        <w:snapToGrid w:val="0"/>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30</w:t>
      </w:r>
      <w:r>
        <w:rPr>
          <w:rFonts w:hint="eastAsia" w:ascii="宋体" w:hAnsi="宋体" w:cs="宋体"/>
          <w:color w:val="auto"/>
          <w:kern w:val="0"/>
          <w:sz w:val="24"/>
          <w:highlight w:val="none"/>
        </w:rPr>
        <w:t>. 签订合同</w:t>
      </w:r>
      <w:bookmarkEnd w:id="78"/>
    </w:p>
    <w:p w14:paraId="57686F02">
      <w:pPr>
        <w:adjustRightInd w:val="0"/>
        <w:snapToGrid w:val="0"/>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30</w:t>
      </w:r>
      <w:r>
        <w:rPr>
          <w:rFonts w:hint="eastAsia" w:ascii="宋体" w:hAnsi="宋体" w:cs="宋体"/>
          <w:color w:val="auto"/>
          <w:kern w:val="0"/>
          <w:sz w:val="24"/>
          <w:highlight w:val="none"/>
        </w:rPr>
        <w:t>.1中标人在收到中标通知书后，按采购人规定的时间和地点与采购人签订书面合同。招标文件、中标人的投标文件及评标过程中有关澄清文件均作为该书面合同的附件。</w:t>
      </w:r>
    </w:p>
    <w:p w14:paraId="1AF2E862">
      <w:pPr>
        <w:adjustRightInd w:val="0"/>
        <w:snapToGrid w:val="0"/>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30</w:t>
      </w:r>
      <w:r>
        <w:rPr>
          <w:rFonts w:hint="eastAsia" w:ascii="宋体" w:hAnsi="宋体" w:cs="宋体"/>
          <w:color w:val="auto"/>
          <w:kern w:val="0"/>
          <w:sz w:val="24"/>
          <w:highlight w:val="none"/>
        </w:rPr>
        <w:t>.2如果中标人没有按照规定执行，取消其中标资格，在此情况下按评标委员会评定的中标候选人排序结果依次补充。</w:t>
      </w:r>
    </w:p>
    <w:p w14:paraId="54B1078A">
      <w:pPr>
        <w:adjustRightInd w:val="0"/>
        <w:snapToGrid w:val="0"/>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30</w:t>
      </w:r>
      <w:r>
        <w:rPr>
          <w:rFonts w:hint="eastAsia" w:ascii="宋体" w:hAnsi="宋体" w:cs="宋体"/>
          <w:color w:val="auto"/>
          <w:kern w:val="0"/>
          <w:sz w:val="24"/>
          <w:highlight w:val="none"/>
        </w:rPr>
        <w:t>.3采购人自合同签订之日起2个工作日内在指定媒体发布合同公告。如需签订补充合同，补充合同的副本也应在指定媒体发布合同公告。</w:t>
      </w:r>
      <w:bookmarkStart w:id="79" w:name="_Toc168800631"/>
    </w:p>
    <w:p w14:paraId="64497E3E">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r>
        <w:rPr>
          <w:rFonts w:ascii="宋体" w:hAnsi="宋体" w:cs="宋体"/>
          <w:color w:val="auto"/>
          <w:kern w:val="0"/>
          <w:sz w:val="24"/>
          <w:highlight w:val="none"/>
        </w:rPr>
        <w:t>1</w:t>
      </w:r>
      <w:r>
        <w:rPr>
          <w:rFonts w:hint="eastAsia" w:ascii="宋体" w:hAnsi="宋体" w:cs="宋体"/>
          <w:color w:val="auto"/>
          <w:kern w:val="0"/>
          <w:sz w:val="24"/>
          <w:highlight w:val="none"/>
        </w:rPr>
        <w:t>. 腐败和欺诈行为</w:t>
      </w:r>
      <w:bookmarkEnd w:id="79"/>
    </w:p>
    <w:p w14:paraId="784D1FAB">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r>
        <w:rPr>
          <w:rFonts w:ascii="宋体" w:hAnsi="宋体" w:cs="宋体"/>
          <w:color w:val="auto"/>
          <w:kern w:val="0"/>
          <w:sz w:val="24"/>
          <w:highlight w:val="none"/>
        </w:rPr>
        <w:t>1</w:t>
      </w:r>
      <w:r>
        <w:rPr>
          <w:rFonts w:hint="eastAsia" w:ascii="宋体" w:hAnsi="宋体" w:cs="宋体"/>
          <w:color w:val="auto"/>
          <w:kern w:val="0"/>
          <w:sz w:val="24"/>
          <w:highlight w:val="none"/>
        </w:rPr>
        <w:t>.1此合同项下的采购人和投标人在合同采购和实施过程中应遵守最高的道德标准。</w:t>
      </w:r>
    </w:p>
    <w:p w14:paraId="5A3E83E9">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r>
        <w:rPr>
          <w:rFonts w:ascii="宋体" w:hAnsi="宋体" w:cs="宋体"/>
          <w:color w:val="auto"/>
          <w:kern w:val="0"/>
          <w:sz w:val="24"/>
          <w:highlight w:val="none"/>
        </w:rPr>
        <w:t>1</w:t>
      </w:r>
      <w:r>
        <w:rPr>
          <w:rFonts w:hint="eastAsia" w:ascii="宋体" w:hAnsi="宋体" w:cs="宋体"/>
          <w:color w:val="auto"/>
          <w:kern w:val="0"/>
          <w:sz w:val="24"/>
          <w:highlight w:val="none"/>
        </w:rPr>
        <w:t>.1.1为此目的，定义：(a)“腐败行为”是指提供、给予任何有价值的东西来影响采购人在采购过程或合同实施过程中的行为；(b)“欺诈行为”是指为了影响采购过程或合同实施过程而谎报事实，损害采购人的利益，包括投标人之间串通投标(递交投标文件之前和之后)，人为地使投标丧失竞争性，剥夺采购人从自由公开竞争所能获得的权益。</w:t>
      </w:r>
    </w:p>
    <w:p w14:paraId="7E25F949">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r>
        <w:rPr>
          <w:rFonts w:ascii="宋体" w:hAnsi="宋体" w:cs="宋体"/>
          <w:color w:val="auto"/>
          <w:kern w:val="0"/>
          <w:sz w:val="24"/>
          <w:highlight w:val="none"/>
        </w:rPr>
        <w:t>1</w:t>
      </w:r>
      <w:r>
        <w:rPr>
          <w:rFonts w:hint="eastAsia" w:ascii="宋体" w:hAnsi="宋体" w:cs="宋体"/>
          <w:color w:val="auto"/>
          <w:kern w:val="0"/>
          <w:sz w:val="24"/>
          <w:highlight w:val="none"/>
        </w:rPr>
        <w:t>.1.2如果采购人认为评标委员会所确定的中标候选人在本项目的竞争中有腐败和欺诈行为，则拒绝接受该授标建议。</w:t>
      </w:r>
      <w:bookmarkStart w:id="80" w:name="_Toc21142_WPSOffice_Level2"/>
      <w:bookmarkStart w:id="81" w:name="_Toc6653234"/>
    </w:p>
    <w:p w14:paraId="18B38C14">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3</w:t>
      </w:r>
      <w:r>
        <w:rPr>
          <w:rFonts w:ascii="宋体" w:hAnsi="宋体" w:cs="宋体"/>
          <w:b/>
          <w:bCs/>
          <w:color w:val="auto"/>
          <w:kern w:val="0"/>
          <w:sz w:val="24"/>
          <w:highlight w:val="none"/>
        </w:rPr>
        <w:t>2</w:t>
      </w:r>
      <w:r>
        <w:rPr>
          <w:rFonts w:hint="eastAsia" w:ascii="宋体" w:hAnsi="宋体" w:cs="宋体"/>
          <w:b/>
          <w:bCs/>
          <w:color w:val="auto"/>
          <w:kern w:val="0"/>
          <w:sz w:val="24"/>
          <w:highlight w:val="none"/>
        </w:rPr>
        <w:t>.落实政府采购政策</w:t>
      </w:r>
    </w:p>
    <w:p w14:paraId="7A67461B">
      <w:pPr>
        <w:adjustRightInd w:val="0"/>
        <w:snapToGrid w:val="0"/>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32.1对于中小微企业、监狱企业、残疾人福利性单位的相关规定</w:t>
      </w:r>
    </w:p>
    <w:p w14:paraId="540FA6C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32.1.1对于非专门面向中小企业的项目，在满足价格扣除条件且在投标文件中按要求提交了《中小企业声明函》</w:t>
      </w:r>
      <w:r>
        <w:rPr>
          <w:rFonts w:hint="eastAsia" w:ascii="宋体" w:hAnsi="宋体" w:cs="宋体"/>
          <w:color w:val="auto"/>
          <w:kern w:val="0"/>
          <w:sz w:val="24"/>
          <w:highlight w:val="none"/>
        </w:rPr>
        <w:t>的，</w:t>
      </w:r>
      <w:r>
        <w:rPr>
          <w:rFonts w:hint="eastAsia" w:ascii="宋体" w:hAnsi="宋体" w:cs="宋体"/>
          <w:color w:val="auto"/>
          <w:sz w:val="24"/>
          <w:highlight w:val="none"/>
        </w:rPr>
        <w:t>对投标报价给予价格扣除，用扣除后的价格参与评审。投标报价扣除比例如下：</w:t>
      </w:r>
    </w:p>
    <w:p w14:paraId="3B5B1778">
      <w:pPr>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（1）非联合体投标</w:t>
      </w:r>
    </w:p>
    <w:p w14:paraId="68436EDA">
      <w:pPr>
        <w:adjustRightInd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小型和微型企业相应产品、服务投标报价的</w:t>
      </w:r>
      <w:r>
        <w:rPr>
          <w:rFonts w:hint="eastAsia" w:ascii="宋体" w:hAnsi="宋体" w:cs="宋体"/>
          <w:color w:val="auto"/>
          <w:kern w:val="0"/>
          <w:sz w:val="24"/>
          <w:highlight w:val="none"/>
          <w:u w:val="single"/>
        </w:rPr>
        <w:t>10%</w:t>
      </w:r>
      <w:r>
        <w:rPr>
          <w:rFonts w:hint="eastAsia" w:ascii="宋体" w:hAnsi="宋体" w:cs="宋体"/>
          <w:color w:val="auto"/>
          <w:kern w:val="0"/>
          <w:sz w:val="24"/>
          <w:highlight w:val="none"/>
        </w:rPr>
        <w:t>（10%—20%）；</w:t>
      </w:r>
    </w:p>
    <w:p w14:paraId="7BF5D0D6">
      <w:pPr>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（2）联合体投标</w:t>
      </w:r>
    </w:p>
    <w:p w14:paraId="38306EA0">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投标报价扣除</w:t>
      </w:r>
      <w:r>
        <w:rPr>
          <w:rFonts w:hint="eastAsia" w:ascii="宋体" w:hAnsi="宋体" w:cs="宋体"/>
          <w:color w:val="auto"/>
          <w:sz w:val="24"/>
          <w:highlight w:val="none"/>
          <w:u w:val="single"/>
        </w:rPr>
        <w:t>4%</w:t>
      </w:r>
      <w:r>
        <w:rPr>
          <w:rFonts w:hint="eastAsia" w:ascii="宋体" w:hAnsi="宋体" w:cs="宋体"/>
          <w:color w:val="auto"/>
          <w:sz w:val="24"/>
          <w:highlight w:val="none"/>
        </w:rPr>
        <w:t>。</w:t>
      </w:r>
    </w:p>
    <w:p w14:paraId="7897A530">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联合体各方均为小型、微型企业的，联合体视同为小型、微型企业，按第本款（1）条规定享受扶持政策。组成联合体的大中型企业和其他自然人、法人或者其他组织，与小型、微型企业之间不得存在投资关系。 </w:t>
      </w:r>
    </w:p>
    <w:p w14:paraId="5F1A335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32.1.2监狱企业视同小型、微型企业，在满足价格扣除条件且在投标文件中按要求提交了省级以上监狱管理局、戒毒管理局（含新疆生产建设兵团）出具的属于监狱企业的证明文件的，对其投标报价按32.1.1条款的比例予以扣除，</w:t>
      </w:r>
      <w:r>
        <w:rPr>
          <w:rFonts w:hint="eastAsia" w:ascii="宋体" w:hAnsi="宋体" w:cs="宋体"/>
          <w:color w:val="auto"/>
          <w:kern w:val="0"/>
          <w:sz w:val="24"/>
          <w:highlight w:val="none"/>
        </w:rPr>
        <w:t>用扣除后的价格参与评审</w:t>
      </w:r>
      <w:r>
        <w:rPr>
          <w:rFonts w:hint="eastAsia" w:ascii="宋体" w:hAnsi="宋体" w:cs="宋体"/>
          <w:color w:val="auto"/>
          <w:sz w:val="24"/>
          <w:highlight w:val="none"/>
        </w:rPr>
        <w:t>。监狱企业同时属于小型、微型企业的，</w:t>
      </w:r>
      <w:r>
        <w:rPr>
          <w:rFonts w:hint="eastAsia" w:ascii="宋体" w:hAnsi="宋体" w:cs="宋体"/>
          <w:color w:val="auto"/>
          <w:kern w:val="0"/>
          <w:sz w:val="24"/>
          <w:highlight w:val="none"/>
        </w:rPr>
        <w:t>不重复享受政策。</w:t>
      </w:r>
    </w:p>
    <w:p w14:paraId="4B4D306E">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32.1.3</w:t>
      </w:r>
      <w:r>
        <w:rPr>
          <w:rFonts w:hint="eastAsia" w:ascii="宋体" w:hAnsi="宋体" w:cs="宋体"/>
          <w:color w:val="auto"/>
          <w:kern w:val="0"/>
          <w:sz w:val="24"/>
          <w:highlight w:val="none"/>
        </w:rPr>
        <w:t>残疾人福利性单位视同小型、微型企业，在满足价格扣除条件且在投标文件中提供了《残疾人福利性单位声明函》的，对其投标报价按32.1.1条款的比例予以扣除，用扣除后的价格参与评审。残疾人福利性单位属于小型、微型企业的，不重复享受政策。</w:t>
      </w:r>
    </w:p>
    <w:p w14:paraId="27FC36E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w:t>
      </w:r>
      <w:r>
        <w:rPr>
          <w:rFonts w:hint="eastAsia" w:ascii="宋体" w:hAnsi="宋体" w:cs="宋体"/>
          <w:color w:val="auto"/>
          <w:kern w:val="0"/>
          <w:sz w:val="24"/>
          <w:highlight w:val="none"/>
        </w:rPr>
        <w:t>4本项目严格按照</w:t>
      </w:r>
      <w:r>
        <w:rPr>
          <w:rFonts w:hint="eastAsia" w:ascii="宋体" w:hAnsi="宋体" w:cs="宋体"/>
          <w:color w:val="auto"/>
          <w:sz w:val="24"/>
          <w:highlight w:val="none"/>
        </w:rPr>
        <w:t>《政府采购促进中小企业发展管理办法》（财库〔2020〕46号）、《关于进一步加大政府采购支持中小企业力度的通知》（财库〔2022〕19号）、《关于政府采购支持监狱企业发展有关问题的通知》（财库〔2014〕68号）、《关于促进残疾人就业政府采购政策的通知》（财库〔2017〕141号）等财政部门发布的相关政策执行。</w:t>
      </w:r>
    </w:p>
    <w:p w14:paraId="307CA512">
      <w:pPr>
        <w:adjustRightInd w:val="0"/>
        <w:snapToGri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32.1.5本项目所属行业为工业（包括采矿业，制造业，电力、热力、燃气及水生产和供应业）</w:t>
      </w:r>
      <w:r>
        <w:rPr>
          <w:rFonts w:hint="eastAsia" w:ascii="宋体" w:hAnsi="宋体" w:cs="宋体"/>
          <w:bCs/>
          <w:color w:val="auto"/>
          <w:sz w:val="24"/>
          <w:highlight w:val="none"/>
        </w:rPr>
        <w:t>。</w:t>
      </w:r>
    </w:p>
    <w:p w14:paraId="73549977">
      <w:pPr>
        <w:adjustRightInd w:val="0"/>
        <w:snapToGrid w:val="0"/>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32.2.对于节能产品、环境标志产品的相关规定</w:t>
      </w:r>
    </w:p>
    <w:p w14:paraId="6C2D7C4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32.2.1采购人采购的产品如果是政府采购强制采购范围内的（详见《关于印发节能产品政府采购品目清单的通知》财库[2019]19号），供应商必须提供经国家确定的认证机构（市场监管总局关于发布参与实施政府采购节能产品、环境标志产品认证机构名录的公告[2019年第16号]）出具的、处于有效期之内的认证证书复印件或法定信息发布平台公布的认证信息截图证明材料，否则响应无效。</w:t>
      </w:r>
    </w:p>
    <w:p w14:paraId="34248C7C">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32.2.2采购人采购的产品如属于政府采购节能环保标志产品政府采购品目清单范围内的（详见财库[2019]18号、19号），供应商提供经国家确定的认证机构（市场监管总局2019年第16号）出具的、处于有效期之内的认证证书复印件或法定信息发布平台公布的认证信息截图证明材料，享受政策性加分（具体详见评分标准）。对于同属于节能产品和环境标志产品的，可以分别享受优先采购政策</w:t>
      </w:r>
      <w:r>
        <w:rPr>
          <w:rFonts w:hint="eastAsia" w:ascii="宋体" w:hAnsi="宋体" w:cs="宋体"/>
          <w:color w:val="auto"/>
          <w:kern w:val="0"/>
          <w:sz w:val="24"/>
          <w:highlight w:val="none"/>
        </w:rPr>
        <w:t>。</w:t>
      </w:r>
    </w:p>
    <w:p w14:paraId="07EDDE1E">
      <w:pPr>
        <w:adjustRightInd w:val="0"/>
        <w:snapToGrid w:val="0"/>
        <w:spacing w:line="360" w:lineRule="auto"/>
        <w:ind w:firstLine="482" w:firstLineChars="200"/>
        <w:jc w:val="left"/>
        <w:rPr>
          <w:rFonts w:hint="eastAsia" w:ascii="宋体" w:hAnsi="宋体" w:cs="宋体"/>
          <w:b/>
          <w:color w:val="auto"/>
          <w:kern w:val="0"/>
          <w:sz w:val="24"/>
          <w:highlight w:val="none"/>
        </w:rPr>
      </w:pPr>
      <w:r>
        <w:rPr>
          <w:rFonts w:hint="eastAsia" w:ascii="宋体" w:hAnsi="宋体" w:cs="宋体"/>
          <w:b/>
          <w:color w:val="auto"/>
          <w:kern w:val="0"/>
          <w:sz w:val="24"/>
          <w:highlight w:val="none"/>
          <w:lang w:val="en-US" w:eastAsia="zh-CN"/>
        </w:rPr>
        <w:t>32.3</w:t>
      </w:r>
      <w:r>
        <w:rPr>
          <w:rFonts w:hint="eastAsia" w:ascii="宋体" w:hAnsi="宋体" w:cs="宋体"/>
          <w:b/>
          <w:color w:val="auto"/>
          <w:kern w:val="0"/>
          <w:sz w:val="24"/>
          <w:highlight w:val="none"/>
        </w:rPr>
        <w:t>对本国产品的支持政策：</w:t>
      </w:r>
    </w:p>
    <w:p w14:paraId="0CB803B8">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32.3.1</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w:t>
      </w:r>
    </w:p>
    <w:p w14:paraId="44BD6DBF">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32.3.</w:t>
      </w:r>
      <w:r>
        <w:rPr>
          <w:rFonts w:hint="eastAsia" w:ascii="宋体" w:hAnsi="宋体" w:cs="宋体"/>
          <w:color w:val="auto"/>
          <w:sz w:val="24"/>
          <w:highlight w:val="none"/>
        </w:rPr>
        <w:t>2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2BEB0064">
      <w:pPr>
        <w:snapToGrid w:val="0"/>
        <w:spacing w:line="360" w:lineRule="auto"/>
        <w:ind w:firstLine="480" w:firstLineChars="200"/>
        <w:rPr>
          <w:rFonts w:hint="eastAsia" w:ascii="宋体" w:hAnsi="宋体" w:cs="宋体"/>
          <w:color w:val="auto"/>
          <w:kern w:val="0"/>
          <w:sz w:val="24"/>
          <w:highlight w:val="none"/>
        </w:rPr>
      </w:pPr>
    </w:p>
    <w:p w14:paraId="1DB1C786">
      <w:pPr>
        <w:snapToGrid w:val="0"/>
        <w:spacing w:line="360" w:lineRule="auto"/>
        <w:ind w:firstLine="480" w:firstLineChars="200"/>
        <w:rPr>
          <w:rFonts w:ascii="宋体" w:hAnsi="宋体" w:cs="宋体"/>
          <w:color w:val="auto"/>
          <w:kern w:val="0"/>
          <w:sz w:val="24"/>
          <w:highlight w:val="none"/>
        </w:rPr>
      </w:pPr>
    </w:p>
    <w:p w14:paraId="1666E666">
      <w:pPr>
        <w:pStyle w:val="3"/>
        <w:snapToGrid w:val="0"/>
        <w:spacing w:before="0" w:after="0"/>
        <w:ind w:firstLine="883"/>
        <w:jc w:val="center"/>
        <w:rPr>
          <w:rFonts w:hint="eastAsia" w:ascii="宋体" w:hAnsi="宋体" w:cs="宋体"/>
          <w:color w:val="auto"/>
          <w:kern w:val="0"/>
          <w:highlight w:val="none"/>
        </w:rPr>
      </w:pPr>
      <w:r>
        <w:rPr>
          <w:rFonts w:hint="eastAsia" w:ascii="宋体" w:hAnsi="宋体" w:cs="宋体"/>
          <w:color w:val="auto"/>
          <w:kern w:val="0"/>
          <w:highlight w:val="none"/>
        </w:rPr>
        <w:br w:type="page"/>
      </w:r>
    </w:p>
    <w:p w14:paraId="18355F3B">
      <w:pPr>
        <w:pStyle w:val="3"/>
        <w:snapToGrid w:val="0"/>
        <w:spacing w:before="0" w:after="0"/>
        <w:ind w:firstLine="883"/>
        <w:jc w:val="center"/>
        <w:rPr>
          <w:rFonts w:hint="eastAsia" w:ascii="宋体" w:hAnsi="宋体" w:cs="宋体"/>
          <w:color w:val="auto"/>
          <w:kern w:val="0"/>
          <w:highlight w:val="none"/>
        </w:rPr>
      </w:pPr>
    </w:p>
    <w:p w14:paraId="06067EE4">
      <w:pPr>
        <w:pStyle w:val="3"/>
        <w:snapToGrid w:val="0"/>
        <w:spacing w:before="0" w:after="0"/>
        <w:ind w:firstLine="883"/>
        <w:jc w:val="center"/>
        <w:rPr>
          <w:rFonts w:hint="eastAsia" w:ascii="宋体" w:hAnsi="宋体" w:cs="宋体"/>
          <w:color w:val="auto"/>
          <w:kern w:val="0"/>
          <w:highlight w:val="none"/>
        </w:rPr>
      </w:pPr>
    </w:p>
    <w:p w14:paraId="0EED6CF8">
      <w:pPr>
        <w:pStyle w:val="3"/>
        <w:snapToGrid w:val="0"/>
        <w:spacing w:before="0" w:after="0"/>
        <w:ind w:firstLine="883"/>
        <w:jc w:val="center"/>
        <w:rPr>
          <w:rFonts w:hint="eastAsia" w:ascii="宋体" w:hAnsi="宋体" w:cs="宋体"/>
          <w:color w:val="auto"/>
          <w:kern w:val="0"/>
          <w:highlight w:val="none"/>
        </w:rPr>
      </w:pPr>
    </w:p>
    <w:p w14:paraId="05B7E701">
      <w:pPr>
        <w:pStyle w:val="3"/>
        <w:snapToGrid w:val="0"/>
        <w:spacing w:before="0" w:after="0"/>
        <w:ind w:firstLine="883"/>
        <w:jc w:val="center"/>
        <w:rPr>
          <w:rFonts w:hint="eastAsia" w:ascii="宋体" w:hAnsi="宋体" w:cs="宋体"/>
          <w:color w:val="auto"/>
          <w:kern w:val="0"/>
          <w:highlight w:val="none"/>
        </w:rPr>
      </w:pPr>
    </w:p>
    <w:p w14:paraId="2742D4B1">
      <w:pPr>
        <w:pStyle w:val="3"/>
        <w:snapToGrid w:val="0"/>
        <w:spacing w:before="0" w:after="0"/>
        <w:ind w:firstLine="883"/>
        <w:jc w:val="center"/>
        <w:rPr>
          <w:rFonts w:ascii="宋体" w:hAnsi="宋体" w:cs="宋体"/>
          <w:color w:val="auto"/>
          <w:kern w:val="0"/>
          <w:sz w:val="32"/>
          <w:szCs w:val="32"/>
          <w:highlight w:val="none"/>
        </w:rPr>
      </w:pPr>
      <w:r>
        <w:rPr>
          <w:rFonts w:hint="eastAsia" w:ascii="宋体" w:hAnsi="宋体" w:cs="宋体"/>
          <w:color w:val="auto"/>
          <w:kern w:val="0"/>
          <w:sz w:val="32"/>
          <w:szCs w:val="32"/>
          <w:highlight w:val="none"/>
        </w:rPr>
        <w:t>第二章 合同条款及前附表</w:t>
      </w:r>
      <w:bookmarkEnd w:id="80"/>
      <w:bookmarkEnd w:id="81"/>
    </w:p>
    <w:p w14:paraId="39EA01FA">
      <w:pPr>
        <w:widowControl/>
        <w:jc w:val="left"/>
        <w:rPr>
          <w:rFonts w:ascii="宋体" w:hAnsi="宋体" w:cs="宋体"/>
          <w:b/>
          <w:color w:val="auto"/>
          <w:kern w:val="0"/>
          <w:sz w:val="32"/>
          <w:szCs w:val="28"/>
          <w:highlight w:val="none"/>
        </w:rPr>
      </w:pPr>
      <w:bookmarkStart w:id="82" w:name="_Toc6653235"/>
      <w:bookmarkEnd w:id="82"/>
      <w:bookmarkStart w:id="83" w:name="_Toc477936074"/>
      <w:bookmarkEnd w:id="83"/>
      <w:bookmarkStart w:id="84" w:name="_Toc476747484"/>
      <w:bookmarkEnd w:id="84"/>
      <w:bookmarkStart w:id="85" w:name="_Toc467857551"/>
      <w:bookmarkEnd w:id="85"/>
      <w:bookmarkStart w:id="86" w:name="_Toc482863412"/>
      <w:bookmarkEnd w:id="86"/>
      <w:bookmarkStart w:id="87" w:name="_Toc467857350"/>
      <w:bookmarkEnd w:id="87"/>
      <w:bookmarkStart w:id="88" w:name="_Toc527007505"/>
      <w:bookmarkStart w:id="89" w:name="_Toc1521_WPSOffice_Level3"/>
      <w:r>
        <w:rPr>
          <w:rFonts w:ascii="宋体" w:hAnsi="宋体" w:cs="宋体"/>
          <w:b/>
          <w:color w:val="auto"/>
          <w:kern w:val="0"/>
          <w:sz w:val="32"/>
          <w:szCs w:val="28"/>
          <w:highlight w:val="none"/>
        </w:rPr>
        <w:br w:type="page"/>
      </w:r>
    </w:p>
    <w:p w14:paraId="6EA8151A">
      <w:pPr>
        <w:adjustRightInd w:val="0"/>
        <w:snapToGrid w:val="0"/>
        <w:spacing w:line="360" w:lineRule="auto"/>
        <w:ind w:firstLine="643"/>
        <w:jc w:val="center"/>
        <w:rPr>
          <w:rFonts w:ascii="宋体" w:hAnsi="宋体" w:cs="宋体"/>
          <w:b/>
          <w:color w:val="auto"/>
          <w:kern w:val="0"/>
          <w:sz w:val="32"/>
          <w:szCs w:val="28"/>
          <w:highlight w:val="none"/>
        </w:rPr>
      </w:pPr>
      <w:r>
        <w:rPr>
          <w:rFonts w:hint="eastAsia" w:ascii="宋体" w:hAnsi="宋体" w:cs="宋体"/>
          <w:b/>
          <w:color w:val="auto"/>
          <w:kern w:val="0"/>
          <w:sz w:val="32"/>
          <w:szCs w:val="28"/>
          <w:highlight w:val="none"/>
        </w:rPr>
        <w:t>（参考模板）</w:t>
      </w:r>
    </w:p>
    <w:p w14:paraId="346BAA47">
      <w:pPr>
        <w:adjustRightInd w:val="0"/>
        <w:snapToGrid w:val="0"/>
        <w:spacing w:line="360" w:lineRule="auto"/>
        <w:ind w:firstLine="562"/>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大连海关技术中心2026年海关仪器设备购置及能力保障专项采购项目</w:t>
      </w:r>
      <w:r>
        <w:rPr>
          <w:rFonts w:hint="eastAsia" w:ascii="宋体" w:hAnsi="宋体" w:cs="宋体"/>
          <w:b/>
          <w:bCs/>
          <w:color w:val="auto"/>
          <w:kern w:val="0"/>
          <w:sz w:val="28"/>
          <w:szCs w:val="28"/>
          <w:highlight w:val="none"/>
        </w:rPr>
        <w:t>采购合同</w:t>
      </w:r>
    </w:p>
    <w:bookmarkEnd w:id="88"/>
    <w:bookmarkEnd w:id="89"/>
    <w:p w14:paraId="4C900974">
      <w:pPr>
        <w:spacing w:line="360" w:lineRule="auto"/>
        <w:rPr>
          <w:rFonts w:ascii="宋体" w:cs="宋体"/>
          <w:color w:val="auto"/>
          <w:sz w:val="24"/>
          <w:highlight w:val="none"/>
        </w:rPr>
      </w:pPr>
      <w:r>
        <w:rPr>
          <w:rFonts w:hint="eastAsia" w:ascii="宋体" w:cs="宋体"/>
          <w:color w:val="auto"/>
          <w:sz w:val="24"/>
          <w:highlight w:val="none"/>
        </w:rPr>
        <w:t>甲方（采购人）:</w:t>
      </w:r>
    </w:p>
    <w:p w14:paraId="3EF1741B">
      <w:pPr>
        <w:spacing w:line="360" w:lineRule="auto"/>
        <w:rPr>
          <w:rFonts w:ascii="宋体" w:cs="宋体"/>
          <w:color w:val="auto"/>
          <w:sz w:val="24"/>
          <w:highlight w:val="none"/>
        </w:rPr>
      </w:pPr>
      <w:r>
        <w:rPr>
          <w:rFonts w:hint="eastAsia" w:ascii="宋体" w:cs="宋体"/>
          <w:color w:val="auto"/>
          <w:sz w:val="24"/>
          <w:highlight w:val="none"/>
        </w:rPr>
        <w:t xml:space="preserve">乙方（供应商）:                                  </w:t>
      </w:r>
    </w:p>
    <w:p w14:paraId="18323C18">
      <w:pPr>
        <w:spacing w:line="360" w:lineRule="auto"/>
        <w:ind w:firstLine="480" w:firstLineChars="200"/>
        <w:rPr>
          <w:rFonts w:ascii="宋体" w:cs="宋体"/>
          <w:color w:val="auto"/>
          <w:sz w:val="24"/>
          <w:highlight w:val="none"/>
        </w:rPr>
      </w:pPr>
      <w:r>
        <w:rPr>
          <w:rFonts w:hint="eastAsia" w:ascii="宋体" w:cs="宋体"/>
          <w:color w:val="auto"/>
          <w:sz w:val="24"/>
          <w:highlight w:val="none"/>
        </w:rPr>
        <w:t>根据</w:t>
      </w:r>
      <w:r>
        <w:rPr>
          <w:rFonts w:hint="eastAsia" w:ascii="宋体" w:cs="宋体"/>
          <w:snapToGrid w:val="0"/>
          <w:color w:val="auto"/>
          <w:kern w:val="0"/>
          <w:sz w:val="24"/>
          <w:highlight w:val="none"/>
        </w:rPr>
        <w:t>《中华人民共和国民法典（合同编）》、</w:t>
      </w:r>
      <w:r>
        <w:rPr>
          <w:rFonts w:hint="eastAsia" w:ascii="宋体" w:cs="宋体"/>
          <w:color w:val="auto"/>
          <w:sz w:val="24"/>
          <w:highlight w:val="none"/>
        </w:rPr>
        <w:t>《中华人民共和国政府采购法》等相关法律规定，甲方对____________采购项目以_____方式进行采购（采购项目编号：________ ），确定乙方为中标人（成交商），现依照招标文件（谈判文件、询价通知书、磋商文件、单一来源）、投标文件（响应文件）等相关文件的内容，双方达成如下协议：</w:t>
      </w:r>
    </w:p>
    <w:p w14:paraId="682C1D57">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第一条 采购货物清单</w:t>
      </w:r>
    </w:p>
    <w:p w14:paraId="275887AE">
      <w:pPr>
        <w:pStyle w:val="45"/>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货物清单</w:t>
      </w:r>
    </w:p>
    <w:tbl>
      <w:tblPr>
        <w:tblStyle w:val="88"/>
        <w:tblW w:w="8864" w:type="dxa"/>
        <w:tblInd w:w="-1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6"/>
        <w:gridCol w:w="1095"/>
        <w:gridCol w:w="1290"/>
        <w:gridCol w:w="840"/>
        <w:gridCol w:w="764"/>
        <w:gridCol w:w="1530"/>
        <w:gridCol w:w="1500"/>
      </w:tblGrid>
      <w:tr w14:paraId="14455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46" w:type="dxa"/>
            <w:tcBorders>
              <w:top w:val="single" w:color="auto" w:sz="4" w:space="0"/>
              <w:left w:val="single" w:color="auto" w:sz="4" w:space="0"/>
              <w:bottom w:val="single" w:color="auto" w:sz="4" w:space="0"/>
              <w:right w:val="single" w:color="auto" w:sz="4" w:space="0"/>
            </w:tcBorders>
            <w:vAlign w:val="center"/>
          </w:tcPr>
          <w:p w14:paraId="66912AE1">
            <w:pPr>
              <w:pStyle w:val="400"/>
              <w:autoSpaceDN w:val="0"/>
              <w:adjustRightInd w:val="0"/>
              <w:snapToGrid w:val="0"/>
              <w:spacing w:line="360" w:lineRule="auto"/>
              <w:rPr>
                <w:rFonts w:ascii="宋体" w:cs="宋体"/>
                <w:b/>
                <w:bCs/>
                <w:color w:val="auto"/>
                <w:sz w:val="24"/>
                <w:highlight w:val="none"/>
              </w:rPr>
            </w:pPr>
            <w:r>
              <w:rPr>
                <w:rFonts w:hint="eastAsia" w:ascii="宋体" w:cs="宋体"/>
                <w:b/>
                <w:bCs/>
                <w:color w:val="auto"/>
                <w:sz w:val="24"/>
                <w:highlight w:val="none"/>
              </w:rPr>
              <w:t>货物名称</w:t>
            </w:r>
          </w:p>
        </w:tc>
        <w:tc>
          <w:tcPr>
            <w:tcW w:w="1095" w:type="dxa"/>
            <w:tcBorders>
              <w:top w:val="single" w:color="auto" w:sz="4" w:space="0"/>
              <w:left w:val="single" w:color="auto" w:sz="4" w:space="0"/>
              <w:bottom w:val="single" w:color="auto" w:sz="4" w:space="0"/>
              <w:right w:val="single" w:color="auto" w:sz="4" w:space="0"/>
            </w:tcBorders>
            <w:vAlign w:val="center"/>
          </w:tcPr>
          <w:p w14:paraId="0BCD1FBE">
            <w:pPr>
              <w:pStyle w:val="401"/>
              <w:autoSpaceDN w:val="0"/>
              <w:adjustRightInd w:val="0"/>
              <w:snapToGrid w:val="0"/>
              <w:spacing w:line="360" w:lineRule="auto"/>
              <w:rPr>
                <w:rFonts w:ascii="宋体" w:cs="宋体"/>
                <w:b/>
                <w:bCs/>
                <w:color w:val="auto"/>
                <w:sz w:val="24"/>
                <w:highlight w:val="none"/>
              </w:rPr>
            </w:pPr>
            <w:r>
              <w:rPr>
                <w:rFonts w:hint="eastAsia" w:ascii="宋体" w:cs="宋体"/>
                <w:b/>
                <w:bCs/>
                <w:color w:val="auto"/>
                <w:sz w:val="24"/>
                <w:highlight w:val="none"/>
              </w:rPr>
              <w:t>品牌</w:t>
            </w:r>
          </w:p>
        </w:tc>
        <w:tc>
          <w:tcPr>
            <w:tcW w:w="1290" w:type="dxa"/>
            <w:tcBorders>
              <w:top w:val="single" w:color="auto" w:sz="4" w:space="0"/>
              <w:left w:val="single" w:color="auto" w:sz="4" w:space="0"/>
              <w:bottom w:val="single" w:color="auto" w:sz="4" w:space="0"/>
              <w:right w:val="single" w:color="auto" w:sz="4" w:space="0"/>
            </w:tcBorders>
            <w:vAlign w:val="center"/>
          </w:tcPr>
          <w:p w14:paraId="0CB6E568">
            <w:pPr>
              <w:pStyle w:val="402"/>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规格型号</w:t>
            </w:r>
          </w:p>
        </w:tc>
        <w:tc>
          <w:tcPr>
            <w:tcW w:w="840" w:type="dxa"/>
            <w:tcBorders>
              <w:top w:val="single" w:color="auto" w:sz="4" w:space="0"/>
              <w:left w:val="single" w:color="auto" w:sz="4" w:space="0"/>
              <w:bottom w:val="single" w:color="auto" w:sz="4" w:space="0"/>
              <w:right w:val="single" w:color="auto" w:sz="4" w:space="0"/>
            </w:tcBorders>
            <w:vAlign w:val="center"/>
          </w:tcPr>
          <w:p w14:paraId="48285744">
            <w:pPr>
              <w:pStyle w:val="403"/>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产地</w:t>
            </w:r>
          </w:p>
        </w:tc>
        <w:tc>
          <w:tcPr>
            <w:tcW w:w="764" w:type="dxa"/>
            <w:tcBorders>
              <w:top w:val="single" w:color="auto" w:sz="4" w:space="0"/>
              <w:left w:val="single" w:color="auto" w:sz="4" w:space="0"/>
              <w:bottom w:val="single" w:color="auto" w:sz="4" w:space="0"/>
              <w:right w:val="single" w:color="auto" w:sz="4" w:space="0"/>
            </w:tcBorders>
            <w:vAlign w:val="center"/>
          </w:tcPr>
          <w:p w14:paraId="463D72EA">
            <w:pPr>
              <w:pStyle w:val="403"/>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数量</w:t>
            </w:r>
          </w:p>
        </w:tc>
        <w:tc>
          <w:tcPr>
            <w:tcW w:w="1530" w:type="dxa"/>
            <w:tcBorders>
              <w:top w:val="single" w:color="auto" w:sz="4" w:space="0"/>
              <w:left w:val="single" w:color="auto" w:sz="4" w:space="0"/>
              <w:bottom w:val="single" w:color="auto" w:sz="4" w:space="0"/>
              <w:right w:val="single" w:color="auto" w:sz="4" w:space="0"/>
            </w:tcBorders>
            <w:vAlign w:val="center"/>
          </w:tcPr>
          <w:p w14:paraId="6AA227D7">
            <w:pPr>
              <w:pStyle w:val="404"/>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单价（元）</w:t>
            </w:r>
          </w:p>
        </w:tc>
        <w:tc>
          <w:tcPr>
            <w:tcW w:w="1500" w:type="dxa"/>
            <w:tcBorders>
              <w:top w:val="single" w:color="auto" w:sz="4" w:space="0"/>
              <w:left w:val="single" w:color="auto" w:sz="4" w:space="0"/>
              <w:bottom w:val="single" w:color="auto" w:sz="4" w:space="0"/>
              <w:right w:val="single" w:color="auto" w:sz="4" w:space="0"/>
            </w:tcBorders>
            <w:vAlign w:val="center"/>
          </w:tcPr>
          <w:p w14:paraId="79D6AF32">
            <w:pPr>
              <w:pStyle w:val="405"/>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合计（元）</w:t>
            </w:r>
          </w:p>
        </w:tc>
      </w:tr>
      <w:tr w14:paraId="236A9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1846" w:type="dxa"/>
            <w:tcBorders>
              <w:top w:val="single" w:color="auto" w:sz="4" w:space="0"/>
              <w:left w:val="single" w:color="auto" w:sz="4" w:space="0"/>
              <w:bottom w:val="single" w:color="auto" w:sz="4" w:space="0"/>
              <w:right w:val="single" w:color="auto" w:sz="4" w:space="0"/>
            </w:tcBorders>
            <w:vAlign w:val="center"/>
          </w:tcPr>
          <w:p w14:paraId="3C729213">
            <w:pPr>
              <w:pStyle w:val="406"/>
              <w:autoSpaceDN w:val="0"/>
              <w:adjustRightInd w:val="0"/>
              <w:snapToGrid w:val="0"/>
              <w:spacing w:line="360" w:lineRule="auto"/>
              <w:jc w:val="center"/>
              <w:rPr>
                <w:rFonts w:ascii="宋体" w:cs="宋体"/>
                <w:b/>
                <w:bCs/>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5ADCD8A3">
            <w:pPr>
              <w:pStyle w:val="407"/>
              <w:autoSpaceDN w:val="0"/>
              <w:adjustRightInd w:val="0"/>
              <w:snapToGrid w:val="0"/>
              <w:spacing w:line="360" w:lineRule="auto"/>
              <w:jc w:val="center"/>
              <w:rPr>
                <w:rFonts w:ascii="宋体" w:cs="宋体"/>
                <w:b/>
                <w:bCs/>
                <w:color w:val="auto"/>
                <w:sz w:val="24"/>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1E4EB346">
            <w:pPr>
              <w:pStyle w:val="408"/>
              <w:autoSpaceDN w:val="0"/>
              <w:adjustRightInd w:val="0"/>
              <w:snapToGrid w:val="0"/>
              <w:spacing w:line="360" w:lineRule="auto"/>
              <w:ind w:firstLine="482"/>
              <w:jc w:val="center"/>
              <w:rPr>
                <w:rFonts w:ascii="宋体" w:cs="宋体"/>
                <w:b/>
                <w:bCs/>
                <w:color w:val="auto"/>
                <w:sz w:val="24"/>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14:paraId="76D465DB">
            <w:pPr>
              <w:pStyle w:val="409"/>
              <w:autoSpaceDN w:val="0"/>
              <w:adjustRightInd w:val="0"/>
              <w:snapToGrid w:val="0"/>
              <w:spacing w:line="360" w:lineRule="auto"/>
              <w:ind w:left="1680"/>
              <w:jc w:val="center"/>
              <w:rPr>
                <w:rFonts w:ascii="宋体" w:cs="宋体"/>
                <w:b/>
                <w:bCs/>
                <w:color w:val="auto"/>
                <w:sz w:val="24"/>
                <w:highlight w:val="none"/>
              </w:rPr>
            </w:pPr>
          </w:p>
        </w:tc>
        <w:tc>
          <w:tcPr>
            <w:tcW w:w="764" w:type="dxa"/>
            <w:tcBorders>
              <w:top w:val="single" w:color="auto" w:sz="4" w:space="0"/>
              <w:left w:val="single" w:color="auto" w:sz="4" w:space="0"/>
              <w:bottom w:val="single" w:color="auto" w:sz="4" w:space="0"/>
              <w:right w:val="single" w:color="auto" w:sz="4" w:space="0"/>
            </w:tcBorders>
            <w:vAlign w:val="center"/>
          </w:tcPr>
          <w:p w14:paraId="6F187237">
            <w:pPr>
              <w:pStyle w:val="409"/>
              <w:autoSpaceDN w:val="0"/>
              <w:adjustRightInd w:val="0"/>
              <w:snapToGrid w:val="0"/>
              <w:spacing w:line="360" w:lineRule="auto"/>
              <w:ind w:left="1680"/>
              <w:jc w:val="center"/>
              <w:rPr>
                <w:rFonts w:ascii="宋体" w:cs="宋体"/>
                <w:b/>
                <w:bCs/>
                <w:color w:val="auto"/>
                <w:sz w:val="24"/>
                <w:highlight w:val="none"/>
              </w:rPr>
            </w:pPr>
          </w:p>
        </w:tc>
        <w:tc>
          <w:tcPr>
            <w:tcW w:w="1530" w:type="dxa"/>
            <w:tcBorders>
              <w:top w:val="single" w:color="auto" w:sz="4" w:space="0"/>
              <w:left w:val="single" w:color="auto" w:sz="4" w:space="0"/>
              <w:bottom w:val="single" w:color="auto" w:sz="4" w:space="0"/>
              <w:right w:val="single" w:color="auto" w:sz="4" w:space="0"/>
            </w:tcBorders>
            <w:vAlign w:val="center"/>
          </w:tcPr>
          <w:p w14:paraId="1885A5ED">
            <w:pPr>
              <w:pStyle w:val="410"/>
              <w:autoSpaceDN w:val="0"/>
              <w:adjustRightInd w:val="0"/>
              <w:snapToGrid w:val="0"/>
              <w:spacing w:line="360" w:lineRule="auto"/>
              <w:ind w:left="840"/>
              <w:jc w:val="center"/>
              <w:rPr>
                <w:rFonts w:ascii="宋体" w:cs="宋体"/>
                <w:b/>
                <w:bCs/>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14:paraId="6E27D182">
            <w:pPr>
              <w:pStyle w:val="411"/>
              <w:autoSpaceDN w:val="0"/>
              <w:adjustRightInd w:val="0"/>
              <w:snapToGrid w:val="0"/>
              <w:spacing w:line="360" w:lineRule="auto"/>
              <w:jc w:val="center"/>
              <w:rPr>
                <w:rFonts w:ascii="宋体" w:cs="宋体"/>
                <w:b/>
                <w:bCs/>
                <w:color w:val="auto"/>
                <w:sz w:val="24"/>
                <w:highlight w:val="none"/>
              </w:rPr>
            </w:pPr>
          </w:p>
        </w:tc>
      </w:tr>
      <w:tr w14:paraId="50023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1846" w:type="dxa"/>
            <w:tcBorders>
              <w:top w:val="single" w:color="auto" w:sz="4" w:space="0"/>
              <w:left w:val="single" w:color="auto" w:sz="4" w:space="0"/>
              <w:bottom w:val="single" w:color="auto" w:sz="4" w:space="0"/>
              <w:right w:val="single" w:color="auto" w:sz="4" w:space="0"/>
            </w:tcBorders>
            <w:vAlign w:val="center"/>
          </w:tcPr>
          <w:p w14:paraId="14FD4E2D">
            <w:pPr>
              <w:pStyle w:val="412"/>
              <w:autoSpaceDN w:val="0"/>
              <w:adjustRightInd w:val="0"/>
              <w:snapToGrid w:val="0"/>
              <w:spacing w:line="360" w:lineRule="auto"/>
              <w:ind w:left="2940"/>
              <w:jc w:val="center"/>
              <w:rPr>
                <w:rFonts w:ascii="宋体" w:cs="宋体"/>
                <w:b/>
                <w:bCs/>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0F7E011B">
            <w:pPr>
              <w:pStyle w:val="413"/>
              <w:autoSpaceDN w:val="0"/>
              <w:adjustRightInd w:val="0"/>
              <w:snapToGrid w:val="0"/>
              <w:spacing w:line="360" w:lineRule="auto"/>
              <w:jc w:val="center"/>
              <w:rPr>
                <w:rFonts w:ascii="宋体" w:cs="宋体"/>
                <w:b/>
                <w:bCs/>
                <w:color w:val="auto"/>
                <w:sz w:val="24"/>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26103788">
            <w:pPr>
              <w:pStyle w:val="414"/>
              <w:autoSpaceDN w:val="0"/>
              <w:adjustRightInd w:val="0"/>
              <w:snapToGrid w:val="0"/>
              <w:spacing w:line="360" w:lineRule="auto"/>
              <w:ind w:left="420" w:firstLine="542"/>
              <w:jc w:val="center"/>
              <w:rPr>
                <w:rFonts w:ascii="宋体" w:cs="宋体"/>
                <w:b/>
                <w:bCs/>
                <w:color w:val="auto"/>
                <w:sz w:val="24"/>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14:paraId="31646B49">
            <w:pPr>
              <w:pStyle w:val="415"/>
              <w:autoSpaceDN w:val="0"/>
              <w:adjustRightInd w:val="0"/>
              <w:snapToGrid w:val="0"/>
              <w:spacing w:line="360" w:lineRule="auto"/>
              <w:jc w:val="center"/>
              <w:rPr>
                <w:rFonts w:ascii="宋体" w:cs="宋体"/>
                <w:b/>
                <w:bCs/>
                <w:color w:val="auto"/>
                <w:sz w:val="24"/>
                <w:highlight w:val="none"/>
              </w:rPr>
            </w:pPr>
          </w:p>
        </w:tc>
        <w:tc>
          <w:tcPr>
            <w:tcW w:w="764" w:type="dxa"/>
            <w:tcBorders>
              <w:top w:val="single" w:color="auto" w:sz="4" w:space="0"/>
              <w:left w:val="single" w:color="auto" w:sz="4" w:space="0"/>
              <w:bottom w:val="single" w:color="auto" w:sz="4" w:space="0"/>
              <w:right w:val="single" w:color="auto" w:sz="4" w:space="0"/>
            </w:tcBorders>
            <w:vAlign w:val="center"/>
          </w:tcPr>
          <w:p w14:paraId="07F7D3BD">
            <w:pPr>
              <w:pStyle w:val="415"/>
              <w:autoSpaceDN w:val="0"/>
              <w:adjustRightInd w:val="0"/>
              <w:snapToGrid w:val="0"/>
              <w:spacing w:line="360" w:lineRule="auto"/>
              <w:jc w:val="center"/>
              <w:rPr>
                <w:rFonts w:ascii="宋体" w:cs="宋体"/>
                <w:b/>
                <w:bCs/>
                <w:color w:val="auto"/>
                <w:sz w:val="24"/>
                <w:highlight w:val="none"/>
              </w:rPr>
            </w:pPr>
          </w:p>
        </w:tc>
        <w:tc>
          <w:tcPr>
            <w:tcW w:w="1530" w:type="dxa"/>
            <w:tcBorders>
              <w:top w:val="single" w:color="auto" w:sz="4" w:space="0"/>
              <w:left w:val="single" w:color="auto" w:sz="4" w:space="0"/>
              <w:bottom w:val="single" w:color="auto" w:sz="4" w:space="0"/>
              <w:right w:val="single" w:color="auto" w:sz="4" w:space="0"/>
            </w:tcBorders>
            <w:vAlign w:val="center"/>
          </w:tcPr>
          <w:p w14:paraId="73A8F0AF">
            <w:pPr>
              <w:pStyle w:val="416"/>
              <w:autoSpaceDN w:val="0"/>
              <w:adjustRightInd w:val="0"/>
              <w:snapToGrid w:val="0"/>
              <w:spacing w:line="360" w:lineRule="auto"/>
              <w:jc w:val="center"/>
              <w:rPr>
                <w:rFonts w:ascii="宋体" w:cs="宋体"/>
                <w:b/>
                <w:bCs/>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14:paraId="29845501">
            <w:pPr>
              <w:pStyle w:val="417"/>
              <w:autoSpaceDN w:val="0"/>
              <w:adjustRightInd w:val="0"/>
              <w:snapToGrid w:val="0"/>
              <w:spacing w:line="360" w:lineRule="auto"/>
              <w:jc w:val="center"/>
              <w:rPr>
                <w:rFonts w:ascii="宋体" w:cs="宋体"/>
                <w:b/>
                <w:bCs/>
                <w:color w:val="auto"/>
                <w:sz w:val="24"/>
                <w:highlight w:val="none"/>
              </w:rPr>
            </w:pPr>
          </w:p>
        </w:tc>
      </w:tr>
      <w:tr w14:paraId="0F8D6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64" w:type="dxa"/>
            <w:gridSpan w:val="6"/>
            <w:tcBorders>
              <w:top w:val="single" w:color="auto" w:sz="4" w:space="0"/>
              <w:left w:val="single" w:color="auto" w:sz="4" w:space="0"/>
              <w:bottom w:val="single" w:color="auto" w:sz="4" w:space="0"/>
              <w:right w:val="single" w:color="auto" w:sz="4" w:space="0"/>
            </w:tcBorders>
            <w:vAlign w:val="center"/>
          </w:tcPr>
          <w:p w14:paraId="0E5BDD9E">
            <w:pPr>
              <w:pStyle w:val="418"/>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设备总价</w:t>
            </w:r>
          </w:p>
        </w:tc>
        <w:tc>
          <w:tcPr>
            <w:tcW w:w="1500" w:type="dxa"/>
            <w:tcBorders>
              <w:top w:val="single" w:color="auto" w:sz="4" w:space="0"/>
              <w:left w:val="single" w:color="auto" w:sz="4" w:space="0"/>
              <w:bottom w:val="single" w:color="auto" w:sz="4" w:space="0"/>
              <w:right w:val="single" w:color="auto" w:sz="4" w:space="0"/>
            </w:tcBorders>
            <w:vAlign w:val="center"/>
          </w:tcPr>
          <w:p w14:paraId="7968C4FB">
            <w:pPr>
              <w:pStyle w:val="419"/>
              <w:autoSpaceDN w:val="0"/>
              <w:adjustRightInd w:val="0"/>
              <w:snapToGrid w:val="0"/>
              <w:spacing w:line="360" w:lineRule="auto"/>
              <w:ind w:left="1260"/>
              <w:jc w:val="center"/>
              <w:rPr>
                <w:rFonts w:ascii="宋体" w:cs="宋体"/>
                <w:b/>
                <w:bCs/>
                <w:color w:val="auto"/>
                <w:sz w:val="24"/>
                <w:highlight w:val="none"/>
              </w:rPr>
            </w:pPr>
          </w:p>
        </w:tc>
      </w:tr>
      <w:tr w14:paraId="231FF4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64" w:type="dxa"/>
            <w:gridSpan w:val="6"/>
            <w:tcBorders>
              <w:top w:val="single" w:color="auto" w:sz="4" w:space="0"/>
              <w:left w:val="single" w:color="auto" w:sz="4" w:space="0"/>
              <w:bottom w:val="single" w:color="auto" w:sz="4" w:space="0"/>
              <w:right w:val="single" w:color="auto" w:sz="4" w:space="0"/>
            </w:tcBorders>
            <w:vAlign w:val="center"/>
          </w:tcPr>
          <w:p w14:paraId="4647F8EF">
            <w:pPr>
              <w:pStyle w:val="418"/>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运保费</w:t>
            </w:r>
          </w:p>
        </w:tc>
        <w:tc>
          <w:tcPr>
            <w:tcW w:w="1500" w:type="dxa"/>
            <w:tcBorders>
              <w:top w:val="single" w:color="auto" w:sz="4" w:space="0"/>
              <w:left w:val="single" w:color="auto" w:sz="4" w:space="0"/>
              <w:bottom w:val="single" w:color="auto" w:sz="4" w:space="0"/>
              <w:right w:val="single" w:color="auto" w:sz="4" w:space="0"/>
            </w:tcBorders>
            <w:vAlign w:val="center"/>
          </w:tcPr>
          <w:p w14:paraId="1C650C3A">
            <w:pPr>
              <w:pStyle w:val="419"/>
              <w:autoSpaceDN w:val="0"/>
              <w:adjustRightInd w:val="0"/>
              <w:snapToGrid w:val="0"/>
              <w:spacing w:line="360" w:lineRule="auto"/>
              <w:ind w:left="1260"/>
              <w:jc w:val="center"/>
              <w:rPr>
                <w:rFonts w:ascii="宋体" w:cs="宋体"/>
                <w:b/>
                <w:bCs/>
                <w:color w:val="auto"/>
                <w:sz w:val="24"/>
                <w:highlight w:val="none"/>
              </w:rPr>
            </w:pPr>
          </w:p>
        </w:tc>
      </w:tr>
      <w:tr w14:paraId="149E4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64" w:type="dxa"/>
            <w:gridSpan w:val="6"/>
            <w:tcBorders>
              <w:top w:val="single" w:color="auto" w:sz="4" w:space="0"/>
              <w:left w:val="single" w:color="auto" w:sz="4" w:space="0"/>
              <w:bottom w:val="single" w:color="auto" w:sz="4" w:space="0"/>
              <w:right w:val="single" w:color="auto" w:sz="4" w:space="0"/>
            </w:tcBorders>
            <w:vAlign w:val="center"/>
          </w:tcPr>
          <w:p w14:paraId="05AC847B">
            <w:pPr>
              <w:pStyle w:val="418"/>
              <w:autoSpaceDN w:val="0"/>
              <w:adjustRightInd w:val="0"/>
              <w:snapToGrid w:val="0"/>
              <w:spacing w:line="360" w:lineRule="auto"/>
              <w:jc w:val="center"/>
              <w:rPr>
                <w:rFonts w:ascii="宋体" w:cs="宋体"/>
                <w:b/>
                <w:bCs/>
                <w:color w:val="auto"/>
                <w:sz w:val="24"/>
                <w:highlight w:val="none"/>
              </w:rPr>
            </w:pPr>
            <w:r>
              <w:rPr>
                <w:rFonts w:hint="eastAsia" w:ascii="宋体" w:cs="宋体"/>
                <w:b/>
                <w:bCs/>
                <w:color w:val="auto"/>
                <w:sz w:val="24"/>
                <w:highlight w:val="none"/>
              </w:rPr>
              <w:t>安装调试费</w:t>
            </w:r>
          </w:p>
        </w:tc>
        <w:tc>
          <w:tcPr>
            <w:tcW w:w="1500" w:type="dxa"/>
            <w:tcBorders>
              <w:top w:val="single" w:color="auto" w:sz="4" w:space="0"/>
              <w:left w:val="single" w:color="auto" w:sz="4" w:space="0"/>
              <w:bottom w:val="single" w:color="auto" w:sz="4" w:space="0"/>
              <w:right w:val="single" w:color="auto" w:sz="4" w:space="0"/>
            </w:tcBorders>
            <w:vAlign w:val="center"/>
          </w:tcPr>
          <w:p w14:paraId="78469184">
            <w:pPr>
              <w:pStyle w:val="419"/>
              <w:autoSpaceDN w:val="0"/>
              <w:adjustRightInd w:val="0"/>
              <w:snapToGrid w:val="0"/>
              <w:spacing w:line="360" w:lineRule="auto"/>
              <w:ind w:left="1260"/>
              <w:jc w:val="center"/>
              <w:rPr>
                <w:rFonts w:ascii="宋体" w:cs="宋体"/>
                <w:b/>
                <w:bCs/>
                <w:color w:val="auto"/>
                <w:sz w:val="24"/>
                <w:highlight w:val="none"/>
              </w:rPr>
            </w:pPr>
          </w:p>
        </w:tc>
      </w:tr>
      <w:tr w14:paraId="4066F0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7364" w:type="dxa"/>
            <w:gridSpan w:val="6"/>
            <w:tcBorders>
              <w:top w:val="single" w:color="auto" w:sz="4" w:space="0"/>
              <w:left w:val="single" w:color="auto" w:sz="4" w:space="0"/>
              <w:bottom w:val="single" w:color="auto" w:sz="4" w:space="0"/>
              <w:right w:val="single" w:color="auto" w:sz="4" w:space="0"/>
            </w:tcBorders>
            <w:vAlign w:val="center"/>
          </w:tcPr>
          <w:p w14:paraId="5DA9DC84">
            <w:pPr>
              <w:pStyle w:val="418"/>
              <w:autoSpaceDN w:val="0"/>
              <w:adjustRightInd w:val="0"/>
              <w:snapToGrid w:val="0"/>
              <w:spacing w:line="360" w:lineRule="auto"/>
              <w:jc w:val="center"/>
              <w:rPr>
                <w:rFonts w:ascii="宋体" w:cs="宋体"/>
                <w:b/>
                <w:bCs/>
                <w:color w:val="auto"/>
                <w:sz w:val="24"/>
                <w:highlight w:val="none"/>
                <w:u w:val="single"/>
              </w:rPr>
            </w:pPr>
            <w:r>
              <w:rPr>
                <w:rFonts w:hint="eastAsia" w:ascii="宋体" w:cs="宋体"/>
                <w:b/>
                <w:bCs/>
                <w:color w:val="auto"/>
                <w:sz w:val="24"/>
                <w:highlight w:val="none"/>
              </w:rPr>
              <w:t>制造商维保服务费（</w:t>
            </w:r>
            <w:r>
              <w:rPr>
                <w:rFonts w:hint="eastAsia" w:ascii="宋体" w:cs="宋体"/>
                <w:b/>
                <w:bCs/>
                <w:color w:val="auto"/>
                <w:sz w:val="24"/>
                <w:highlight w:val="none"/>
                <w:u w:val="single"/>
              </w:rPr>
              <w:t xml:space="preserve">    年）</w:t>
            </w:r>
          </w:p>
        </w:tc>
        <w:tc>
          <w:tcPr>
            <w:tcW w:w="1500" w:type="dxa"/>
            <w:tcBorders>
              <w:top w:val="single" w:color="auto" w:sz="4" w:space="0"/>
              <w:left w:val="single" w:color="auto" w:sz="4" w:space="0"/>
              <w:bottom w:val="single" w:color="auto" w:sz="4" w:space="0"/>
              <w:right w:val="single" w:color="auto" w:sz="4" w:space="0"/>
            </w:tcBorders>
            <w:vAlign w:val="center"/>
          </w:tcPr>
          <w:p w14:paraId="136D633C">
            <w:pPr>
              <w:pStyle w:val="419"/>
              <w:autoSpaceDN w:val="0"/>
              <w:adjustRightInd w:val="0"/>
              <w:snapToGrid w:val="0"/>
              <w:spacing w:line="360" w:lineRule="auto"/>
              <w:ind w:left="1260"/>
              <w:jc w:val="center"/>
              <w:rPr>
                <w:rFonts w:ascii="宋体" w:cs="宋体"/>
                <w:b/>
                <w:bCs/>
                <w:color w:val="auto"/>
                <w:sz w:val="24"/>
                <w:highlight w:val="none"/>
              </w:rPr>
            </w:pPr>
          </w:p>
        </w:tc>
      </w:tr>
      <w:tr w14:paraId="7FB99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trPr>
        <w:tc>
          <w:tcPr>
            <w:tcW w:w="7364" w:type="dxa"/>
            <w:gridSpan w:val="6"/>
            <w:tcBorders>
              <w:top w:val="single" w:color="auto" w:sz="4" w:space="0"/>
              <w:left w:val="single" w:color="auto" w:sz="4" w:space="0"/>
              <w:bottom w:val="single" w:color="auto" w:sz="4" w:space="0"/>
              <w:right w:val="single" w:color="auto" w:sz="4" w:space="0"/>
            </w:tcBorders>
            <w:vAlign w:val="center"/>
          </w:tcPr>
          <w:p w14:paraId="2806B452">
            <w:pPr>
              <w:pStyle w:val="418"/>
              <w:autoSpaceDN w:val="0"/>
              <w:adjustRightInd w:val="0"/>
              <w:snapToGrid w:val="0"/>
              <w:spacing w:line="360" w:lineRule="auto"/>
              <w:ind w:right="964"/>
              <w:jc w:val="center"/>
              <w:rPr>
                <w:rFonts w:ascii="宋体" w:cs="宋体"/>
                <w:b/>
                <w:bCs/>
                <w:color w:val="auto"/>
                <w:sz w:val="24"/>
                <w:highlight w:val="none"/>
              </w:rPr>
            </w:pPr>
            <w:r>
              <w:rPr>
                <w:rFonts w:hint="eastAsia" w:ascii="宋体" w:cs="宋体"/>
                <w:b/>
                <w:bCs/>
                <w:color w:val="auto"/>
                <w:sz w:val="24"/>
                <w:highlight w:val="none"/>
              </w:rPr>
              <w:t xml:space="preserve">        </w:t>
            </w:r>
            <w:r>
              <w:rPr>
                <w:rFonts w:ascii="宋体" w:cs="宋体"/>
                <w:b/>
                <w:bCs/>
                <w:color w:val="auto"/>
                <w:sz w:val="24"/>
                <w:highlight w:val="none"/>
              </w:rPr>
              <w:t>合同</w:t>
            </w:r>
            <w:r>
              <w:rPr>
                <w:rFonts w:hint="eastAsia" w:ascii="宋体" w:cs="宋体"/>
                <w:b/>
                <w:bCs/>
                <w:color w:val="auto"/>
                <w:sz w:val="24"/>
                <w:highlight w:val="none"/>
              </w:rPr>
              <w:t>总价</w:t>
            </w:r>
          </w:p>
        </w:tc>
        <w:tc>
          <w:tcPr>
            <w:tcW w:w="1500" w:type="dxa"/>
            <w:tcBorders>
              <w:top w:val="single" w:color="auto" w:sz="4" w:space="0"/>
              <w:left w:val="single" w:color="auto" w:sz="4" w:space="0"/>
              <w:bottom w:val="single" w:color="auto" w:sz="4" w:space="0"/>
              <w:right w:val="single" w:color="auto" w:sz="4" w:space="0"/>
            </w:tcBorders>
            <w:vAlign w:val="center"/>
          </w:tcPr>
          <w:p w14:paraId="185A8B92">
            <w:pPr>
              <w:pStyle w:val="419"/>
              <w:autoSpaceDN w:val="0"/>
              <w:adjustRightInd w:val="0"/>
              <w:snapToGrid w:val="0"/>
              <w:spacing w:line="360" w:lineRule="auto"/>
              <w:ind w:left="1260"/>
              <w:jc w:val="center"/>
              <w:rPr>
                <w:rFonts w:ascii="宋体" w:cs="宋体"/>
                <w:b/>
                <w:bCs/>
                <w:color w:val="auto"/>
                <w:sz w:val="24"/>
                <w:highlight w:val="none"/>
              </w:rPr>
            </w:pPr>
          </w:p>
        </w:tc>
      </w:tr>
    </w:tbl>
    <w:p w14:paraId="5057A9D1">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第二条 合同总价款</w:t>
      </w:r>
    </w:p>
    <w:p w14:paraId="35E9F69D">
      <w:pPr>
        <w:pStyle w:val="420"/>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甲方以支付总价款（人民币大写） __________元，接受乙方对上述货物的供货和伴随服务。包括乙方提供货物、包装、运输、货物的保险和储存、检测、验收、安装调试、保修服务、培训、资料及提供的伴随服务等所有成本、费用及税费，甲方（用户）无需再向乙方支付其他任何费用。详见附件分项报价表、设备配置清单和技术偏离表。</w:t>
      </w:r>
    </w:p>
    <w:p w14:paraId="5777DDE0">
      <w:pPr>
        <w:pStyle w:val="421"/>
        <w:spacing w:line="360" w:lineRule="auto"/>
        <w:ind w:firstLine="482" w:firstLineChars="200"/>
        <w:rPr>
          <w:rFonts w:ascii="宋体" w:eastAsia="宋体" w:cs="宋体"/>
          <w:color w:val="auto"/>
          <w:sz w:val="24"/>
          <w:szCs w:val="24"/>
          <w:highlight w:val="none"/>
        </w:rPr>
      </w:pPr>
      <w:r>
        <w:rPr>
          <w:rFonts w:hint="eastAsia" w:ascii="宋体" w:eastAsia="宋体" w:cs="宋体"/>
          <w:b/>
          <w:bCs/>
          <w:color w:val="auto"/>
          <w:sz w:val="24"/>
          <w:szCs w:val="24"/>
          <w:highlight w:val="none"/>
        </w:rPr>
        <w:t>第三条 付款条件</w:t>
      </w:r>
      <w:r>
        <w:rPr>
          <w:rFonts w:hint="eastAsia" w:ascii="宋体" w:eastAsia="宋体" w:cs="宋体"/>
          <w:bCs/>
          <w:color w:val="auto"/>
          <w:sz w:val="24"/>
          <w:szCs w:val="24"/>
          <w:highlight w:val="none"/>
        </w:rPr>
        <w:t>（注：项目需求书中另有要求的，以项目需求书中的约定为准）</w:t>
      </w:r>
    </w:p>
    <w:p w14:paraId="7EF7DBD7">
      <w:pPr>
        <w:spacing w:line="360" w:lineRule="auto"/>
        <w:ind w:firstLine="480" w:firstLineChars="200"/>
        <w:rPr>
          <w:rFonts w:ascii="宋体" w:cs="宋体"/>
          <w:color w:val="auto"/>
          <w:sz w:val="24"/>
          <w:highlight w:val="none"/>
        </w:rPr>
      </w:pPr>
      <w:r>
        <w:rPr>
          <w:rFonts w:hint="eastAsia" w:ascii="宋体" w:cs="宋体"/>
          <w:color w:val="auto"/>
          <w:sz w:val="24"/>
          <w:highlight w:val="none"/>
        </w:rPr>
        <w:t>（一）本合同以人民币付款。</w:t>
      </w:r>
    </w:p>
    <w:p w14:paraId="59AE939C">
      <w:pPr>
        <w:spacing w:line="360" w:lineRule="auto"/>
        <w:ind w:firstLine="480" w:firstLineChars="200"/>
        <w:rPr>
          <w:rFonts w:ascii="宋体" w:cs="宋体"/>
          <w:color w:val="auto"/>
          <w:sz w:val="24"/>
          <w:highlight w:val="none"/>
        </w:rPr>
      </w:pPr>
      <w:r>
        <w:rPr>
          <w:rFonts w:hint="eastAsia" w:ascii="宋体" w:cs="宋体"/>
          <w:color w:val="auto"/>
          <w:sz w:val="24"/>
          <w:highlight w:val="none"/>
        </w:rPr>
        <w:t>（二）付款办法：</w:t>
      </w:r>
    </w:p>
    <w:p w14:paraId="0D4DCBDA">
      <w:pPr>
        <w:spacing w:line="360" w:lineRule="auto"/>
        <w:ind w:firstLine="480" w:firstLineChars="200"/>
        <w:rPr>
          <w:rFonts w:ascii="宋体" w:cs="宋体"/>
          <w:color w:val="auto"/>
          <w:sz w:val="24"/>
          <w:highlight w:val="none"/>
        </w:rPr>
      </w:pPr>
      <w:r>
        <w:rPr>
          <w:rFonts w:hint="eastAsia" w:ascii="宋体" w:cs="宋体"/>
          <w:color w:val="auto"/>
          <w:sz w:val="24"/>
          <w:highlight w:val="none"/>
        </w:rPr>
        <w:t>1.</w:t>
      </w:r>
      <w:r>
        <w:rPr>
          <w:rFonts w:hint="eastAsia" w:ascii="宋体" w:eastAsia="宋体" w:cs="宋体"/>
          <w:color w:val="auto"/>
          <w:sz w:val="24"/>
          <w:szCs w:val="24"/>
          <w:highlight w:val="none"/>
        </w:rPr>
        <w:t>合同签订</w:t>
      </w:r>
      <w:r>
        <w:rPr>
          <w:rFonts w:ascii="宋体" w:eastAsia="宋体" w:cs="宋体"/>
          <w:color w:val="auto"/>
          <w:sz w:val="24"/>
          <w:szCs w:val="24"/>
          <w:highlight w:val="none"/>
        </w:rPr>
        <w:t>后</w:t>
      </w:r>
      <w:r>
        <w:rPr>
          <w:rFonts w:hint="eastAsia" w:ascii="宋体" w:eastAsia="宋体" w:cs="宋体"/>
          <w:color w:val="auto"/>
          <w:sz w:val="24"/>
          <w:szCs w:val="24"/>
          <w:highlight w:val="none"/>
        </w:rPr>
        <w:t>，</w:t>
      </w:r>
      <w:r>
        <w:rPr>
          <w:rFonts w:hint="eastAsia" w:ascii="宋体" w:cs="宋体"/>
          <w:color w:val="auto"/>
          <w:sz w:val="24"/>
          <w:highlight w:val="none"/>
        </w:rPr>
        <w:t>乙方提交下述单据之日起10个工作日内，甲方向乙方支付合同总价70%款项（人民币大写：_______；人民币小写：_______）。</w:t>
      </w:r>
    </w:p>
    <w:p w14:paraId="6FED10C3">
      <w:pPr>
        <w:spacing w:line="360" w:lineRule="auto"/>
        <w:ind w:firstLine="480" w:firstLineChars="200"/>
        <w:rPr>
          <w:rFonts w:ascii="宋体" w:cs="宋体"/>
          <w:color w:val="auto"/>
          <w:sz w:val="24"/>
          <w:highlight w:val="none"/>
        </w:rPr>
      </w:pPr>
      <w:r>
        <w:rPr>
          <w:rFonts w:hint="eastAsia" w:ascii="宋体" w:cs="宋体"/>
          <w:color w:val="auto"/>
          <w:sz w:val="24"/>
          <w:highlight w:val="none"/>
        </w:rPr>
        <w:t>乙方提交单据：合同（正文部分复印件）、中标通知书（或成交通知书）、</w:t>
      </w:r>
      <w:r>
        <w:rPr>
          <w:rFonts w:ascii="宋体" w:cs="宋体"/>
          <w:color w:val="auto"/>
          <w:sz w:val="24"/>
          <w:highlight w:val="none"/>
        </w:rPr>
        <w:t>单台/套设备</w:t>
      </w:r>
      <w:r>
        <w:rPr>
          <w:rFonts w:hint="eastAsia" w:ascii="宋体" w:cs="宋体"/>
          <w:color w:val="auto"/>
          <w:sz w:val="24"/>
          <w:highlight w:val="none"/>
        </w:rPr>
        <w:t>对应款项发票（原件）、履约保证金单据。</w:t>
      </w:r>
    </w:p>
    <w:p w14:paraId="7E389E9E">
      <w:pPr>
        <w:spacing w:line="360" w:lineRule="auto"/>
        <w:ind w:firstLine="480" w:firstLineChars="200"/>
        <w:rPr>
          <w:rFonts w:ascii="宋体" w:cs="宋体"/>
          <w:color w:val="auto"/>
          <w:sz w:val="24"/>
          <w:highlight w:val="none"/>
        </w:rPr>
      </w:pPr>
      <w:r>
        <w:rPr>
          <w:rFonts w:hint="eastAsia" w:ascii="宋体" w:cs="宋体"/>
          <w:color w:val="auto"/>
          <w:sz w:val="24"/>
          <w:highlight w:val="none"/>
        </w:rPr>
        <w:t>2.单台/套设备完成全部到货、安装调试，且经甲方（用户）验收合格后，乙方向甲方提交下述单据之日起10个工作日内，甲方向乙方支付该单台/套设备</w:t>
      </w:r>
      <w:r>
        <w:rPr>
          <w:rFonts w:ascii="宋体" w:cs="宋体"/>
          <w:color w:val="auto"/>
          <w:sz w:val="24"/>
          <w:highlight w:val="none"/>
        </w:rPr>
        <w:t>价格</w:t>
      </w:r>
      <w:r>
        <w:rPr>
          <w:rFonts w:hint="eastAsia" w:ascii="宋体" w:cs="宋体"/>
          <w:color w:val="auto"/>
          <w:sz w:val="24"/>
          <w:highlight w:val="none"/>
        </w:rPr>
        <w:t>30%款项。</w:t>
      </w:r>
    </w:p>
    <w:p w14:paraId="29154368">
      <w:pPr>
        <w:spacing w:line="360" w:lineRule="auto"/>
        <w:ind w:firstLine="480" w:firstLineChars="200"/>
        <w:rPr>
          <w:rFonts w:ascii="宋体" w:cs="宋体"/>
          <w:color w:val="auto"/>
          <w:sz w:val="24"/>
          <w:highlight w:val="none"/>
        </w:rPr>
      </w:pPr>
      <w:r>
        <w:rPr>
          <w:rFonts w:hint="eastAsia" w:ascii="宋体" w:cs="宋体"/>
          <w:color w:val="auto"/>
          <w:sz w:val="24"/>
          <w:highlight w:val="none"/>
        </w:rPr>
        <w:t>乙方提交单据：单台/套</w:t>
      </w:r>
      <w:r>
        <w:rPr>
          <w:rFonts w:ascii="宋体" w:cs="宋体"/>
          <w:color w:val="auto"/>
          <w:sz w:val="24"/>
          <w:highlight w:val="none"/>
        </w:rPr>
        <w:t>设备</w:t>
      </w:r>
      <w:r>
        <w:rPr>
          <w:rFonts w:hint="eastAsia" w:ascii="宋体" w:cs="宋体"/>
          <w:color w:val="auto"/>
          <w:sz w:val="24"/>
          <w:highlight w:val="none"/>
        </w:rPr>
        <w:t>对应款项发票（原件）、到货验收报告、安装调试验收合格报告（须装订成册）（复印件）。</w:t>
      </w:r>
    </w:p>
    <w:p w14:paraId="321D739F">
      <w:pPr>
        <w:spacing w:line="360" w:lineRule="auto"/>
        <w:ind w:firstLine="480" w:firstLineChars="200"/>
        <w:rPr>
          <w:rFonts w:ascii="宋体" w:cs="宋体"/>
          <w:color w:val="auto"/>
          <w:sz w:val="24"/>
          <w:highlight w:val="none"/>
        </w:rPr>
      </w:pPr>
      <w:r>
        <w:rPr>
          <w:rFonts w:ascii="宋体" w:cs="宋体"/>
          <w:color w:val="auto"/>
          <w:sz w:val="24"/>
          <w:highlight w:val="none"/>
        </w:rPr>
        <w:t>3</w:t>
      </w:r>
      <w:r>
        <w:rPr>
          <w:rFonts w:hint="eastAsia" w:ascii="宋体" w:cs="宋体"/>
          <w:color w:val="auto"/>
          <w:sz w:val="24"/>
          <w:highlight w:val="none"/>
        </w:rPr>
        <w:t>.</w:t>
      </w:r>
      <w:r>
        <w:rPr>
          <w:rFonts w:hint="eastAsia"/>
          <w:color w:val="auto"/>
          <w:highlight w:val="none"/>
        </w:rPr>
        <w:t xml:space="preserve"> </w:t>
      </w:r>
      <w:r>
        <w:rPr>
          <w:rFonts w:hint="eastAsia" w:ascii="宋体" w:cs="宋体"/>
          <w:color w:val="auto"/>
          <w:sz w:val="24"/>
          <w:highlight w:val="none"/>
        </w:rPr>
        <w:t>因财政集中支付造成的付款延误，不计入约定付款时限；若乙方提交付款单据延迟、单据缺失或账户信息有误，甲方有权相应顺延付款期限，且不承担付款延误相关责任。</w:t>
      </w:r>
    </w:p>
    <w:p w14:paraId="7885A5E1">
      <w:pPr>
        <w:pStyle w:val="422"/>
        <w:autoSpaceDN w:val="0"/>
        <w:spacing w:line="360" w:lineRule="auto"/>
        <w:ind w:firstLine="480" w:firstLineChars="200"/>
        <w:jc w:val="left"/>
        <w:rPr>
          <w:rFonts w:ascii="宋体" w:cs="宋体"/>
          <w:snapToGrid w:val="0"/>
          <w:color w:val="auto"/>
          <w:kern w:val="0"/>
          <w:sz w:val="24"/>
          <w:szCs w:val="24"/>
          <w:highlight w:val="none"/>
        </w:rPr>
      </w:pPr>
      <w:r>
        <w:rPr>
          <w:rFonts w:hint="eastAsia" w:ascii="宋体" w:cs="宋体"/>
          <w:snapToGrid w:val="0"/>
          <w:color w:val="auto"/>
          <w:kern w:val="0"/>
          <w:sz w:val="24"/>
          <w:szCs w:val="24"/>
          <w:highlight w:val="none"/>
        </w:rPr>
        <w:t>乙方收取货款账户为：</w:t>
      </w:r>
    </w:p>
    <w:tbl>
      <w:tblPr>
        <w:tblStyle w:val="88"/>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528"/>
      </w:tblGrid>
      <w:tr w14:paraId="4ABE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0740D49">
            <w:pPr>
              <w:pStyle w:val="422"/>
              <w:autoSpaceDN w:val="0"/>
              <w:spacing w:line="360" w:lineRule="auto"/>
              <w:jc w:val="left"/>
              <w:rPr>
                <w:rFonts w:hint="eastAsia" w:ascii="宋体" w:cs="宋体"/>
                <w:snapToGrid w:val="0"/>
                <w:color w:val="auto"/>
                <w:kern w:val="0"/>
                <w:sz w:val="24"/>
                <w:szCs w:val="24"/>
                <w:highlight w:val="none"/>
              </w:rPr>
            </w:pPr>
          </w:p>
        </w:tc>
        <w:tc>
          <w:tcPr>
            <w:tcW w:w="5528" w:type="dxa"/>
          </w:tcPr>
          <w:p w14:paraId="727ECAAA">
            <w:pPr>
              <w:pStyle w:val="422"/>
              <w:autoSpaceDN w:val="0"/>
              <w:spacing w:line="360" w:lineRule="auto"/>
              <w:jc w:val="left"/>
              <w:rPr>
                <w:rFonts w:hint="eastAsia" w:ascii="宋体" w:cs="宋体"/>
                <w:snapToGrid w:val="0"/>
                <w:color w:val="auto"/>
                <w:kern w:val="0"/>
                <w:sz w:val="24"/>
                <w:szCs w:val="24"/>
                <w:highlight w:val="none"/>
              </w:rPr>
            </w:pPr>
          </w:p>
        </w:tc>
      </w:tr>
      <w:tr w14:paraId="107F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66E7D80">
            <w:pPr>
              <w:pStyle w:val="422"/>
              <w:autoSpaceDN w:val="0"/>
              <w:spacing w:line="360" w:lineRule="auto"/>
              <w:jc w:val="left"/>
              <w:rPr>
                <w:rFonts w:hint="eastAsia" w:ascii="宋体" w:cs="宋体"/>
                <w:snapToGrid w:val="0"/>
                <w:color w:val="auto"/>
                <w:kern w:val="0"/>
                <w:sz w:val="24"/>
                <w:szCs w:val="24"/>
                <w:highlight w:val="none"/>
              </w:rPr>
            </w:pPr>
          </w:p>
        </w:tc>
        <w:tc>
          <w:tcPr>
            <w:tcW w:w="5528" w:type="dxa"/>
          </w:tcPr>
          <w:p w14:paraId="2DA8D92E">
            <w:pPr>
              <w:pStyle w:val="422"/>
              <w:autoSpaceDN w:val="0"/>
              <w:spacing w:line="360" w:lineRule="auto"/>
              <w:jc w:val="left"/>
              <w:rPr>
                <w:rFonts w:hint="eastAsia" w:ascii="宋体" w:cs="宋体"/>
                <w:snapToGrid w:val="0"/>
                <w:color w:val="auto"/>
                <w:kern w:val="0"/>
                <w:sz w:val="24"/>
                <w:szCs w:val="24"/>
                <w:highlight w:val="none"/>
              </w:rPr>
            </w:pPr>
          </w:p>
        </w:tc>
      </w:tr>
      <w:tr w14:paraId="6555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53CEFFD">
            <w:pPr>
              <w:pStyle w:val="422"/>
              <w:autoSpaceDN w:val="0"/>
              <w:spacing w:line="360" w:lineRule="auto"/>
              <w:jc w:val="left"/>
              <w:rPr>
                <w:rFonts w:hint="eastAsia" w:ascii="宋体" w:cs="宋体"/>
                <w:snapToGrid w:val="0"/>
                <w:color w:val="auto"/>
                <w:kern w:val="0"/>
                <w:sz w:val="24"/>
                <w:szCs w:val="24"/>
                <w:highlight w:val="none"/>
              </w:rPr>
            </w:pPr>
          </w:p>
        </w:tc>
        <w:tc>
          <w:tcPr>
            <w:tcW w:w="5528" w:type="dxa"/>
          </w:tcPr>
          <w:p w14:paraId="23D7A53D">
            <w:pPr>
              <w:pStyle w:val="422"/>
              <w:autoSpaceDN w:val="0"/>
              <w:spacing w:line="360" w:lineRule="auto"/>
              <w:jc w:val="left"/>
              <w:rPr>
                <w:rFonts w:hint="eastAsia" w:ascii="宋体" w:cs="宋体"/>
                <w:snapToGrid w:val="0"/>
                <w:color w:val="auto"/>
                <w:kern w:val="0"/>
                <w:sz w:val="24"/>
                <w:szCs w:val="24"/>
                <w:highlight w:val="none"/>
              </w:rPr>
            </w:pPr>
          </w:p>
        </w:tc>
      </w:tr>
    </w:tbl>
    <w:p w14:paraId="315EBAF9">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第四条 履约保证金</w:t>
      </w:r>
    </w:p>
    <w:p w14:paraId="0F6E98BB">
      <w:pPr>
        <w:pStyle w:val="423"/>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（一）合同签订之日起</w:t>
      </w:r>
      <w:r>
        <w:rPr>
          <w:rFonts w:ascii="宋体" w:eastAsia="宋体" w:cs="宋体"/>
          <w:color w:val="auto"/>
          <w:sz w:val="24"/>
          <w:szCs w:val="24"/>
          <w:highlight w:val="none"/>
          <w:u w:val="single"/>
        </w:rPr>
        <w:t>5</w:t>
      </w:r>
      <w:r>
        <w:rPr>
          <w:rFonts w:hint="eastAsia" w:ascii="宋体" w:eastAsia="宋体" w:cs="宋体"/>
          <w:color w:val="auto"/>
          <w:sz w:val="24"/>
          <w:szCs w:val="24"/>
          <w:highlight w:val="none"/>
        </w:rPr>
        <w:t>个工作日内，乙方须按合同金额的_</w:t>
      </w:r>
      <w:r>
        <w:rPr>
          <w:rFonts w:ascii="宋体" w:eastAsia="宋体" w:cs="宋体"/>
          <w:color w:val="auto"/>
          <w:sz w:val="24"/>
          <w:szCs w:val="24"/>
          <w:highlight w:val="none"/>
        </w:rPr>
        <w:t>5</w:t>
      </w:r>
      <w:r>
        <w:rPr>
          <w:rFonts w:hint="eastAsia" w:ascii="宋体" w:eastAsia="宋体" w:cs="宋体"/>
          <w:color w:val="auto"/>
          <w:sz w:val="24"/>
          <w:szCs w:val="24"/>
          <w:highlight w:val="none"/>
        </w:rPr>
        <w:t>_%（人民币大写：_______；人民币小写：_______）向甲方交纳履约保证金。如果乙方未按照约定时间交付履约保证金的，甲方有权单方面解除合同。</w:t>
      </w:r>
    </w:p>
    <w:p w14:paraId="6DDFD788">
      <w:pPr>
        <w:pStyle w:val="424"/>
        <w:autoSpaceDN w:val="0"/>
        <w:spacing w:line="360" w:lineRule="auto"/>
        <w:ind w:left="420" w:firstLine="480" w:firstLineChars="200"/>
        <w:jc w:val="left"/>
        <w:rPr>
          <w:rFonts w:ascii="宋体" w:cs="宋体"/>
          <w:snapToGrid w:val="0"/>
          <w:color w:val="auto"/>
          <w:kern w:val="0"/>
          <w:sz w:val="24"/>
          <w:szCs w:val="24"/>
          <w:highlight w:val="none"/>
        </w:rPr>
      </w:pPr>
      <w:r>
        <w:rPr>
          <w:rFonts w:hint="eastAsia" w:ascii="宋体" w:cs="宋体"/>
          <w:snapToGrid w:val="0"/>
          <w:color w:val="auto"/>
          <w:kern w:val="0"/>
          <w:sz w:val="24"/>
          <w:szCs w:val="24"/>
          <w:highlight w:val="none"/>
        </w:rPr>
        <w:t>甲方指定履约保证金收款账户为：</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6"/>
        <w:gridCol w:w="5469"/>
      </w:tblGrid>
      <w:tr w14:paraId="15EA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6" w:type="dxa"/>
            <w:vAlign w:val="center"/>
          </w:tcPr>
          <w:p w14:paraId="2313F3E1">
            <w:pPr>
              <w:pStyle w:val="424"/>
              <w:autoSpaceDN w:val="0"/>
              <w:spacing w:line="360" w:lineRule="auto"/>
              <w:ind w:left="420"/>
              <w:jc w:val="left"/>
              <w:rPr>
                <w:rFonts w:ascii="宋体" w:cs="宋体"/>
                <w:snapToGrid w:val="0"/>
                <w:color w:val="auto"/>
                <w:kern w:val="0"/>
                <w:sz w:val="24"/>
                <w:szCs w:val="24"/>
                <w:highlight w:val="none"/>
              </w:rPr>
            </w:pPr>
            <w:r>
              <w:rPr>
                <w:rFonts w:hint="eastAsia" w:ascii="宋体" w:cs="宋体"/>
                <w:snapToGrid w:val="0"/>
                <w:color w:val="auto"/>
                <w:kern w:val="0"/>
                <w:sz w:val="24"/>
                <w:szCs w:val="24"/>
                <w:highlight w:val="none"/>
              </w:rPr>
              <w:t>收款单位全称</w:t>
            </w:r>
          </w:p>
        </w:tc>
        <w:tc>
          <w:tcPr>
            <w:tcW w:w="5469" w:type="dxa"/>
            <w:vAlign w:val="center"/>
          </w:tcPr>
          <w:p w14:paraId="3DA5832D">
            <w:pPr>
              <w:pStyle w:val="424"/>
              <w:autoSpaceDN w:val="0"/>
              <w:spacing w:line="360" w:lineRule="auto"/>
              <w:ind w:left="420" w:firstLine="480" w:firstLineChars="200"/>
              <w:jc w:val="left"/>
              <w:rPr>
                <w:rFonts w:ascii="宋体" w:cs="宋体"/>
                <w:snapToGrid w:val="0"/>
                <w:color w:val="auto"/>
                <w:kern w:val="0"/>
                <w:sz w:val="24"/>
                <w:szCs w:val="24"/>
                <w:highlight w:val="none"/>
              </w:rPr>
            </w:pPr>
          </w:p>
        </w:tc>
      </w:tr>
      <w:tr w14:paraId="2CFA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86" w:type="dxa"/>
            <w:vAlign w:val="center"/>
          </w:tcPr>
          <w:p w14:paraId="365E55E5">
            <w:pPr>
              <w:pStyle w:val="424"/>
              <w:autoSpaceDN w:val="0"/>
              <w:spacing w:line="360" w:lineRule="auto"/>
              <w:ind w:left="420"/>
              <w:jc w:val="left"/>
              <w:rPr>
                <w:rFonts w:ascii="宋体" w:cs="宋体"/>
                <w:snapToGrid w:val="0"/>
                <w:color w:val="auto"/>
                <w:kern w:val="0"/>
                <w:sz w:val="24"/>
                <w:szCs w:val="24"/>
                <w:highlight w:val="none"/>
              </w:rPr>
            </w:pPr>
            <w:r>
              <w:rPr>
                <w:rFonts w:hint="eastAsia" w:ascii="宋体" w:cs="宋体"/>
                <w:snapToGrid w:val="0"/>
                <w:color w:val="auto"/>
                <w:kern w:val="0"/>
                <w:sz w:val="24"/>
                <w:szCs w:val="24"/>
                <w:highlight w:val="none"/>
              </w:rPr>
              <w:t>开户银行</w:t>
            </w:r>
          </w:p>
        </w:tc>
        <w:tc>
          <w:tcPr>
            <w:tcW w:w="5469" w:type="dxa"/>
            <w:vAlign w:val="center"/>
          </w:tcPr>
          <w:p w14:paraId="438B29E0">
            <w:pPr>
              <w:pStyle w:val="424"/>
              <w:autoSpaceDN w:val="0"/>
              <w:spacing w:line="360" w:lineRule="auto"/>
              <w:ind w:left="420" w:firstLine="480" w:firstLineChars="200"/>
              <w:jc w:val="left"/>
              <w:rPr>
                <w:rFonts w:ascii="宋体" w:cs="宋体"/>
                <w:snapToGrid w:val="0"/>
                <w:color w:val="auto"/>
                <w:kern w:val="0"/>
                <w:sz w:val="24"/>
                <w:szCs w:val="24"/>
                <w:highlight w:val="none"/>
              </w:rPr>
            </w:pPr>
          </w:p>
        </w:tc>
      </w:tr>
      <w:tr w14:paraId="457D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2386" w:type="dxa"/>
            <w:vAlign w:val="center"/>
          </w:tcPr>
          <w:p w14:paraId="1E07FFE0">
            <w:pPr>
              <w:pStyle w:val="424"/>
              <w:autoSpaceDN w:val="0"/>
              <w:spacing w:line="360" w:lineRule="auto"/>
              <w:ind w:left="420"/>
              <w:jc w:val="left"/>
              <w:rPr>
                <w:rFonts w:ascii="宋体" w:cs="宋体"/>
                <w:snapToGrid w:val="0"/>
                <w:color w:val="auto"/>
                <w:kern w:val="0"/>
                <w:sz w:val="24"/>
                <w:szCs w:val="24"/>
                <w:highlight w:val="none"/>
              </w:rPr>
            </w:pPr>
            <w:r>
              <w:rPr>
                <w:rFonts w:hint="eastAsia" w:ascii="宋体" w:cs="宋体"/>
                <w:snapToGrid w:val="0"/>
                <w:color w:val="auto"/>
                <w:kern w:val="0"/>
                <w:sz w:val="24"/>
                <w:szCs w:val="24"/>
                <w:highlight w:val="none"/>
              </w:rPr>
              <w:t>账号</w:t>
            </w:r>
          </w:p>
        </w:tc>
        <w:tc>
          <w:tcPr>
            <w:tcW w:w="5469" w:type="dxa"/>
            <w:vAlign w:val="center"/>
          </w:tcPr>
          <w:p w14:paraId="078A7038">
            <w:pPr>
              <w:pStyle w:val="424"/>
              <w:autoSpaceDN w:val="0"/>
              <w:spacing w:line="360" w:lineRule="auto"/>
              <w:ind w:left="420" w:firstLine="480" w:firstLineChars="200"/>
              <w:jc w:val="left"/>
              <w:rPr>
                <w:rFonts w:ascii="宋体" w:cs="宋体"/>
                <w:snapToGrid w:val="0"/>
                <w:color w:val="auto"/>
                <w:kern w:val="0"/>
                <w:sz w:val="24"/>
                <w:szCs w:val="24"/>
                <w:highlight w:val="none"/>
              </w:rPr>
            </w:pPr>
          </w:p>
        </w:tc>
      </w:tr>
    </w:tbl>
    <w:p w14:paraId="27A8E875">
      <w:pPr>
        <w:pStyle w:val="423"/>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（二）履约保证金以银行保函</w:t>
      </w:r>
      <w:r>
        <w:rPr>
          <w:rFonts w:ascii="宋体" w:eastAsia="宋体" w:cs="宋体"/>
          <w:color w:val="auto"/>
          <w:sz w:val="24"/>
          <w:szCs w:val="24"/>
          <w:highlight w:val="none"/>
        </w:rPr>
        <w:t>或</w:t>
      </w:r>
      <w:r>
        <w:rPr>
          <w:rFonts w:hint="eastAsia" w:ascii="宋体" w:eastAsia="宋体" w:cs="宋体"/>
          <w:color w:val="auto"/>
          <w:sz w:val="24"/>
          <w:szCs w:val="24"/>
          <w:highlight w:val="none"/>
        </w:rPr>
        <w:t>银行电汇向甲方提供。</w:t>
      </w:r>
    </w:p>
    <w:p w14:paraId="5B02F8A4">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（三）如乙方未能履行合同规定的义务，甲方有权按照本合同的约定从履约保证金中进行相应扣除。乙方应在甲方扣除履约保证金之日起10个工作日内，及时补充扣除部分金额。</w:t>
      </w:r>
      <w:r>
        <w:rPr>
          <w:rFonts w:ascii="宋体" w:cs="宋体"/>
          <w:color w:val="auto"/>
          <w:sz w:val="24"/>
          <w:highlight w:val="none"/>
        </w:rPr>
        <w:t>或从合同货款中扣除部分金额。</w:t>
      </w:r>
    </w:p>
    <w:p w14:paraId="312F944F">
      <w:pPr>
        <w:spacing w:line="360" w:lineRule="auto"/>
        <w:ind w:firstLine="480" w:firstLineChars="200"/>
        <w:rPr>
          <w:rFonts w:ascii="宋体" w:cs="宋体"/>
          <w:color w:val="auto"/>
          <w:sz w:val="24"/>
          <w:highlight w:val="none"/>
        </w:rPr>
      </w:pPr>
      <w:r>
        <w:rPr>
          <w:rFonts w:hint="eastAsia" w:ascii="宋体" w:cs="宋体"/>
          <w:color w:val="auto"/>
          <w:sz w:val="24"/>
          <w:highlight w:val="none"/>
        </w:rPr>
        <w:t>（四）如乙方不履行合同，或履行合同义务不符合约定使得合同目的不能实现，履约保证金不予退还。</w:t>
      </w:r>
    </w:p>
    <w:p w14:paraId="2B8E5438">
      <w:pPr>
        <w:spacing w:line="360" w:lineRule="auto"/>
        <w:ind w:firstLine="480" w:firstLineChars="200"/>
        <w:rPr>
          <w:rFonts w:ascii="宋体" w:cs="宋体"/>
          <w:color w:val="auto"/>
          <w:sz w:val="24"/>
          <w:highlight w:val="none"/>
        </w:rPr>
      </w:pPr>
      <w:r>
        <w:rPr>
          <w:rFonts w:hint="eastAsia" w:ascii="宋体" w:cs="宋体"/>
          <w:color w:val="auto"/>
          <w:sz w:val="24"/>
          <w:highlight w:val="none"/>
        </w:rPr>
        <w:t>（五）</w:t>
      </w:r>
      <w:r>
        <w:rPr>
          <w:rFonts w:hint="eastAsia" w:ascii="宋体" w:cs="宋体"/>
          <w:bCs/>
          <w:color w:val="auto"/>
          <w:sz w:val="24"/>
          <w:highlight w:val="none"/>
        </w:rPr>
        <w:t>设备全部安装调试，并经甲方（用户）验收合格后30个日历日内，乙方可以提交履约保证金退款申请。</w:t>
      </w:r>
      <w:r>
        <w:rPr>
          <w:rFonts w:hint="eastAsia" w:ascii="宋体" w:cs="宋体"/>
          <w:color w:val="auto"/>
          <w:sz w:val="24"/>
          <w:highlight w:val="none"/>
        </w:rPr>
        <w:t>甲方凭乙方提交退款申请，10个工作日内无息退还。</w:t>
      </w:r>
    </w:p>
    <w:p w14:paraId="2E20190E">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第五条 包装</w:t>
      </w:r>
    </w:p>
    <w:p w14:paraId="150BB951">
      <w:pPr>
        <w:pStyle w:val="42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（一）除合同另有规定外，乙方提供的全部货物均应按标准</w:t>
      </w:r>
      <w:r>
        <w:rPr>
          <w:rFonts w:hint="eastAsia" w:ascii="宋体" w:eastAsia="宋体" w:cs="宋体"/>
          <w:snapToGrid w:val="0"/>
          <w:color w:val="auto"/>
          <w:kern w:val="0"/>
          <w:sz w:val="24"/>
          <w:szCs w:val="24"/>
          <w:highlight w:val="none"/>
        </w:rPr>
        <w:t>保护措施进行包装，这类包装应适应于远距离运输、防潮、防震、</w:t>
      </w:r>
      <w:r>
        <w:rPr>
          <w:rFonts w:hint="eastAsia" w:ascii="宋体" w:eastAsia="宋体" w:cs="宋体"/>
          <w:color w:val="auto"/>
          <w:sz w:val="24"/>
          <w:szCs w:val="24"/>
          <w:highlight w:val="none"/>
        </w:rPr>
        <w:t>防锈和防野蛮装卸，以确保货物安全无损运抵指定交货地点。</w:t>
      </w:r>
    </w:p>
    <w:p w14:paraId="1E70B924">
      <w:pPr>
        <w:pStyle w:val="42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（二）乙方应在包装箱外标明合同名称、合同编号、产品名称、型号，包装箱内随附一份详细装箱单和质量证书。</w:t>
      </w:r>
    </w:p>
    <w:p w14:paraId="7279094A">
      <w:pPr>
        <w:spacing w:line="360" w:lineRule="auto"/>
        <w:ind w:firstLine="480" w:firstLineChars="200"/>
        <w:rPr>
          <w:rFonts w:ascii="宋体" w:cs="宋体"/>
          <w:color w:val="auto"/>
          <w:sz w:val="24"/>
          <w:highlight w:val="none"/>
        </w:rPr>
      </w:pPr>
      <w:r>
        <w:rPr>
          <w:rFonts w:hint="eastAsia" w:ascii="宋体" w:cs="宋体"/>
          <w:color w:val="auto"/>
          <w:sz w:val="24"/>
          <w:highlight w:val="none"/>
        </w:rPr>
        <w:t>（三）乙方应承担由于其包装或防护措施不当而引起的货物损坏和丢失的任何损失责任和费用。</w:t>
      </w:r>
    </w:p>
    <w:p w14:paraId="73A60C28">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第六条 交货时间、地点、交货方法（运输方式）</w:t>
      </w:r>
    </w:p>
    <w:p w14:paraId="33AC227C">
      <w:pPr>
        <w:pStyle w:val="426"/>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（一</w:t>
      </w:r>
      <w:r>
        <w:rPr>
          <w:rFonts w:hint="eastAsia" w:ascii="宋体" w:eastAsia="宋体" w:cs="宋体"/>
          <w:snapToGrid w:val="0"/>
          <w:color w:val="auto"/>
          <w:kern w:val="0"/>
          <w:sz w:val="24"/>
          <w:szCs w:val="24"/>
          <w:highlight w:val="none"/>
        </w:rPr>
        <w:t>）交</w:t>
      </w:r>
      <w:r>
        <w:rPr>
          <w:rFonts w:hint="eastAsia" w:ascii="宋体" w:eastAsia="宋体" w:cs="宋体"/>
          <w:color w:val="auto"/>
          <w:sz w:val="24"/>
          <w:szCs w:val="24"/>
          <w:highlight w:val="none"/>
        </w:rPr>
        <w:t>货时间：合同签订后</w:t>
      </w:r>
      <w:r>
        <w:rPr>
          <w:rFonts w:hint="eastAsia" w:ascii="宋体" w:eastAsia="宋体" w:cs="宋体"/>
          <w:color w:val="auto"/>
          <w:sz w:val="24"/>
          <w:szCs w:val="24"/>
          <w:highlight w:val="none"/>
          <w:u w:val="single"/>
          <w:lang w:val="en-US" w:eastAsia="zh-CN"/>
        </w:rPr>
        <w:t xml:space="preserve"> 35</w:t>
      </w:r>
      <w:r>
        <w:rPr>
          <w:rFonts w:hint="eastAsia" w:ascii="宋体" w:eastAsia="宋体" w:cs="宋体"/>
          <w:color w:val="auto"/>
          <w:sz w:val="24"/>
          <w:szCs w:val="24"/>
          <w:highlight w:val="none"/>
        </w:rPr>
        <w:t>日内完成交货。</w:t>
      </w:r>
    </w:p>
    <w:p w14:paraId="493A429C">
      <w:pPr>
        <w:pStyle w:val="427"/>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（二）交货地点：分配清单指定地点，详见附件。</w:t>
      </w:r>
    </w:p>
    <w:p w14:paraId="41AC4193">
      <w:pPr>
        <w:pStyle w:val="428"/>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三）交货方法：由乙方负责采用适合的交通工具将采购货物及其附件运至交货现场并按甲方要求完成卸货，以双方签署设备到货验收签收单为准，交货时应一并交付货物的有关单证。货物运至海关指定地点的运输、劳务及相关保险的办理由乙方负责并承担相应费用。</w:t>
      </w:r>
    </w:p>
    <w:p w14:paraId="50130678">
      <w:pPr>
        <w:pStyle w:val="429"/>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（四）风险责任承担：货物的风险责任和所有权在双方签署设备到货验收签收单/安装调试验收合格报告后由甲方承担和享有，此前的风险责任由乙方承担。</w:t>
      </w:r>
    </w:p>
    <w:p w14:paraId="40872D4A">
      <w:pPr>
        <w:pStyle w:val="430"/>
        <w:spacing w:line="360" w:lineRule="auto"/>
        <w:ind w:firstLine="482" w:firstLineChars="200"/>
        <w:rPr>
          <w:rFonts w:ascii="宋体" w:eastAsia="宋体" w:cs="宋体"/>
          <w:color w:val="auto"/>
          <w:sz w:val="24"/>
          <w:szCs w:val="24"/>
          <w:highlight w:val="none"/>
        </w:rPr>
      </w:pPr>
      <w:r>
        <w:rPr>
          <w:rFonts w:hint="eastAsia" w:ascii="宋体" w:eastAsia="宋体" w:cs="宋体"/>
          <w:b/>
          <w:bCs/>
          <w:color w:val="auto"/>
          <w:sz w:val="24"/>
          <w:szCs w:val="24"/>
          <w:highlight w:val="none"/>
        </w:rPr>
        <w:t>第七条 货物验收</w:t>
      </w:r>
    </w:p>
    <w:p w14:paraId="04D62B0D">
      <w:pPr>
        <w:pStyle w:val="431"/>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（一）货物运至甲方（用户）指定地点后，由甲乙双方指派人员按照本合同规定对货物进行验收，乙方应提供交货清单等文件供甲方（用户）审查，甲方（用户）将按合同清单进行规格、数量、外观的检查。</w:t>
      </w:r>
    </w:p>
    <w:p w14:paraId="65DA5560">
      <w:pPr>
        <w:pStyle w:val="432"/>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（二）收货后_</w:t>
      </w:r>
      <w:r>
        <w:rPr>
          <w:rFonts w:ascii="宋体" w:eastAsia="宋体" w:cs="宋体"/>
          <w:color w:val="auto"/>
          <w:sz w:val="24"/>
          <w:szCs w:val="24"/>
          <w:highlight w:val="none"/>
        </w:rPr>
        <w:t>7</w:t>
      </w:r>
      <w:r>
        <w:rPr>
          <w:rFonts w:hint="eastAsia" w:ascii="宋体" w:eastAsia="宋体" w:cs="宋体"/>
          <w:color w:val="auto"/>
          <w:sz w:val="24"/>
          <w:szCs w:val="24"/>
          <w:highlight w:val="none"/>
        </w:rPr>
        <w:t>_日内甲乙双方进行到货验收工作。如验收合格，甲方（用户）应及时履行验收手续，双方签署设备到货验收签收单；如验收不合格，甲方（用户）应以书面形式通知乙方原因，乙方收到通知后_</w:t>
      </w:r>
      <w:r>
        <w:rPr>
          <w:rFonts w:ascii="宋体" w:eastAsia="宋体" w:cs="宋体"/>
          <w:color w:val="auto"/>
          <w:sz w:val="24"/>
          <w:szCs w:val="24"/>
          <w:highlight w:val="none"/>
        </w:rPr>
        <w:t>7</w:t>
      </w:r>
      <w:r>
        <w:rPr>
          <w:rFonts w:hint="eastAsia" w:ascii="宋体" w:eastAsia="宋体" w:cs="宋体"/>
          <w:color w:val="auto"/>
          <w:sz w:val="24"/>
          <w:szCs w:val="24"/>
          <w:highlight w:val="none"/>
        </w:rPr>
        <w:t>_日内提供解决方案。</w:t>
      </w:r>
    </w:p>
    <w:p w14:paraId="65EFA6B4">
      <w:pPr>
        <w:pStyle w:val="431"/>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（三）在验收工作中，发现数量不足或有质量、技术等问题，乙方应按照合同要求采取补足、更换或退货等处理措施，并承担由此发生的一切费用和损失。</w:t>
      </w:r>
    </w:p>
    <w:p w14:paraId="5FD6C22D">
      <w:pPr>
        <w:pStyle w:val="431"/>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四）涉及设备安装调试的，乙方负责在甲方（用户）配合下完成所供设备安装调试并保证与用户原有设备互联互通，有关技术问题由乙方负责解决。安装调试后，双方签署设备安装调试验收报告。有关安装调试服务详见附件实施方案。</w:t>
      </w:r>
    </w:p>
    <w:p w14:paraId="1F1B92C0">
      <w:pPr>
        <w:pStyle w:val="431"/>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五）合同项下货物生产期间，甲方（用户）有权派工作人员到生产厂进行监造、现场抽样和出厂前验核。此次验核不代表甲方（用户）对货物的最终验收。期间相关费用，包括技术交流和技术材料费等由乙方负担。</w:t>
      </w:r>
    </w:p>
    <w:p w14:paraId="1FAC7469">
      <w:pPr>
        <w:pStyle w:val="431"/>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六）为验核货物内在功能是否完备，甲方（用户）有权组织对货物进行随机抽样，并委托有关检测单位进行检测，该检测结果将作为货物质量的评判依据，相关送检和检测费用由乙方承担。如检测指标不符合招标文件（谈判文件、询价通知书、磋商文件、单一来源）、投标（响应）文件要求的，甲方有权拒收全部此类货物，乙方应按照甲方要求无条件对拒收货物进行更换，并承担由此给甲方造成的工期延误等损失。对乙方可能涉嫌提供虚假材料或虚假响应的行为，甲方有权依法向监管部门反映并追究乙方法律责任。</w:t>
      </w:r>
    </w:p>
    <w:p w14:paraId="486631FF">
      <w:pPr>
        <w:pStyle w:val="433"/>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（七）甲方（用户）认为必要时，对大型或者复杂的货物采购项目，可以邀请国家认可的质量检测机构参加验收工作，相关验收意见作为验收报告的参考资料，相关费用由乙方承担。</w:t>
      </w:r>
    </w:p>
    <w:p w14:paraId="6EE06446">
      <w:pPr>
        <w:pStyle w:val="433"/>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（八）验收标准以双方达成的对质量和技术标准的约定、乙方承诺的质量和技术标准、国家或行业规定的相关质量和技术标准中最高者为准，且应充分满足甲方使用要求。</w:t>
      </w:r>
    </w:p>
    <w:p w14:paraId="1BA0CDAB">
      <w:pPr>
        <w:pStyle w:val="433"/>
        <w:spacing w:line="360" w:lineRule="auto"/>
        <w:ind w:firstLine="480" w:firstLineChars="200"/>
        <w:rPr>
          <w:rFonts w:ascii="宋体" w:eastAsia="宋体" w:cs="宋体"/>
          <w:color w:val="auto"/>
          <w:sz w:val="24"/>
          <w:szCs w:val="24"/>
          <w:highlight w:val="none"/>
        </w:rPr>
      </w:pPr>
      <w:r>
        <w:rPr>
          <w:rFonts w:ascii="宋体" w:eastAsia="宋体" w:cs="宋体"/>
          <w:color w:val="auto"/>
          <w:sz w:val="24"/>
          <w:szCs w:val="24"/>
          <w:highlight w:val="none"/>
        </w:rPr>
        <w:t>(九)设备安装完成后，乙方无法在验收开始后10个工作日内达到投标文件的技术参数要求，视为验收不通过。甲方（用户）根据合同约定追究供应商（投标人及制造商）违约责任。</w:t>
      </w:r>
    </w:p>
    <w:p w14:paraId="016CEBB1">
      <w:pPr>
        <w:pStyle w:val="431"/>
        <w:spacing w:line="360" w:lineRule="auto"/>
        <w:ind w:firstLine="482" w:firstLineChars="200"/>
        <w:rPr>
          <w:rFonts w:ascii="宋体" w:eastAsia="宋体" w:cs="宋体"/>
          <w:color w:val="auto"/>
          <w:sz w:val="24"/>
          <w:szCs w:val="24"/>
          <w:highlight w:val="none"/>
        </w:rPr>
      </w:pPr>
      <w:r>
        <w:rPr>
          <w:rFonts w:hint="eastAsia" w:ascii="宋体" w:eastAsia="宋体" w:cs="宋体"/>
          <w:b/>
          <w:bCs/>
          <w:color w:val="auto"/>
          <w:sz w:val="24"/>
          <w:szCs w:val="24"/>
          <w:highlight w:val="none"/>
        </w:rPr>
        <w:t>第八条 质量保证</w:t>
      </w:r>
    </w:p>
    <w:p w14:paraId="6DA921D3">
      <w:pPr>
        <w:spacing w:line="360" w:lineRule="auto"/>
        <w:ind w:firstLine="480" w:firstLineChars="200"/>
        <w:rPr>
          <w:rFonts w:ascii="宋体" w:cs="宋体"/>
          <w:color w:val="auto"/>
          <w:sz w:val="24"/>
          <w:highlight w:val="none"/>
        </w:rPr>
      </w:pPr>
      <w:r>
        <w:rPr>
          <w:rFonts w:hint="eastAsia" w:ascii="宋体" w:cs="宋体"/>
          <w:color w:val="auto"/>
          <w:sz w:val="24"/>
          <w:highlight w:val="none"/>
        </w:rPr>
        <w:t>（一）乙方应保证所供货物为______公司制造生产、原包装、全新未使用过的产品，与投标文件/应答文件承诺一致，并完全符合或高于合同要求的质量、规格和技术性能。</w:t>
      </w:r>
    </w:p>
    <w:p w14:paraId="688DE647">
      <w:pPr>
        <w:spacing w:line="360" w:lineRule="auto"/>
        <w:ind w:firstLine="480" w:firstLineChars="200"/>
        <w:rPr>
          <w:rFonts w:ascii="宋体" w:cs="宋体"/>
          <w:color w:val="auto"/>
          <w:sz w:val="24"/>
          <w:highlight w:val="none"/>
        </w:rPr>
      </w:pPr>
      <w:r>
        <w:rPr>
          <w:rFonts w:hint="eastAsia" w:ascii="宋体" w:cs="宋体"/>
          <w:color w:val="auto"/>
          <w:sz w:val="24"/>
          <w:highlight w:val="none"/>
        </w:rPr>
        <w:t>（二）乙方应保证所供货物没有材料或工艺上的缺陷，并保证其货物在正确安装、正常使用和保养条件下，在其使用寿命期内具有本合同要求的性能。在货物最终交付验收后不少于合同规定或乙方承诺（两者以较长的为准）的质量保证期内，本保证保持有效。</w:t>
      </w:r>
    </w:p>
    <w:p w14:paraId="06FDDFD8">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如果乙方所供货物质量与合同不符，或证实所供货物是有缺陷的，包括潜在的缺陷或使用不符合要求的材料等，由此引起的全部损失及费用由乙方承担。若以上原因导致或引起甲方（用户）损失及导致或引起第三方受到损害的，全部赔偿责任均应由乙方承担。</w:t>
      </w:r>
    </w:p>
    <w:p w14:paraId="30B2F7DF">
      <w:pPr>
        <w:spacing w:line="360" w:lineRule="auto"/>
        <w:ind w:firstLine="480" w:firstLineChars="200"/>
        <w:rPr>
          <w:rFonts w:ascii="宋体" w:cs="宋体"/>
          <w:color w:val="auto"/>
          <w:sz w:val="24"/>
          <w:highlight w:val="none"/>
        </w:rPr>
      </w:pPr>
      <w:r>
        <w:rPr>
          <w:rFonts w:hint="eastAsia" w:ascii="宋体" w:cs="宋体"/>
          <w:color w:val="auto"/>
          <w:sz w:val="24"/>
          <w:highlight w:val="none"/>
        </w:rPr>
        <w:t>（四）在质量保证期内所发现的缺陷，甲方（用户）应尽快以书面形式通知乙方。乙方收到通知后应10日内免费维修或更换有缺陷的货物或部件。</w:t>
      </w:r>
    </w:p>
    <w:p w14:paraId="7ABD6B8B">
      <w:pPr>
        <w:spacing w:line="360" w:lineRule="auto"/>
        <w:ind w:firstLine="480" w:firstLineChars="200"/>
        <w:rPr>
          <w:rFonts w:ascii="宋体" w:cs="宋体"/>
          <w:color w:val="auto"/>
          <w:sz w:val="24"/>
          <w:highlight w:val="none"/>
        </w:rPr>
      </w:pPr>
      <w:r>
        <w:rPr>
          <w:rFonts w:hint="eastAsia" w:ascii="宋体" w:cs="宋体"/>
          <w:color w:val="auto"/>
          <w:sz w:val="24"/>
          <w:highlight w:val="none"/>
        </w:rPr>
        <w:t>（五）乙方在约定的时间内未能弥补缺陷，甲方（用户）可采取必要的补救措施，但其风险和费用将由乙方承担，甲方（用户）根据合同规定对乙方行使的其他权利不受影响。</w:t>
      </w:r>
    </w:p>
    <w:p w14:paraId="01B37454">
      <w:pPr>
        <w:spacing w:line="360" w:lineRule="auto"/>
        <w:ind w:firstLine="480" w:firstLineChars="200"/>
        <w:rPr>
          <w:rFonts w:ascii="宋体" w:cs="宋体"/>
          <w:color w:val="auto"/>
          <w:sz w:val="24"/>
          <w:highlight w:val="none"/>
        </w:rPr>
      </w:pPr>
      <w:r>
        <w:rPr>
          <w:rFonts w:hint="eastAsia" w:ascii="宋体" w:cs="宋体"/>
          <w:color w:val="auto"/>
          <w:sz w:val="24"/>
          <w:highlight w:val="none"/>
        </w:rPr>
        <w:t>（六）本合同项目所有货物质量保证期为：自双方签署设备到货验收签收单/安装调试验收合格报告之日起计算</w:t>
      </w:r>
      <w:r>
        <w:rPr>
          <w:rFonts w:hint="eastAsia" w:ascii="宋体" w:cs="宋体"/>
          <w:color w:val="auto"/>
          <w:sz w:val="24"/>
          <w:highlight w:val="none"/>
          <w:u w:val="single"/>
        </w:rPr>
        <w:t xml:space="preserve"> </w:t>
      </w:r>
      <w:r>
        <w:rPr>
          <w:rFonts w:ascii="宋体" w:cs="宋体"/>
          <w:color w:val="auto"/>
          <w:sz w:val="24"/>
          <w:highlight w:val="none"/>
          <w:u w:val="single"/>
        </w:rPr>
        <w:t>2</w:t>
      </w:r>
      <w:r>
        <w:rPr>
          <w:rFonts w:hint="eastAsia" w:ascii="宋体" w:cs="宋体"/>
          <w:color w:val="auto"/>
          <w:sz w:val="24"/>
          <w:highlight w:val="none"/>
          <w:u w:val="single"/>
        </w:rPr>
        <w:t xml:space="preserve"> </w:t>
      </w:r>
      <w:r>
        <w:rPr>
          <w:rFonts w:hint="eastAsia" w:ascii="宋体" w:cs="宋体"/>
          <w:color w:val="auto"/>
          <w:sz w:val="24"/>
          <w:highlight w:val="none"/>
        </w:rPr>
        <w:t>年。</w:t>
      </w:r>
    </w:p>
    <w:p w14:paraId="4D41915F">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第九条 培训</w:t>
      </w:r>
    </w:p>
    <w:p w14:paraId="105D3294">
      <w:pPr>
        <w:spacing w:line="360" w:lineRule="auto"/>
        <w:ind w:firstLine="480" w:firstLineChars="200"/>
        <w:rPr>
          <w:rFonts w:ascii="宋体" w:cs="宋体"/>
          <w:b/>
          <w:bCs/>
          <w:color w:val="auto"/>
          <w:sz w:val="24"/>
          <w:highlight w:val="none"/>
        </w:rPr>
      </w:pPr>
      <w:r>
        <w:rPr>
          <w:rFonts w:hint="eastAsia" w:ascii="宋体" w:cs="宋体"/>
          <w:bCs/>
          <w:color w:val="auto"/>
          <w:sz w:val="24"/>
          <w:highlight w:val="none"/>
        </w:rPr>
        <w:t>本合同所包括的培训详见附件培训方案。</w:t>
      </w:r>
    </w:p>
    <w:p w14:paraId="7BF1DEB5">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第十条 售后服务</w:t>
      </w:r>
    </w:p>
    <w:p w14:paraId="3220E5E0">
      <w:pPr>
        <w:spacing w:line="360" w:lineRule="auto"/>
        <w:ind w:firstLine="480" w:firstLineChars="200"/>
        <w:rPr>
          <w:rFonts w:ascii="宋体" w:cs="宋体"/>
          <w:color w:val="auto"/>
          <w:sz w:val="24"/>
          <w:highlight w:val="none"/>
        </w:rPr>
      </w:pPr>
      <w:r>
        <w:rPr>
          <w:rFonts w:hint="eastAsia" w:ascii="宋体" w:cs="宋体"/>
          <w:color w:val="auto"/>
          <w:sz w:val="24"/>
          <w:highlight w:val="none"/>
        </w:rPr>
        <w:t>（一）乙方在质量保证期内免费提供</w:t>
      </w:r>
      <w:r>
        <w:rPr>
          <w:rFonts w:hint="eastAsia" w:ascii="宋体" w:cs="宋体"/>
          <w:color w:val="auto"/>
          <w:sz w:val="24"/>
          <w:highlight w:val="none"/>
          <w:u w:val="single"/>
        </w:rPr>
        <w:t>7（5）</w:t>
      </w:r>
      <w:r>
        <w:rPr>
          <w:rFonts w:hint="eastAsia" w:ascii="宋体" w:cs="宋体"/>
          <w:color w:val="auto"/>
          <w:sz w:val="24"/>
          <w:highlight w:val="none"/>
        </w:rPr>
        <w:t>*</w:t>
      </w:r>
      <w:r>
        <w:rPr>
          <w:rFonts w:hint="eastAsia" w:ascii="宋体" w:cs="宋体"/>
          <w:color w:val="auto"/>
          <w:sz w:val="24"/>
          <w:highlight w:val="none"/>
          <w:u w:val="single"/>
        </w:rPr>
        <w:t>24（8）</w:t>
      </w:r>
      <w:r>
        <w:rPr>
          <w:rFonts w:hint="eastAsia" w:ascii="宋体" w:cs="宋体"/>
          <w:color w:val="auto"/>
          <w:sz w:val="24"/>
          <w:highlight w:val="none"/>
        </w:rPr>
        <w:t>小时的技术支持与售后服务，提供专线电话支持服务，_</w:t>
      </w:r>
      <w:r>
        <w:rPr>
          <w:rFonts w:ascii="宋体" w:cs="宋体"/>
          <w:color w:val="auto"/>
          <w:sz w:val="24"/>
          <w:highlight w:val="none"/>
        </w:rPr>
        <w:t xml:space="preserve">    </w:t>
      </w:r>
      <w:r>
        <w:rPr>
          <w:rFonts w:hint="eastAsia" w:ascii="宋体" w:cs="宋体"/>
          <w:color w:val="auto"/>
          <w:sz w:val="24"/>
          <w:highlight w:val="none"/>
        </w:rPr>
        <w:t>_小时内响应，保证__</w:t>
      </w:r>
      <w:r>
        <w:rPr>
          <w:rFonts w:ascii="宋体" w:cs="宋体"/>
          <w:color w:val="auto"/>
          <w:sz w:val="24"/>
          <w:highlight w:val="none"/>
        </w:rPr>
        <w:t xml:space="preserve">   </w:t>
      </w:r>
      <w:r>
        <w:rPr>
          <w:rFonts w:hint="eastAsia" w:ascii="宋体" w:cs="宋体"/>
          <w:color w:val="auto"/>
          <w:sz w:val="24"/>
          <w:highlight w:val="none"/>
        </w:rPr>
        <w:t>_小时内到达现场并解决故障。</w:t>
      </w:r>
    </w:p>
    <w:p w14:paraId="018F1520">
      <w:pPr>
        <w:spacing w:line="360" w:lineRule="auto"/>
        <w:ind w:firstLine="480" w:firstLineChars="200"/>
        <w:rPr>
          <w:rFonts w:ascii="宋体" w:cs="宋体"/>
          <w:color w:val="auto"/>
          <w:sz w:val="24"/>
          <w:highlight w:val="none"/>
        </w:rPr>
      </w:pPr>
      <w:r>
        <w:rPr>
          <w:rFonts w:hint="eastAsia" w:ascii="宋体" w:cs="宋体"/>
          <w:color w:val="auto"/>
          <w:sz w:val="24"/>
          <w:highlight w:val="none"/>
        </w:rPr>
        <w:t>（二）本合同所包含的售后服务，包含制造商售后服务和代理商售后服务，具体见附件技术支持及售后服务方案。</w:t>
      </w:r>
    </w:p>
    <w:p w14:paraId="4CA41A74">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第十一条 违约责任</w:t>
      </w:r>
    </w:p>
    <w:p w14:paraId="6AF2ECEB">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（一）因乙方原因未能按照本合同要求交付合格的货物或提供相关服务的违约责任。</w:t>
      </w:r>
    </w:p>
    <w:p w14:paraId="30BD536E">
      <w:pPr>
        <w:spacing w:line="360" w:lineRule="auto"/>
        <w:ind w:firstLine="480" w:firstLineChars="200"/>
        <w:rPr>
          <w:rFonts w:ascii="宋体" w:cs="宋体"/>
          <w:color w:val="auto"/>
          <w:sz w:val="24"/>
          <w:highlight w:val="none"/>
        </w:rPr>
      </w:pPr>
      <w:r>
        <w:rPr>
          <w:rFonts w:hint="eastAsia" w:ascii="宋体" w:cs="宋体"/>
          <w:color w:val="auto"/>
          <w:sz w:val="24"/>
          <w:highlight w:val="none"/>
        </w:rPr>
        <w:t>1.对于货物存在缺陷（包括潜在的缺陷）或者不符合合同要求的，或原材料、技术标准、尺寸、颜色等存在质量问题，在合同条款规定的检验、安装、调试、验收和质量保证期内，甲方有权要求退货、退货重新制作、新货替换。乙方应按照甲方意见，用以下一种或几种方式结合解决：</w:t>
      </w:r>
    </w:p>
    <w:p w14:paraId="019BE53C">
      <w:pPr>
        <w:spacing w:line="360" w:lineRule="auto"/>
        <w:ind w:firstLine="480" w:firstLineChars="200"/>
        <w:rPr>
          <w:rFonts w:ascii="宋体" w:cs="宋体"/>
          <w:color w:val="auto"/>
          <w:sz w:val="24"/>
          <w:highlight w:val="none"/>
        </w:rPr>
      </w:pPr>
      <w:r>
        <w:rPr>
          <w:rFonts w:hint="eastAsia" w:ascii="宋体" w:cs="宋体"/>
          <w:color w:val="auto"/>
          <w:sz w:val="24"/>
          <w:highlight w:val="none"/>
        </w:rPr>
        <w:t>（1）退货：甲方将货物退回乙方，乙方将合同货款退还给甲方，并承担由此发生的一切损失和费用。</w:t>
      </w:r>
    </w:p>
    <w:p w14:paraId="3C3AE1F3">
      <w:pPr>
        <w:spacing w:line="360" w:lineRule="auto"/>
        <w:ind w:firstLine="480" w:firstLineChars="200"/>
        <w:rPr>
          <w:rFonts w:ascii="宋体" w:cs="宋体"/>
          <w:color w:val="auto"/>
          <w:sz w:val="24"/>
          <w:highlight w:val="none"/>
        </w:rPr>
      </w:pPr>
      <w:r>
        <w:rPr>
          <w:rFonts w:hint="eastAsia" w:ascii="宋体" w:cs="宋体"/>
          <w:color w:val="auto"/>
          <w:sz w:val="24"/>
          <w:highlight w:val="none"/>
        </w:rPr>
        <w:t>（2）退货重新制作：甲方将货物退回乙方，乙方按照技术标准要求重新制作，并承担由此发生的一切损失和费用。</w:t>
      </w:r>
    </w:p>
    <w:p w14:paraId="425F237A">
      <w:pPr>
        <w:spacing w:line="360" w:lineRule="auto"/>
        <w:ind w:firstLine="480" w:firstLineChars="200"/>
        <w:rPr>
          <w:rFonts w:ascii="宋体" w:cs="宋体"/>
          <w:color w:val="auto"/>
          <w:sz w:val="24"/>
          <w:highlight w:val="none"/>
        </w:rPr>
      </w:pPr>
      <w:r>
        <w:rPr>
          <w:rFonts w:hint="eastAsia" w:ascii="宋体" w:cs="宋体"/>
          <w:color w:val="auto"/>
          <w:sz w:val="24"/>
          <w:highlight w:val="none"/>
        </w:rPr>
        <w:t>（3）新货替换：乙方用满足技术标准要求的货物替换存在缺陷的产品，承担甲方蒙受的全部损失和费用，并承担由此引发的一切风险，且相应延长所换货物的质量保证期。</w:t>
      </w:r>
    </w:p>
    <w:p w14:paraId="7F215ADA">
      <w:pPr>
        <w:spacing w:line="360" w:lineRule="auto"/>
        <w:ind w:firstLine="480" w:firstLineChars="200"/>
        <w:rPr>
          <w:rFonts w:ascii="宋体" w:cs="宋体"/>
          <w:color w:val="auto"/>
          <w:sz w:val="24"/>
          <w:highlight w:val="none"/>
        </w:rPr>
      </w:pPr>
      <w:r>
        <w:rPr>
          <w:rFonts w:hint="eastAsia" w:ascii="宋体" w:cs="宋体"/>
          <w:color w:val="auto"/>
          <w:sz w:val="24"/>
          <w:highlight w:val="none"/>
        </w:rPr>
        <w:t>2.</w:t>
      </w:r>
      <w:r>
        <w:rPr>
          <w:rFonts w:hint="eastAsia" w:ascii="宋体" w:cs="宋体"/>
          <w:bCs/>
          <w:color w:val="auto"/>
          <w:sz w:val="24"/>
          <w:highlight w:val="none"/>
        </w:rPr>
        <w:t>如果乙方</w:t>
      </w:r>
      <w:r>
        <w:rPr>
          <w:rFonts w:hint="eastAsia" w:ascii="宋体" w:cs="宋体"/>
          <w:color w:val="auto"/>
          <w:sz w:val="24"/>
          <w:highlight w:val="none"/>
        </w:rPr>
        <w:t>未在甲方要求的10日内或甲方同意的期限内，按照上述甲方意见采取补救措施，甲方有权解除合同，扣除全部履约保证金，要求乙方退回甲方已支付的货款，并赔偿甲方（用户）的全部损失。甲方（用户）对验收无法达到投标文件承诺技术要求的，将涉事投标供应商信息、投标产品生产厂家信息、投标产品信息等在中国海关政府采购网进行公示。同时，</w:t>
      </w:r>
      <w:r>
        <w:rPr>
          <w:rFonts w:ascii="宋体" w:cs="宋体"/>
          <w:color w:val="auto"/>
          <w:sz w:val="24"/>
          <w:highlight w:val="none"/>
        </w:rPr>
        <w:t>甲方将相关情况上报至海关总署，</w:t>
      </w:r>
      <w:r>
        <w:rPr>
          <w:rFonts w:hint="eastAsia" w:ascii="宋体" w:cs="宋体"/>
          <w:color w:val="auto"/>
          <w:sz w:val="24"/>
          <w:highlight w:val="none"/>
        </w:rPr>
        <w:t>海关总署将相关情况报财政部，由财政部根据《政府采购法》《政府采购法实施条例》等规定进行处罚。</w:t>
      </w:r>
    </w:p>
    <w:p w14:paraId="03F38B9E">
      <w:pPr>
        <w:pStyle w:val="434"/>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3.对于未能按合同要求提供服务或未提供应当承担的服务的，甲方有权要求限期整改。无合理理由不进行整改的视为根本违约。</w:t>
      </w:r>
    </w:p>
    <w:p w14:paraId="700A2A8E">
      <w:pPr>
        <w:snapToGrid w:val="0"/>
        <w:spacing w:line="400" w:lineRule="exact"/>
        <w:ind w:firstLine="600" w:firstLineChars="250"/>
        <w:rPr>
          <w:rFonts w:ascii="宋体" w:eastAsia="宋体" w:cs="宋体"/>
          <w:color w:val="auto"/>
          <w:sz w:val="24"/>
          <w:szCs w:val="24"/>
          <w:highlight w:val="none"/>
        </w:rPr>
      </w:pPr>
      <w:r>
        <w:rPr>
          <w:rFonts w:ascii="宋体" w:eastAsia="宋体" w:cs="宋体"/>
          <w:color w:val="auto"/>
          <w:sz w:val="24"/>
          <w:szCs w:val="24"/>
          <w:highlight w:val="none"/>
        </w:rPr>
        <w:t>4.</w:t>
      </w:r>
      <w:r>
        <w:rPr>
          <w:rFonts w:hint="eastAsia" w:cs="宋体"/>
          <w:color w:val="auto"/>
          <w:sz w:val="24"/>
          <w:highlight w:val="none"/>
        </w:rPr>
        <w:t>如发现有进口或从其他渠道购入进口产品的情况，视为虚假竞标，将依法追究违约责任</w:t>
      </w:r>
      <w:r>
        <w:rPr>
          <w:rFonts w:cs="宋体"/>
          <w:color w:val="auto"/>
          <w:sz w:val="24"/>
          <w:highlight w:val="none"/>
        </w:rPr>
        <w:t>。</w:t>
      </w:r>
    </w:p>
    <w:p w14:paraId="1A3AB156">
      <w:pPr>
        <w:spacing w:line="360" w:lineRule="auto"/>
        <w:ind w:firstLine="480" w:firstLineChars="200"/>
        <w:rPr>
          <w:rFonts w:ascii="宋体" w:cs="宋体"/>
          <w:color w:val="auto"/>
          <w:sz w:val="24"/>
          <w:highlight w:val="none"/>
        </w:rPr>
      </w:pPr>
      <w:r>
        <w:rPr>
          <w:rFonts w:hint="eastAsia" w:ascii="宋体" w:cs="宋体"/>
          <w:color w:val="auto"/>
          <w:sz w:val="24"/>
          <w:highlight w:val="none"/>
        </w:rPr>
        <w:t>（二）乙方未按照本合同规定的时间交货和提供服务的违约责任。</w:t>
      </w:r>
    </w:p>
    <w:p w14:paraId="577E0AD3">
      <w:pPr>
        <w:pStyle w:val="43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1.在履行合同过程中，如果乙方遇到可能妨碍按时交货和提供服务的情形时，应及时以书面形式将延迟的事实、可能延迟的期限和理由通知甲方（用户）。甲方（用户）在收到乙方通知后，应尽快对情况进行评价，并确定是否同意延迟交货时间或延期提供服务，如甲方（用户）不同意延期，乙方仍应当按照约定的时间完成交货和提供服务义务，如甲方（用户）同意延期，必须以双方签订的补充协议为准。</w:t>
      </w:r>
    </w:p>
    <w:p w14:paraId="3B29AEEE">
      <w:pPr>
        <w:pStyle w:val="43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2.除甲乙双方另有约定外，如果乙方没有按照合同规定的时间交货和提供服务，甲方有权在不影响合同项下其他补救措施的情况下，要求乙方支付误期赔偿费，或从合同货款、履约保证金中扣除误期赔偿费，每周按合同总价款的百分之零点五（0.5%）计收，最高不超过合同总价款的百分之十（10%）。一周按七（7）天计算，不足七（7）天按一周计算。</w:t>
      </w:r>
    </w:p>
    <w:p w14:paraId="6233C819">
      <w:pPr>
        <w:pStyle w:val="43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3.出现上述没有按照合同规定的时间交货和提供服务的情形时，甲方也可以选择解除合同，要求乙方退回甲方已支付货款、扣除履约保证金并追究乙方相应违约责任、赔偿甲方（用户）的全部损失。</w:t>
      </w:r>
    </w:p>
    <w:p w14:paraId="0BCBF03A">
      <w:pPr>
        <w:pStyle w:val="43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4.如合同被全部或部分解除，甲方可依其认为适当的条件和方法购买乙方未能提供的货物和服务，乙方应对超出的费用负责。同时，乙方应继续执行合同中未解除的部分。</w:t>
      </w:r>
    </w:p>
    <w:p w14:paraId="5776E9C8">
      <w:pPr>
        <w:pStyle w:val="435"/>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三）因乙方或乙方工作人员或乙方相关方的作为或不作为行为致使甲方或第三方遭受人员人身伤害或财产损失的，乙方应承担全部赔偿责任，赔偿全部损失，且甲方有权以全部履约保证金作为违约金，解除本合同。</w:t>
      </w:r>
    </w:p>
    <w:p w14:paraId="72B05FDB">
      <w:pPr>
        <w:pStyle w:val="436"/>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（四）在本合同履行过程中，如果有证据证明乙方根本无法履行合同的，甲方可以行使不安抗辩权，有权解除合同，并扣除履约保证金，如因乙方不能履行给甲方造成其他损失的，乙方应继续承担赔偿责任。</w:t>
      </w:r>
    </w:p>
    <w:p w14:paraId="25890405">
      <w:pPr>
        <w:pStyle w:val="437"/>
        <w:spacing w:line="360" w:lineRule="auto"/>
        <w:ind w:firstLine="482" w:firstLineChars="200"/>
        <w:rPr>
          <w:rFonts w:ascii="宋体" w:eastAsia="宋体" w:cs="宋体"/>
          <w:b/>
          <w:bCs/>
          <w:color w:val="auto"/>
          <w:sz w:val="24"/>
          <w:szCs w:val="24"/>
          <w:highlight w:val="none"/>
        </w:rPr>
      </w:pPr>
      <w:r>
        <w:rPr>
          <w:rFonts w:hint="eastAsia" w:ascii="宋体" w:eastAsia="宋体" w:cs="宋体"/>
          <w:b/>
          <w:bCs/>
          <w:color w:val="auto"/>
          <w:sz w:val="24"/>
          <w:szCs w:val="24"/>
          <w:highlight w:val="none"/>
        </w:rPr>
        <w:t>第十二条 使用合同文件和资料</w:t>
      </w:r>
    </w:p>
    <w:p w14:paraId="79C9C1C1">
      <w:pPr>
        <w:pStyle w:val="437"/>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一）没有甲方（用户）事先书面同意，乙方不得将由甲方或代表甲方提供的有关合同或任何合同条文、规格或资料等提供给乙方雇佣于履行本合同以外的任何其他人。即使向本合同的雇员提供，也应注意保密并限于履行本合同必须的范围。</w:t>
      </w:r>
    </w:p>
    <w:p w14:paraId="18C8F569">
      <w:pPr>
        <w:pStyle w:val="437"/>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（二）没有甲方（用户）事先书面同意，除了履行本合同之外，乙方不应使用、传播与本合同相关的任何文件、资料。</w:t>
      </w:r>
    </w:p>
    <w:p w14:paraId="17A61A47">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第十三条 知识产权</w:t>
      </w:r>
    </w:p>
    <w:p w14:paraId="60F11C83">
      <w:pPr>
        <w:spacing w:line="360" w:lineRule="auto"/>
        <w:ind w:firstLine="480" w:firstLineChars="200"/>
        <w:rPr>
          <w:rFonts w:ascii="宋体" w:cs="宋体"/>
          <w:color w:val="auto"/>
          <w:sz w:val="24"/>
          <w:highlight w:val="none"/>
        </w:rPr>
      </w:pPr>
      <w:r>
        <w:rPr>
          <w:rFonts w:hint="eastAsia" w:ascii="宋体" w:cs="宋体"/>
          <w:color w:val="auto"/>
          <w:sz w:val="24"/>
          <w:highlight w:val="none"/>
        </w:rPr>
        <w:t>（一）乙方应保证所提供的货物及服务不侵犯任何第三方的知识产权(专利权、商标权、版权等)及其他任何合法权益。如果甲方（用户）在使用乙方货物或服务的任何一部分过程中，遭致第三方索赔或主张权利的，乙方应当修正以避免侵权。</w:t>
      </w:r>
    </w:p>
    <w:p w14:paraId="6A934274">
      <w:pPr>
        <w:spacing w:line="360" w:lineRule="auto"/>
        <w:ind w:firstLine="480" w:firstLineChars="200"/>
        <w:rPr>
          <w:rFonts w:ascii="宋体" w:cs="宋体"/>
          <w:color w:val="auto"/>
          <w:sz w:val="24"/>
          <w:highlight w:val="none"/>
        </w:rPr>
      </w:pPr>
      <w:r>
        <w:rPr>
          <w:rFonts w:hint="eastAsia" w:ascii="宋体" w:cs="宋体"/>
          <w:color w:val="auto"/>
          <w:sz w:val="24"/>
          <w:highlight w:val="none"/>
        </w:rPr>
        <w:t>（二）如果甲方（用户）在使用乙方货物或服务的任何一部分过程中，因侵犯第三方合法权益（包括但不限于知识产权）而遭致第三方索赔或主张权利的，乙方将自费为甲方（用户）应诉，并支付法院最终判决的甲方（用户）应支付第三方的一切费用、并赔偿甲方（用户）由此遭受的全部损失及支出的合理费用。</w:t>
      </w:r>
    </w:p>
    <w:p w14:paraId="7ED529A1">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（三）如乙方提供的货物或服务确实侵犯了第三方合法权益（包括但不限于知识产权）的，甲方有权解除合同，没收履约保证金，要求乙方退回已支付的全部货款，并赔偿甲方的全部损失及支出的合理费用。</w:t>
      </w:r>
    </w:p>
    <w:p w14:paraId="460E90ED">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第十四条 权利瑕疵担保</w:t>
      </w:r>
    </w:p>
    <w:p w14:paraId="28A88E08">
      <w:pPr>
        <w:spacing w:line="360" w:lineRule="auto"/>
        <w:ind w:firstLine="480" w:firstLineChars="200"/>
        <w:rPr>
          <w:rFonts w:ascii="宋体" w:cs="宋体"/>
          <w:color w:val="auto"/>
          <w:sz w:val="24"/>
          <w:highlight w:val="none"/>
        </w:rPr>
      </w:pPr>
      <w:r>
        <w:rPr>
          <w:rFonts w:hint="eastAsia" w:ascii="宋体" w:cs="宋体"/>
          <w:color w:val="auto"/>
          <w:sz w:val="24"/>
          <w:highlight w:val="none"/>
        </w:rPr>
        <w:t>（一）乙方保证对其所提供的货物享有完全的所有权等合法权利，不存在任何未曾向甲方（用户）透露的担保物权（如抵押权、质押权、留置权等）或其他任何权利负担或争议。</w:t>
      </w:r>
    </w:p>
    <w:p w14:paraId="42DC2DA9">
      <w:pPr>
        <w:pStyle w:val="438"/>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（二）乙方应保证所提供的货物免受第三方提出的任何权利主张，如因第三方提出权利主张给甲方（用户）造成损失的，乙方应予以赔偿。</w:t>
      </w:r>
    </w:p>
    <w:p w14:paraId="07CA4A57">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（三）如乙方所提供的货物存在前述担保物权或其他权利负担，甲方（用户）有权解除合同、没收履约保证金，并要求乙方退还已支付的全部货款，赔偿甲方（用户）的全部损失及支出的合理费用。</w:t>
      </w:r>
    </w:p>
    <w:p w14:paraId="65143671">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第十五条 不可抗力及其免责</w:t>
      </w:r>
    </w:p>
    <w:p w14:paraId="706ADC01">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（一）如果乙方因不可抗力而导致合同实施延误或不能履行合同义务时，在不可抗力影响的范围内不应该被没收履约保证金，也不应该承担误期赔偿或终止合同的责任。</w:t>
      </w:r>
    </w:p>
    <w:p w14:paraId="507CC1B3">
      <w:pPr>
        <w:spacing w:line="360" w:lineRule="auto"/>
        <w:ind w:firstLine="480" w:firstLineChars="200"/>
        <w:rPr>
          <w:rFonts w:ascii="宋体" w:cs="宋体"/>
          <w:color w:val="auto"/>
          <w:sz w:val="24"/>
          <w:highlight w:val="none"/>
        </w:rPr>
      </w:pPr>
      <w:r>
        <w:rPr>
          <w:rFonts w:hint="eastAsia" w:ascii="宋体" w:cs="宋体"/>
          <w:color w:val="auto"/>
          <w:sz w:val="24"/>
          <w:highlight w:val="none"/>
        </w:rPr>
        <w:t>（二）在不可抗力事件发生后，乙方应尽快以书面形式将不可抗力的情况和原因通知甲方，除甲方（用户）书面另行要求外，乙方应尽实际可能继续履行合同义务，以及寻求采取合理的方案履行不受不可抗力影响的其他事项。如果不可抗力事件影响延续超过一百二十天，双方应通过友好协商在合理的时间内就进一步实施合同达成协议。</w:t>
      </w:r>
    </w:p>
    <w:p w14:paraId="236633C1">
      <w:pPr>
        <w:spacing w:line="360" w:lineRule="auto"/>
        <w:ind w:firstLine="480" w:firstLineChars="200"/>
        <w:rPr>
          <w:rFonts w:ascii="宋体" w:cs="宋体"/>
          <w:color w:val="auto"/>
          <w:sz w:val="24"/>
          <w:highlight w:val="none"/>
        </w:rPr>
      </w:pPr>
      <w:r>
        <w:rPr>
          <w:rFonts w:hint="eastAsia" w:ascii="宋体" w:cs="宋体"/>
          <w:color w:val="auto"/>
          <w:sz w:val="24"/>
          <w:highlight w:val="none"/>
        </w:rPr>
        <w:t>（三）乙方在延迟履行合同期间由于不可抗力而不能履行合同的，不能被免除责任。</w:t>
      </w:r>
    </w:p>
    <w:p w14:paraId="54AAB066">
      <w:pPr>
        <w:spacing w:line="360" w:lineRule="auto"/>
        <w:ind w:firstLine="480" w:firstLineChars="200"/>
        <w:rPr>
          <w:rFonts w:ascii="宋体" w:cs="宋体"/>
          <w:color w:val="auto"/>
          <w:sz w:val="24"/>
          <w:highlight w:val="none"/>
        </w:rPr>
      </w:pPr>
      <w:r>
        <w:rPr>
          <w:rFonts w:hint="eastAsia" w:ascii="宋体" w:cs="宋体"/>
          <w:color w:val="auto"/>
          <w:sz w:val="24"/>
          <w:highlight w:val="none"/>
        </w:rPr>
        <w:t>（四）甲方（用户）如遇不可抗力，应尽快以书面形式通知乙方，并尽实际可能履行不受不可抗力影响的其他事项。甲方（用户）不承担因不可抗力不能履行合同所造成的损失。</w:t>
      </w:r>
    </w:p>
    <w:p w14:paraId="190C0590">
      <w:pPr>
        <w:spacing w:line="360" w:lineRule="auto"/>
        <w:ind w:firstLine="480" w:firstLineChars="200"/>
        <w:rPr>
          <w:rFonts w:ascii="宋体" w:cs="宋体"/>
          <w:color w:val="auto"/>
          <w:sz w:val="24"/>
          <w:highlight w:val="none"/>
        </w:rPr>
      </w:pPr>
      <w:r>
        <w:rPr>
          <w:rFonts w:hint="eastAsia" w:ascii="宋体" w:cs="宋体"/>
          <w:color w:val="auto"/>
          <w:sz w:val="24"/>
          <w:highlight w:val="none"/>
        </w:rPr>
        <w:t>（五）本条所述的“不可抗力”指那些不能预见、不能避免并不能克服的客观情况，包括但不限于战争、动乱、严重火灾、洪水、台风、地震等及其他双方同意的情况，但不包括违约或疏忽。</w:t>
      </w:r>
    </w:p>
    <w:p w14:paraId="2DFB088D">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第十六条 争议的解决</w:t>
      </w:r>
    </w:p>
    <w:p w14:paraId="2633F2CE">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（一）合同实施或与合同有关的一切争议应通过双方友好协商解决。如果友好协商开始</w:t>
      </w:r>
      <w:r>
        <w:rPr>
          <w:rFonts w:hint="eastAsia" w:ascii="宋体" w:cs="宋体"/>
          <w:color w:val="auto"/>
          <w:sz w:val="24"/>
          <w:highlight w:val="none"/>
          <w:u w:val="words"/>
        </w:rPr>
        <w:t>六十天</w:t>
      </w:r>
      <w:r>
        <w:rPr>
          <w:rFonts w:hint="eastAsia" w:ascii="宋体" w:cs="宋体"/>
          <w:color w:val="auto"/>
          <w:sz w:val="24"/>
          <w:highlight w:val="none"/>
        </w:rPr>
        <w:t>内还不能解决，争议应提交仲裁。</w:t>
      </w:r>
    </w:p>
    <w:p w14:paraId="66D1EF0E">
      <w:pPr>
        <w:spacing w:line="360" w:lineRule="auto"/>
        <w:ind w:firstLine="480" w:firstLineChars="200"/>
        <w:rPr>
          <w:rFonts w:ascii="宋体" w:cs="宋体"/>
          <w:color w:val="auto"/>
          <w:sz w:val="24"/>
          <w:highlight w:val="none"/>
        </w:rPr>
      </w:pPr>
      <w:r>
        <w:rPr>
          <w:rFonts w:hint="eastAsia" w:ascii="宋体" w:cs="宋体"/>
          <w:color w:val="auto"/>
          <w:sz w:val="24"/>
          <w:highlight w:val="none"/>
        </w:rPr>
        <w:t>（二）仲裁应提交</w:t>
      </w:r>
      <w:r>
        <w:rPr>
          <w:rFonts w:hint="eastAsia" w:ascii="宋体" w:cs="宋体"/>
          <w:color w:val="auto"/>
          <w:sz w:val="24"/>
          <w:highlight w:val="none"/>
          <w:u w:val="words"/>
          <w:lang w:val="en-US" w:eastAsia="zh-CN"/>
        </w:rPr>
        <w:t>大连国际仲裁院（大连仲裁委员会）</w:t>
      </w:r>
      <w:r>
        <w:rPr>
          <w:rFonts w:hint="eastAsia" w:ascii="宋体" w:cs="宋体"/>
          <w:color w:val="auto"/>
          <w:sz w:val="24"/>
          <w:highlight w:val="none"/>
        </w:rPr>
        <w:t>进行，其仲裁裁决为最终裁决，对双方均有约束力。</w:t>
      </w:r>
    </w:p>
    <w:p w14:paraId="382C5CC3">
      <w:pPr>
        <w:spacing w:line="360" w:lineRule="auto"/>
        <w:ind w:firstLine="480" w:firstLineChars="200"/>
        <w:rPr>
          <w:rFonts w:ascii="宋体" w:cs="宋体"/>
          <w:color w:val="auto"/>
          <w:sz w:val="24"/>
          <w:highlight w:val="none"/>
        </w:rPr>
      </w:pPr>
      <w:r>
        <w:rPr>
          <w:rFonts w:hint="eastAsia" w:ascii="宋体" w:cs="宋体"/>
          <w:color w:val="auto"/>
          <w:sz w:val="24"/>
          <w:highlight w:val="none"/>
        </w:rPr>
        <w:t>（三）仲裁费除仲裁机关另有裁决外均应由败诉方负担。</w:t>
      </w:r>
    </w:p>
    <w:p w14:paraId="1474BF48">
      <w:pPr>
        <w:spacing w:line="360" w:lineRule="auto"/>
        <w:ind w:firstLine="480" w:firstLineChars="200"/>
        <w:rPr>
          <w:rFonts w:ascii="宋体" w:cs="宋体"/>
          <w:color w:val="auto"/>
          <w:sz w:val="24"/>
          <w:highlight w:val="none"/>
        </w:rPr>
      </w:pPr>
      <w:r>
        <w:rPr>
          <w:rFonts w:hint="eastAsia" w:ascii="宋体" w:cs="宋体"/>
          <w:color w:val="auto"/>
          <w:sz w:val="24"/>
          <w:highlight w:val="none"/>
        </w:rPr>
        <w:t>（四）在仲裁期间，除正在进行仲裁的部分外，本合同其他部分应继续履行。</w:t>
      </w:r>
    </w:p>
    <w:p w14:paraId="6104CA55">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第十七条 合同修改或变更</w:t>
      </w:r>
    </w:p>
    <w:p w14:paraId="7C08270A">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（一）如无重大变故，甲乙双方不得擅自变更合同。</w:t>
      </w:r>
    </w:p>
    <w:p w14:paraId="516D4DA7">
      <w:pPr>
        <w:spacing w:line="360" w:lineRule="auto"/>
        <w:ind w:firstLine="480" w:firstLineChars="200"/>
        <w:rPr>
          <w:rFonts w:ascii="宋体" w:cs="宋体"/>
          <w:color w:val="auto"/>
          <w:sz w:val="24"/>
          <w:highlight w:val="none"/>
        </w:rPr>
      </w:pPr>
      <w:r>
        <w:rPr>
          <w:rFonts w:hint="eastAsia" w:ascii="宋体" w:cs="宋体"/>
          <w:color w:val="auto"/>
          <w:sz w:val="24"/>
          <w:highlight w:val="none"/>
        </w:rPr>
        <w:t>（二）如确需变更合同，甲乙双方应签署书面变更协议。变更协议为本合同不可分割的一部分。</w:t>
      </w:r>
    </w:p>
    <w:p w14:paraId="7A5A8120">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（三）在不改变合同其他条款的前提下，甲方（用户）有权在合同价款10%的范围内追加与合同标的相同的货物或服务，并就此与乙方签订补充合同，乙方不得拒绝。</w:t>
      </w:r>
    </w:p>
    <w:p w14:paraId="11B9AFEF">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第十八条 合同中止</w:t>
      </w:r>
    </w:p>
    <w:p w14:paraId="70849774">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（一）合同在履行过程中，因采购计划调整，甲方（用户）可以要求中止履行，待计划确定后继续履行。</w:t>
      </w:r>
    </w:p>
    <w:p w14:paraId="02AF3803">
      <w:pPr>
        <w:spacing w:line="360" w:lineRule="auto"/>
        <w:ind w:firstLine="480" w:firstLineChars="200"/>
        <w:rPr>
          <w:rFonts w:ascii="宋体" w:cs="宋体"/>
          <w:color w:val="auto"/>
          <w:sz w:val="24"/>
          <w:highlight w:val="none"/>
        </w:rPr>
      </w:pPr>
      <w:r>
        <w:rPr>
          <w:rFonts w:hint="eastAsia" w:ascii="宋体" w:cs="宋体"/>
          <w:color w:val="auto"/>
          <w:sz w:val="24"/>
          <w:highlight w:val="none"/>
        </w:rPr>
        <w:t>（二）合同签订或履行过程中因其他供应商就采购过程或结果提起质疑、投诉、行政复议、行政诉讼的，甲方（用户）认为有必要或财政部责令中止的，应当中止合同的履行。</w:t>
      </w:r>
    </w:p>
    <w:p w14:paraId="0551CDDF">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第十九条 合同解除</w:t>
      </w:r>
    </w:p>
    <w:p w14:paraId="582E0884">
      <w:pPr>
        <w:spacing w:line="360" w:lineRule="auto"/>
        <w:ind w:firstLine="480" w:firstLineChars="200"/>
        <w:rPr>
          <w:rFonts w:ascii="宋体" w:cs="宋体"/>
          <w:color w:val="auto"/>
          <w:sz w:val="24"/>
          <w:highlight w:val="none"/>
        </w:rPr>
      </w:pPr>
      <w:r>
        <w:rPr>
          <w:rFonts w:hint="eastAsia" w:ascii="宋体" w:cs="宋体"/>
          <w:color w:val="auto"/>
          <w:sz w:val="24"/>
          <w:highlight w:val="none"/>
        </w:rPr>
        <w:t>由于合同一方不履行合同或严重违反合同，造成合同部分或全部无法履行时，对方除有权向违约方索赔外，并有权部分或全部解除合同。对于部分解除的合同，违约方除应承担规定的责任外，还应继续履行合同的剩余部分。</w:t>
      </w:r>
    </w:p>
    <w:p w14:paraId="0A833F63">
      <w:pPr>
        <w:spacing w:line="360" w:lineRule="auto"/>
        <w:ind w:firstLine="480" w:firstLineChars="200"/>
        <w:rPr>
          <w:rFonts w:ascii="宋体" w:cs="宋体"/>
          <w:color w:val="auto"/>
          <w:sz w:val="24"/>
          <w:highlight w:val="none"/>
        </w:rPr>
      </w:pPr>
      <w:r>
        <w:rPr>
          <w:rFonts w:hint="eastAsia" w:ascii="宋体" w:cs="宋体"/>
          <w:color w:val="auto"/>
          <w:sz w:val="24"/>
          <w:highlight w:val="none"/>
        </w:rPr>
        <w:t>（一）因违约解除合同</w:t>
      </w:r>
    </w:p>
    <w:p w14:paraId="4060702E">
      <w:pPr>
        <w:spacing w:line="360" w:lineRule="auto"/>
        <w:ind w:firstLine="480" w:firstLineChars="200"/>
        <w:rPr>
          <w:rFonts w:ascii="宋体" w:cs="宋体"/>
          <w:color w:val="auto"/>
          <w:sz w:val="24"/>
          <w:highlight w:val="none"/>
        </w:rPr>
      </w:pPr>
      <w:r>
        <w:rPr>
          <w:rFonts w:hint="eastAsia" w:ascii="宋体" w:cs="宋体"/>
          <w:color w:val="auto"/>
          <w:sz w:val="24"/>
          <w:highlight w:val="none"/>
        </w:rPr>
        <w:t>1.在甲方（用户）对乙方违约而采取的任何补救措施不受影响的情况下，甲方（用户）可向乙方发出书面违约通知书，提出解除部分或全部合同：</w:t>
      </w:r>
    </w:p>
    <w:p w14:paraId="564E8E40">
      <w:pPr>
        <w:spacing w:line="360" w:lineRule="auto"/>
        <w:ind w:firstLine="480" w:firstLineChars="200"/>
        <w:rPr>
          <w:rFonts w:ascii="宋体" w:cs="宋体"/>
          <w:color w:val="auto"/>
          <w:sz w:val="24"/>
          <w:highlight w:val="none"/>
        </w:rPr>
      </w:pPr>
      <w:r>
        <w:rPr>
          <w:rFonts w:hint="eastAsia" w:ascii="宋体" w:cs="宋体"/>
          <w:color w:val="auto"/>
          <w:sz w:val="24"/>
          <w:highlight w:val="none"/>
        </w:rPr>
        <w:t>（1）如果乙方未能在合同规定的期限或甲方（用户）根据合同条款的规定同意延长的限期内提供部分或全部的货物或服务，达到合同所规定的要求；</w:t>
      </w:r>
    </w:p>
    <w:p w14:paraId="72B381EC">
      <w:pPr>
        <w:pStyle w:val="439"/>
        <w:spacing w:line="360" w:lineRule="auto"/>
        <w:ind w:firstLine="480" w:firstLineChars="200"/>
        <w:rPr>
          <w:rFonts w:ascii="宋体" w:eastAsia="宋体" w:cs="宋体"/>
          <w:color w:val="auto"/>
          <w:sz w:val="24"/>
          <w:szCs w:val="24"/>
          <w:highlight w:val="none"/>
        </w:rPr>
      </w:pPr>
      <w:r>
        <w:rPr>
          <w:rFonts w:hint="eastAsia" w:ascii="宋体" w:eastAsia="宋体" w:cs="宋体"/>
          <w:color w:val="auto"/>
          <w:sz w:val="24"/>
          <w:szCs w:val="24"/>
          <w:highlight w:val="none"/>
        </w:rPr>
        <w:t>（2）如果甲方（用户）发现乙方在本合同的竞争或实施中有欺诈行为。</w:t>
      </w:r>
    </w:p>
    <w:p w14:paraId="5076C91A">
      <w:pPr>
        <w:spacing w:line="360" w:lineRule="auto"/>
        <w:ind w:firstLine="480" w:firstLineChars="200"/>
        <w:rPr>
          <w:rFonts w:ascii="宋体" w:cs="宋体"/>
          <w:color w:val="auto"/>
          <w:sz w:val="24"/>
          <w:highlight w:val="none"/>
        </w:rPr>
      </w:pPr>
      <w:r>
        <w:rPr>
          <w:rFonts w:hint="eastAsia" w:ascii="宋体" w:cs="宋体"/>
          <w:color w:val="auto"/>
          <w:sz w:val="24"/>
          <w:highlight w:val="none"/>
        </w:rPr>
        <w:t>（3）如果乙方未能履行合同规定的其他任何义务。</w:t>
      </w:r>
    </w:p>
    <w:p w14:paraId="41DBCF29">
      <w:pPr>
        <w:spacing w:line="360" w:lineRule="auto"/>
        <w:ind w:firstLine="480" w:firstLineChars="200"/>
        <w:rPr>
          <w:rFonts w:ascii="宋体" w:cs="宋体"/>
          <w:color w:val="auto"/>
          <w:sz w:val="24"/>
          <w:highlight w:val="none"/>
        </w:rPr>
      </w:pPr>
      <w:r>
        <w:rPr>
          <w:rFonts w:hint="eastAsia" w:ascii="宋体" w:cs="宋体"/>
          <w:color w:val="auto"/>
          <w:sz w:val="24"/>
          <w:highlight w:val="none"/>
        </w:rPr>
        <w:t>2.如果甲方（用户）根据上述规定与乙方全部或部分解除合同，</w:t>
      </w:r>
      <w:r>
        <w:rPr>
          <w:rFonts w:hint="eastAsia" w:ascii="宋体" w:cs="宋体"/>
          <w:bCs/>
          <w:color w:val="auto"/>
          <w:sz w:val="24"/>
          <w:highlight w:val="none"/>
        </w:rPr>
        <w:t>甲方（用户）可以依其认为适当的条件和方法购买乙方未能提供的货物或服务，乙方应对甲方购买类似货物或服务所超出的费用负责</w:t>
      </w:r>
      <w:r>
        <w:rPr>
          <w:rFonts w:hint="eastAsia" w:ascii="宋体" w:cs="宋体"/>
          <w:color w:val="auto"/>
          <w:sz w:val="24"/>
          <w:highlight w:val="none"/>
        </w:rPr>
        <w:t>。</w:t>
      </w:r>
      <w:r>
        <w:rPr>
          <w:rFonts w:hint="eastAsia" w:ascii="宋体" w:cs="宋体"/>
          <w:bCs/>
          <w:color w:val="auto"/>
          <w:sz w:val="24"/>
          <w:highlight w:val="none"/>
        </w:rPr>
        <w:t>同时，乙方应继续执行合同中未解除的部分。</w:t>
      </w:r>
    </w:p>
    <w:p w14:paraId="3FF7D587">
      <w:pPr>
        <w:spacing w:line="360" w:lineRule="auto"/>
        <w:ind w:firstLine="480" w:firstLineChars="200"/>
        <w:rPr>
          <w:rFonts w:ascii="宋体" w:cs="宋体"/>
          <w:color w:val="auto"/>
          <w:sz w:val="24"/>
          <w:highlight w:val="none"/>
        </w:rPr>
      </w:pPr>
      <w:r>
        <w:rPr>
          <w:rFonts w:hint="eastAsia" w:ascii="宋体" w:cs="宋体"/>
          <w:color w:val="auto"/>
          <w:sz w:val="24"/>
          <w:highlight w:val="none"/>
        </w:rPr>
        <w:t>（二）因破产而解除合同</w:t>
      </w:r>
    </w:p>
    <w:p w14:paraId="61FB1404">
      <w:pPr>
        <w:spacing w:line="360" w:lineRule="auto"/>
        <w:ind w:firstLine="480" w:firstLineChars="200"/>
        <w:rPr>
          <w:rFonts w:ascii="宋体" w:cs="宋体"/>
          <w:color w:val="auto"/>
          <w:sz w:val="24"/>
          <w:highlight w:val="none"/>
        </w:rPr>
      </w:pPr>
      <w:r>
        <w:rPr>
          <w:rFonts w:hint="eastAsia" w:ascii="宋体" w:cs="宋体"/>
          <w:color w:val="auto"/>
          <w:sz w:val="24"/>
          <w:highlight w:val="none"/>
        </w:rPr>
        <w:t>1.如果乙方破产或无清偿能力，甲方（用户）可在任何时候以书面形式通知乙方，提出解除合同而不给乙方补偿，并有权要求乙方退回甲方（用户）已支付的合同货款。</w:t>
      </w:r>
    </w:p>
    <w:p w14:paraId="6D661366">
      <w:pPr>
        <w:spacing w:line="360" w:lineRule="auto"/>
        <w:ind w:firstLine="480" w:firstLineChars="200"/>
        <w:rPr>
          <w:rFonts w:ascii="宋体" w:cs="宋体"/>
          <w:color w:val="auto"/>
          <w:sz w:val="24"/>
          <w:highlight w:val="none"/>
        </w:rPr>
      </w:pPr>
      <w:r>
        <w:rPr>
          <w:rFonts w:hint="eastAsia" w:ascii="宋体" w:cs="宋体"/>
          <w:color w:val="auto"/>
          <w:sz w:val="24"/>
          <w:highlight w:val="none"/>
        </w:rPr>
        <w:t>2.该解除合同将不损害或影响甲方已经采取或将要采取的任何行动或补救措施的权利。</w:t>
      </w:r>
    </w:p>
    <w:p w14:paraId="7BC40D7A">
      <w:pPr>
        <w:spacing w:line="360" w:lineRule="auto"/>
        <w:ind w:firstLine="480" w:firstLineChars="200"/>
        <w:rPr>
          <w:rFonts w:ascii="宋体" w:cs="宋体"/>
          <w:color w:val="auto"/>
          <w:sz w:val="24"/>
          <w:highlight w:val="none"/>
        </w:rPr>
      </w:pPr>
      <w:r>
        <w:rPr>
          <w:rFonts w:hint="eastAsia" w:ascii="宋体" w:cs="宋体"/>
          <w:color w:val="auto"/>
          <w:sz w:val="24"/>
          <w:highlight w:val="none"/>
        </w:rPr>
        <w:t>（三）其他解除合同情况</w:t>
      </w:r>
    </w:p>
    <w:p w14:paraId="59DB5400">
      <w:pPr>
        <w:spacing w:line="360" w:lineRule="auto"/>
        <w:ind w:firstLine="480" w:firstLineChars="200"/>
        <w:rPr>
          <w:rFonts w:ascii="宋体" w:cs="宋体"/>
          <w:color w:val="auto"/>
          <w:sz w:val="24"/>
          <w:highlight w:val="none"/>
        </w:rPr>
      </w:pPr>
      <w:r>
        <w:rPr>
          <w:rFonts w:hint="eastAsia" w:ascii="宋体" w:cs="宋体"/>
          <w:color w:val="auto"/>
          <w:sz w:val="24"/>
          <w:highlight w:val="none"/>
        </w:rPr>
        <w:t>1.若合同继续履行将给甲方造成重大损失的，甲方（用户）可以解除合同而不给予乙方任何补偿。</w:t>
      </w:r>
    </w:p>
    <w:p w14:paraId="11FB5274">
      <w:pPr>
        <w:spacing w:line="360" w:lineRule="auto"/>
        <w:ind w:firstLine="480" w:firstLineChars="200"/>
        <w:rPr>
          <w:rFonts w:ascii="宋体" w:cs="宋体"/>
          <w:color w:val="auto"/>
          <w:sz w:val="24"/>
          <w:highlight w:val="none"/>
        </w:rPr>
      </w:pPr>
      <w:r>
        <w:rPr>
          <w:rFonts w:hint="eastAsia" w:ascii="宋体" w:cs="宋体"/>
          <w:color w:val="auto"/>
          <w:sz w:val="24"/>
          <w:highlight w:val="none"/>
        </w:rPr>
        <w:t>2.乙方在执行合同的过程中发生重大变故，对履行合同有影响的，甲方（用户）可以解除合同而不给予乙方任何补偿。</w:t>
      </w:r>
    </w:p>
    <w:p w14:paraId="701AEDDC">
      <w:pPr>
        <w:spacing w:line="360" w:lineRule="auto"/>
        <w:ind w:firstLine="480" w:firstLineChars="200"/>
        <w:rPr>
          <w:rFonts w:ascii="宋体" w:cs="宋体"/>
          <w:color w:val="auto"/>
          <w:sz w:val="24"/>
          <w:highlight w:val="none"/>
        </w:rPr>
      </w:pPr>
      <w:r>
        <w:rPr>
          <w:rFonts w:hint="eastAsia" w:ascii="宋体" w:cs="宋体"/>
          <w:color w:val="auto"/>
          <w:sz w:val="24"/>
          <w:highlight w:val="none"/>
        </w:rPr>
        <w:t>3.甲方（用户）因重大变故取消或部分取消原来的采购任务，导致合同全部或部分内容无需继续履行的，可以解除合同而不给予乙方任何补偿。</w:t>
      </w:r>
    </w:p>
    <w:p w14:paraId="7CAA7315">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第二十条 合同终止</w:t>
      </w:r>
    </w:p>
    <w:p w14:paraId="438E7F58">
      <w:pPr>
        <w:pStyle w:val="440"/>
        <w:autoSpaceDN w:val="0"/>
        <w:spacing w:line="360" w:lineRule="auto"/>
        <w:ind w:firstLine="480" w:firstLineChars="200"/>
        <w:jc w:val="left"/>
        <w:rPr>
          <w:rFonts w:ascii="宋体" w:eastAsia="宋体" w:cs="宋体"/>
          <w:snapToGrid w:val="0"/>
          <w:color w:val="auto"/>
          <w:kern w:val="0"/>
          <w:sz w:val="24"/>
          <w:szCs w:val="24"/>
          <w:highlight w:val="none"/>
        </w:rPr>
      </w:pPr>
      <w:r>
        <w:rPr>
          <w:rFonts w:hint="eastAsia" w:ascii="宋体" w:eastAsia="宋体" w:cs="宋体"/>
          <w:snapToGrid w:val="0"/>
          <w:color w:val="auto"/>
          <w:kern w:val="0"/>
          <w:sz w:val="24"/>
          <w:szCs w:val="24"/>
          <w:highlight w:val="none"/>
        </w:rPr>
        <w:t>（一）本合同因下列原因而终止：</w:t>
      </w:r>
    </w:p>
    <w:p w14:paraId="39FD2E27">
      <w:pPr>
        <w:pStyle w:val="440"/>
        <w:autoSpaceDN w:val="0"/>
        <w:spacing w:line="360" w:lineRule="auto"/>
        <w:ind w:firstLine="480" w:firstLineChars="200"/>
        <w:jc w:val="left"/>
        <w:rPr>
          <w:rFonts w:ascii="宋体" w:eastAsia="宋体" w:cs="宋体"/>
          <w:snapToGrid w:val="0"/>
          <w:color w:val="auto"/>
          <w:kern w:val="0"/>
          <w:sz w:val="24"/>
          <w:szCs w:val="24"/>
          <w:highlight w:val="none"/>
        </w:rPr>
      </w:pPr>
      <w:r>
        <w:rPr>
          <w:rFonts w:hint="eastAsia" w:ascii="宋体" w:eastAsia="宋体" w:cs="宋体"/>
          <w:snapToGrid w:val="0"/>
          <w:color w:val="auto"/>
          <w:kern w:val="0"/>
          <w:sz w:val="24"/>
          <w:szCs w:val="24"/>
          <w:highlight w:val="none"/>
        </w:rPr>
        <w:t>1.本合同正常履行完毕；</w:t>
      </w:r>
    </w:p>
    <w:p w14:paraId="0126D908">
      <w:pPr>
        <w:pStyle w:val="440"/>
        <w:autoSpaceDN w:val="0"/>
        <w:spacing w:line="360" w:lineRule="auto"/>
        <w:ind w:firstLine="480" w:firstLineChars="200"/>
        <w:jc w:val="left"/>
        <w:rPr>
          <w:rFonts w:ascii="宋体" w:eastAsia="宋体" w:cs="宋体"/>
          <w:snapToGrid w:val="0"/>
          <w:color w:val="auto"/>
          <w:kern w:val="0"/>
          <w:sz w:val="24"/>
          <w:szCs w:val="24"/>
          <w:highlight w:val="none"/>
        </w:rPr>
      </w:pPr>
      <w:r>
        <w:rPr>
          <w:rFonts w:hint="eastAsia" w:ascii="宋体" w:eastAsia="宋体" w:cs="宋体"/>
          <w:snapToGrid w:val="0"/>
          <w:color w:val="auto"/>
          <w:kern w:val="0"/>
          <w:sz w:val="24"/>
          <w:szCs w:val="24"/>
          <w:highlight w:val="none"/>
        </w:rPr>
        <w:t>2.合同双方协议终止本合同的履行；</w:t>
      </w:r>
    </w:p>
    <w:p w14:paraId="351776D3">
      <w:pPr>
        <w:pStyle w:val="440"/>
        <w:autoSpaceDN w:val="0"/>
        <w:spacing w:line="360" w:lineRule="auto"/>
        <w:ind w:firstLine="480" w:firstLineChars="200"/>
        <w:jc w:val="left"/>
        <w:rPr>
          <w:rFonts w:ascii="宋体" w:eastAsia="宋体" w:cs="宋体"/>
          <w:snapToGrid w:val="0"/>
          <w:color w:val="auto"/>
          <w:kern w:val="0"/>
          <w:sz w:val="24"/>
          <w:szCs w:val="24"/>
          <w:highlight w:val="none"/>
        </w:rPr>
      </w:pPr>
      <w:r>
        <w:rPr>
          <w:rFonts w:hint="eastAsia" w:ascii="宋体" w:eastAsia="宋体" w:cs="宋体"/>
          <w:snapToGrid w:val="0"/>
          <w:color w:val="auto"/>
          <w:kern w:val="0"/>
          <w:sz w:val="24"/>
          <w:szCs w:val="24"/>
          <w:highlight w:val="none"/>
        </w:rPr>
        <w:t>3.不可抗力事件导致本合同无法履行或履行不必要；</w:t>
      </w:r>
    </w:p>
    <w:p w14:paraId="79617B40">
      <w:pPr>
        <w:pStyle w:val="440"/>
        <w:autoSpaceDN w:val="0"/>
        <w:spacing w:line="360" w:lineRule="auto"/>
        <w:ind w:firstLine="480" w:firstLineChars="200"/>
        <w:jc w:val="left"/>
        <w:rPr>
          <w:rFonts w:ascii="宋体" w:eastAsia="宋体" w:cs="宋体"/>
          <w:snapToGrid w:val="0"/>
          <w:color w:val="auto"/>
          <w:kern w:val="0"/>
          <w:sz w:val="24"/>
          <w:szCs w:val="24"/>
          <w:highlight w:val="none"/>
        </w:rPr>
      </w:pPr>
      <w:r>
        <w:rPr>
          <w:rFonts w:hint="eastAsia" w:ascii="宋体" w:eastAsia="宋体" w:cs="宋体"/>
          <w:snapToGrid w:val="0"/>
          <w:color w:val="auto"/>
          <w:kern w:val="0"/>
          <w:sz w:val="24"/>
          <w:szCs w:val="24"/>
          <w:highlight w:val="none"/>
        </w:rPr>
        <w:t>4.任何一方行使解除权，解除本合同；</w:t>
      </w:r>
    </w:p>
    <w:p w14:paraId="2BF5CBAF">
      <w:pPr>
        <w:pStyle w:val="440"/>
        <w:autoSpaceDN w:val="0"/>
        <w:spacing w:line="360" w:lineRule="auto"/>
        <w:ind w:firstLine="480" w:firstLineChars="200"/>
        <w:jc w:val="left"/>
        <w:rPr>
          <w:rFonts w:ascii="宋体" w:eastAsia="宋体" w:cs="宋体"/>
          <w:snapToGrid w:val="0"/>
          <w:color w:val="auto"/>
          <w:kern w:val="0"/>
          <w:sz w:val="24"/>
          <w:szCs w:val="24"/>
          <w:highlight w:val="none"/>
        </w:rPr>
      </w:pPr>
      <w:bookmarkStart w:id="90" w:name="孔子"/>
      <w:bookmarkEnd w:id="90"/>
      <w:r>
        <w:rPr>
          <w:rFonts w:hint="eastAsia" w:ascii="宋体" w:eastAsia="宋体" w:cs="宋体"/>
          <w:snapToGrid w:val="0"/>
          <w:color w:val="auto"/>
          <w:kern w:val="0"/>
          <w:sz w:val="24"/>
          <w:szCs w:val="24"/>
          <w:highlight w:val="none"/>
        </w:rPr>
        <w:t>（二）对本合同终止有过错的一方应赔偿另一方因合同终止而受到的损失。</w:t>
      </w:r>
    </w:p>
    <w:p w14:paraId="325C0723">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第二十一条 合同转让和分包</w:t>
      </w:r>
    </w:p>
    <w:p w14:paraId="5EAE6378">
      <w:pPr>
        <w:spacing w:line="360" w:lineRule="auto"/>
        <w:ind w:firstLine="480" w:firstLineChars="200"/>
        <w:rPr>
          <w:rFonts w:ascii="宋体" w:cs="宋体"/>
          <w:color w:val="auto"/>
          <w:sz w:val="24"/>
          <w:highlight w:val="none"/>
        </w:rPr>
      </w:pPr>
      <w:r>
        <w:rPr>
          <w:rFonts w:hint="eastAsia" w:ascii="宋体" w:cs="宋体"/>
          <w:color w:val="auto"/>
          <w:sz w:val="24"/>
          <w:highlight w:val="none"/>
        </w:rPr>
        <w:t>（一）乙方不得以任何形式将合同转包，或部分或全部转让其应履行的合同义务。</w:t>
      </w:r>
    </w:p>
    <w:p w14:paraId="06EEF716">
      <w:pPr>
        <w:spacing w:line="360" w:lineRule="auto"/>
        <w:ind w:firstLine="480" w:firstLineChars="200"/>
        <w:rPr>
          <w:rFonts w:ascii="宋体" w:cs="宋体"/>
          <w:color w:val="auto"/>
          <w:sz w:val="24"/>
          <w:highlight w:val="none"/>
        </w:rPr>
      </w:pPr>
      <w:r>
        <w:rPr>
          <w:rFonts w:hint="eastAsia" w:ascii="宋体" w:cs="宋体"/>
          <w:color w:val="auto"/>
          <w:sz w:val="24"/>
          <w:highlight w:val="none"/>
        </w:rPr>
        <w:t>（二）除经甲方（用户）事先书面同意外，乙方不得以任何形式将合同分包。</w:t>
      </w:r>
    </w:p>
    <w:p w14:paraId="283F09C3">
      <w:pPr>
        <w:spacing w:line="360" w:lineRule="auto"/>
        <w:ind w:firstLine="480" w:firstLineChars="200"/>
        <w:rPr>
          <w:rFonts w:ascii="宋体" w:cs="宋体"/>
          <w:color w:val="auto"/>
          <w:sz w:val="24"/>
          <w:highlight w:val="none"/>
        </w:rPr>
      </w:pPr>
      <w:r>
        <w:rPr>
          <w:rFonts w:hint="eastAsia" w:ascii="宋体" w:cs="宋体"/>
          <w:color w:val="auto"/>
          <w:sz w:val="24"/>
          <w:highlight w:val="none"/>
        </w:rPr>
        <w:t>乙方擅自转包或分包的，甲方有权解除本合同，没收履约保证金，并要求乙方退还已支付的全部货款，赔偿甲方（用户）全部损失及支出的合理费用。</w:t>
      </w:r>
    </w:p>
    <w:p w14:paraId="4BB1BA2F">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第二十二条 其他</w:t>
      </w:r>
    </w:p>
    <w:p w14:paraId="683C51A8">
      <w:pPr>
        <w:spacing w:line="360" w:lineRule="auto"/>
        <w:ind w:firstLine="480" w:firstLineChars="200"/>
        <w:rPr>
          <w:rFonts w:ascii="宋体" w:cs="宋体"/>
          <w:color w:val="auto"/>
          <w:sz w:val="24"/>
          <w:highlight w:val="none"/>
        </w:rPr>
      </w:pPr>
      <w:r>
        <w:rPr>
          <w:rFonts w:hint="eastAsia" w:ascii="宋体" w:cs="宋体"/>
          <w:color w:val="auto"/>
          <w:sz w:val="24"/>
          <w:highlight w:val="none"/>
        </w:rPr>
        <w:t>中标通知书（成交通知书）、中标人的投标文件/应答文件、招标文件/谈判文件/询价通知书/磋商文件/单一来源、合同条款、合同附件（协商、变更的，明确双方权利义务的，以书面形式而表现出来的协议或书面通知或确认书等）是本合同不可分割的部分，与本合同具有同等法律效力。</w:t>
      </w:r>
    </w:p>
    <w:p w14:paraId="55BF9014">
      <w:pPr>
        <w:spacing w:line="360" w:lineRule="auto"/>
        <w:ind w:firstLine="482" w:firstLineChars="200"/>
        <w:rPr>
          <w:rFonts w:ascii="宋体" w:cs="宋体"/>
          <w:b/>
          <w:bCs/>
          <w:color w:val="auto"/>
          <w:sz w:val="24"/>
          <w:highlight w:val="none"/>
        </w:rPr>
      </w:pPr>
      <w:r>
        <w:rPr>
          <w:rFonts w:hint="eastAsia" w:ascii="宋体" w:cs="宋体"/>
          <w:b/>
          <w:bCs/>
          <w:color w:val="auto"/>
          <w:sz w:val="24"/>
          <w:highlight w:val="none"/>
        </w:rPr>
        <w:t>第二十三条 合同生效</w:t>
      </w:r>
    </w:p>
    <w:p w14:paraId="1FDB8D09">
      <w:pPr>
        <w:spacing w:line="360" w:lineRule="auto"/>
        <w:ind w:firstLine="480" w:firstLineChars="200"/>
        <w:rPr>
          <w:rFonts w:ascii="宋体" w:cs="宋体"/>
          <w:color w:val="auto"/>
          <w:sz w:val="24"/>
          <w:highlight w:val="none"/>
        </w:rPr>
      </w:pPr>
      <w:r>
        <w:rPr>
          <w:rFonts w:hint="eastAsia" w:ascii="宋体" w:cs="宋体"/>
          <w:color w:val="auto"/>
          <w:sz w:val="24"/>
          <w:highlight w:val="none"/>
        </w:rPr>
        <w:t>（一）本合同一式__</w:t>
      </w:r>
      <w:r>
        <w:rPr>
          <w:rFonts w:ascii="宋体" w:cs="宋体"/>
          <w:color w:val="auto"/>
          <w:sz w:val="24"/>
          <w:highlight w:val="none"/>
        </w:rPr>
        <w:t>5</w:t>
      </w:r>
      <w:r>
        <w:rPr>
          <w:rFonts w:hint="eastAsia" w:ascii="宋体" w:cs="宋体"/>
          <w:color w:val="auto"/>
          <w:sz w:val="24"/>
          <w:highlight w:val="none"/>
        </w:rPr>
        <w:t>_份，甲方执__</w:t>
      </w:r>
      <w:r>
        <w:rPr>
          <w:rFonts w:ascii="宋体" w:cs="宋体"/>
          <w:color w:val="auto"/>
          <w:sz w:val="24"/>
          <w:highlight w:val="none"/>
        </w:rPr>
        <w:t>4</w:t>
      </w:r>
      <w:r>
        <w:rPr>
          <w:rFonts w:hint="eastAsia" w:ascii="宋体" w:cs="宋体"/>
          <w:color w:val="auto"/>
          <w:sz w:val="24"/>
          <w:highlight w:val="none"/>
        </w:rPr>
        <w:t>_份，乙方执_</w:t>
      </w:r>
      <w:r>
        <w:rPr>
          <w:rFonts w:ascii="宋体" w:cs="宋体"/>
          <w:color w:val="auto"/>
          <w:sz w:val="24"/>
          <w:highlight w:val="none"/>
        </w:rPr>
        <w:t>1</w:t>
      </w:r>
      <w:r>
        <w:rPr>
          <w:rFonts w:hint="eastAsia" w:ascii="宋体" w:cs="宋体"/>
          <w:color w:val="auto"/>
          <w:sz w:val="24"/>
          <w:highlight w:val="none"/>
        </w:rPr>
        <w:t>__份；自甲乙双方签字盖章之日起生效。对本合同的任何更改及补充，均需双方共同协商，并以书面形式盖章确认。</w:t>
      </w:r>
    </w:p>
    <w:p w14:paraId="3F9BD21E">
      <w:pPr>
        <w:pStyle w:val="441"/>
        <w:widowControl/>
        <w:autoSpaceDN w:val="0"/>
        <w:spacing w:line="360" w:lineRule="auto"/>
        <w:ind w:firstLine="480" w:firstLineChars="200"/>
        <w:jc w:val="left"/>
        <w:rPr>
          <w:rFonts w:ascii="宋体" w:cs="宋体"/>
          <w:snapToGrid w:val="0"/>
          <w:color w:val="auto"/>
          <w:kern w:val="0"/>
          <w:sz w:val="24"/>
          <w:szCs w:val="24"/>
          <w:highlight w:val="none"/>
        </w:rPr>
      </w:pPr>
      <w:r>
        <w:rPr>
          <w:rFonts w:hint="eastAsia" w:ascii="宋体" w:cs="宋体"/>
          <w:color w:val="auto"/>
          <w:sz w:val="24"/>
          <w:szCs w:val="24"/>
          <w:highlight w:val="none"/>
        </w:rPr>
        <w:t>（二）</w:t>
      </w:r>
      <w:r>
        <w:rPr>
          <w:rFonts w:hint="eastAsia" w:ascii="宋体" w:cs="宋体"/>
          <w:snapToGrid w:val="0"/>
          <w:color w:val="auto"/>
          <w:kern w:val="0"/>
          <w:sz w:val="24"/>
          <w:szCs w:val="24"/>
          <w:highlight w:val="none"/>
        </w:rPr>
        <w:t>本合同签订后，由</w:t>
      </w:r>
      <w:r>
        <w:rPr>
          <w:rFonts w:ascii="宋体" w:cs="宋体"/>
          <w:snapToGrid w:val="0"/>
          <w:color w:val="auto"/>
          <w:kern w:val="0"/>
          <w:sz w:val="24"/>
          <w:szCs w:val="24"/>
          <w:highlight w:val="none"/>
          <w:u w:val="single"/>
        </w:rPr>
        <w:t>大连</w:t>
      </w:r>
      <w:r>
        <w:rPr>
          <w:rFonts w:hint="eastAsia" w:ascii="宋体" w:cs="宋体"/>
          <w:snapToGrid w:val="0"/>
          <w:color w:val="auto"/>
          <w:kern w:val="0"/>
          <w:sz w:val="24"/>
          <w:szCs w:val="24"/>
          <w:highlight w:val="none"/>
          <w:u w:val="single"/>
        </w:rPr>
        <w:t>海关</w:t>
      </w:r>
      <w:r>
        <w:rPr>
          <w:rFonts w:ascii="宋体" w:cs="宋体"/>
          <w:snapToGrid w:val="0"/>
          <w:color w:val="auto"/>
          <w:kern w:val="0"/>
          <w:sz w:val="24"/>
          <w:szCs w:val="24"/>
          <w:highlight w:val="none"/>
          <w:u w:val="single"/>
        </w:rPr>
        <w:t>技术中心</w:t>
      </w:r>
      <w:r>
        <w:rPr>
          <w:rFonts w:hint="eastAsia" w:ascii="宋体" w:cs="宋体"/>
          <w:snapToGrid w:val="0"/>
          <w:color w:val="auto"/>
          <w:kern w:val="0"/>
          <w:sz w:val="24"/>
          <w:szCs w:val="24"/>
          <w:highlight w:val="none"/>
        </w:rPr>
        <w:t>执行资金支付、履约保证金收退、货物或项目验收等合同履约一切事宜。</w:t>
      </w:r>
    </w:p>
    <w:p w14:paraId="79063399">
      <w:pPr>
        <w:spacing w:line="360" w:lineRule="auto"/>
        <w:ind w:firstLine="480" w:firstLineChars="200"/>
        <w:rPr>
          <w:rFonts w:ascii="宋体" w:cs="宋体"/>
          <w:color w:val="auto"/>
          <w:sz w:val="24"/>
          <w:highlight w:val="none"/>
        </w:rPr>
      </w:pPr>
    </w:p>
    <w:p w14:paraId="6A0901D3">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附件一：分项报价表</w:t>
      </w:r>
    </w:p>
    <w:p w14:paraId="1863B3A9">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附件二：设备配置清单</w:t>
      </w:r>
    </w:p>
    <w:p w14:paraId="709356E6">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附件三：技术偏离表</w:t>
      </w:r>
    </w:p>
    <w:p w14:paraId="1F9A442E">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附件四：货物分配清单</w:t>
      </w:r>
    </w:p>
    <w:p w14:paraId="62A19F68">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附件五：项目实施方案</w:t>
      </w:r>
    </w:p>
    <w:p w14:paraId="11DA94BC">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附件六：技术培训方案</w:t>
      </w:r>
    </w:p>
    <w:p w14:paraId="46434EA3">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附件七：技术支持及售后服务方案</w:t>
      </w:r>
    </w:p>
    <w:p w14:paraId="271047E0">
      <w:pPr>
        <w:spacing w:line="360" w:lineRule="auto"/>
        <w:ind w:firstLine="480" w:firstLineChars="200"/>
        <w:rPr>
          <w:rFonts w:ascii="宋体" w:cs="宋体"/>
          <w:color w:val="auto"/>
          <w:sz w:val="24"/>
          <w:highlight w:val="none"/>
        </w:rPr>
      </w:pPr>
      <w:r>
        <w:rPr>
          <w:rFonts w:hint="eastAsia" w:ascii="宋体" w:cs="宋体"/>
          <w:color w:val="auto"/>
          <w:sz w:val="24"/>
          <w:highlight w:val="none"/>
        </w:rPr>
        <w:t>附件八：设备到货验收报告</w:t>
      </w:r>
    </w:p>
    <w:p w14:paraId="1552AAAE">
      <w:pPr>
        <w:spacing w:line="360" w:lineRule="auto"/>
        <w:rPr>
          <w:rFonts w:ascii="宋体" w:cs="宋体"/>
          <w:color w:val="auto"/>
          <w:sz w:val="24"/>
          <w:highlight w:val="none"/>
        </w:rPr>
      </w:pPr>
      <w:r>
        <w:rPr>
          <w:rFonts w:hint="eastAsia" w:ascii="宋体" w:cs="宋体"/>
          <w:color w:val="auto"/>
          <w:sz w:val="24"/>
          <w:highlight w:val="none"/>
        </w:rPr>
        <w:t>（附件一、二、三、五、六、七内容与投标/响应文件一致。）</w:t>
      </w:r>
    </w:p>
    <w:p w14:paraId="0B3181E5">
      <w:pPr>
        <w:spacing w:line="360" w:lineRule="auto"/>
        <w:rPr>
          <w:rFonts w:ascii="宋体" w:cs="宋体"/>
          <w:color w:val="auto"/>
          <w:sz w:val="24"/>
          <w:highlight w:val="none"/>
        </w:rPr>
      </w:pPr>
    </w:p>
    <w:p w14:paraId="6214673C">
      <w:pPr>
        <w:spacing w:line="360" w:lineRule="auto"/>
        <w:rPr>
          <w:rFonts w:ascii="宋体" w:cs="宋体"/>
          <w:color w:val="auto"/>
          <w:sz w:val="24"/>
          <w:highlight w:val="none"/>
        </w:rPr>
      </w:pPr>
      <w:r>
        <w:rPr>
          <w:rFonts w:hint="eastAsia" w:ascii="宋体" w:cs="宋体"/>
          <w:color w:val="auto"/>
          <w:sz w:val="24"/>
          <w:highlight w:val="none"/>
        </w:rPr>
        <w:t>甲方（公章</w:t>
      </w:r>
      <w:r>
        <w:rPr>
          <w:rFonts w:hint="eastAsia" w:ascii="宋体" w:cs="宋体"/>
          <w:snapToGrid w:val="0"/>
          <w:color w:val="auto"/>
          <w:kern w:val="0"/>
          <w:sz w:val="24"/>
          <w:highlight w:val="none"/>
        </w:rPr>
        <w:t>或合同章</w:t>
      </w:r>
      <w:r>
        <w:rPr>
          <w:rFonts w:hint="eastAsia" w:ascii="宋体" w:cs="宋体"/>
          <w:color w:val="auto"/>
          <w:sz w:val="24"/>
          <w:highlight w:val="none"/>
        </w:rPr>
        <w:t>）：             乙方（公章</w:t>
      </w:r>
      <w:r>
        <w:rPr>
          <w:rFonts w:hint="eastAsia" w:ascii="宋体" w:cs="宋体"/>
          <w:snapToGrid w:val="0"/>
          <w:color w:val="auto"/>
          <w:kern w:val="0"/>
          <w:sz w:val="24"/>
          <w:highlight w:val="none"/>
        </w:rPr>
        <w:t>或合同章</w:t>
      </w:r>
      <w:r>
        <w:rPr>
          <w:rFonts w:hint="eastAsia" w:ascii="宋体" w:cs="宋体"/>
          <w:color w:val="auto"/>
          <w:sz w:val="24"/>
          <w:highlight w:val="none"/>
        </w:rPr>
        <w:t>）：</w:t>
      </w:r>
    </w:p>
    <w:p w14:paraId="66E02579">
      <w:pPr>
        <w:spacing w:line="360" w:lineRule="auto"/>
        <w:rPr>
          <w:rFonts w:ascii="宋体" w:cs="宋体"/>
          <w:color w:val="auto"/>
          <w:sz w:val="24"/>
          <w:highlight w:val="none"/>
        </w:rPr>
      </w:pPr>
      <w:r>
        <w:rPr>
          <w:rFonts w:hint="eastAsia" w:ascii="宋体" w:cs="宋体"/>
          <w:color w:val="auto"/>
          <w:sz w:val="24"/>
          <w:highlight w:val="none"/>
        </w:rPr>
        <w:t>法定代表人                        法定代表人</w:t>
      </w:r>
    </w:p>
    <w:p w14:paraId="08C5D1FD">
      <w:pPr>
        <w:spacing w:line="360" w:lineRule="auto"/>
        <w:rPr>
          <w:rFonts w:ascii="宋体" w:cs="宋体"/>
          <w:color w:val="auto"/>
          <w:sz w:val="24"/>
          <w:highlight w:val="none"/>
        </w:rPr>
      </w:pPr>
      <w:r>
        <w:rPr>
          <w:rFonts w:hint="eastAsia" w:ascii="宋体" w:cs="宋体"/>
          <w:color w:val="auto"/>
          <w:sz w:val="24"/>
          <w:highlight w:val="none"/>
        </w:rPr>
        <w:t>或授权签字人（签字）：             或授权签字人（签字）：</w:t>
      </w:r>
    </w:p>
    <w:p w14:paraId="5CB1C397">
      <w:pPr>
        <w:spacing w:line="360" w:lineRule="auto"/>
        <w:rPr>
          <w:rFonts w:ascii="宋体" w:cs="宋体"/>
          <w:color w:val="auto"/>
          <w:sz w:val="24"/>
          <w:highlight w:val="none"/>
        </w:rPr>
      </w:pPr>
    </w:p>
    <w:p w14:paraId="304C2965">
      <w:pPr>
        <w:pStyle w:val="99"/>
        <w:numPr>
          <w:ilvl w:val="0"/>
          <w:numId w:val="0"/>
        </w:numPr>
        <w:snapToGrid w:val="0"/>
        <w:ind w:hanging="432"/>
        <w:rPr>
          <w:rFonts w:ascii="宋体" w:hAnsi="宋体" w:cs="宋体"/>
          <w:color w:val="auto"/>
          <w:kern w:val="0"/>
          <w:highlight w:val="none"/>
        </w:rPr>
      </w:pPr>
      <w:r>
        <w:rPr>
          <w:rFonts w:hint="eastAsia" w:ascii="宋体" w:cs="宋体"/>
          <w:color w:val="auto"/>
          <w:sz w:val="24"/>
          <w:highlight w:val="none"/>
        </w:rPr>
        <w:t xml:space="preserve">日期： 年  月  日                 日期：   年   月   日 </w:t>
      </w:r>
    </w:p>
    <w:p w14:paraId="1E0A979F">
      <w:pPr>
        <w:pStyle w:val="99"/>
        <w:numPr>
          <w:ilvl w:val="0"/>
          <w:numId w:val="0"/>
        </w:numPr>
        <w:snapToGrid w:val="0"/>
        <w:ind w:hanging="432"/>
        <w:rPr>
          <w:rFonts w:ascii="宋体" w:hAnsi="宋体" w:cs="宋体"/>
          <w:color w:val="auto"/>
          <w:kern w:val="0"/>
          <w:highlight w:val="none"/>
        </w:rPr>
      </w:pPr>
    </w:p>
    <w:p w14:paraId="6E29EBC2">
      <w:pPr>
        <w:pStyle w:val="99"/>
        <w:numPr>
          <w:ilvl w:val="0"/>
          <w:numId w:val="0"/>
        </w:numPr>
        <w:snapToGrid w:val="0"/>
        <w:ind w:hanging="432"/>
        <w:rPr>
          <w:rFonts w:ascii="宋体" w:hAnsi="宋体" w:cs="宋体"/>
          <w:color w:val="auto"/>
          <w:kern w:val="0"/>
          <w:highlight w:val="none"/>
        </w:rPr>
      </w:pPr>
    </w:p>
    <w:p w14:paraId="06083AA4">
      <w:pPr>
        <w:pStyle w:val="99"/>
        <w:numPr>
          <w:ilvl w:val="0"/>
          <w:numId w:val="0"/>
        </w:numPr>
        <w:snapToGrid w:val="0"/>
        <w:ind w:hanging="432"/>
        <w:rPr>
          <w:rFonts w:ascii="宋体" w:hAnsi="宋体" w:cs="宋体"/>
          <w:color w:val="auto"/>
          <w:kern w:val="0"/>
          <w:highlight w:val="none"/>
        </w:rPr>
      </w:pPr>
    </w:p>
    <w:p w14:paraId="11220E0E">
      <w:pPr>
        <w:widowControl/>
        <w:ind w:firstLine="480"/>
        <w:jc w:val="left"/>
        <w:rPr>
          <w:rFonts w:ascii="宋体" w:hAnsi="宋体" w:cs="宋体"/>
          <w:color w:val="auto"/>
          <w:kern w:val="0"/>
          <w:sz w:val="24"/>
          <w:highlight w:val="none"/>
        </w:rPr>
      </w:pPr>
      <w:r>
        <w:rPr>
          <w:rFonts w:ascii="宋体" w:hAnsi="宋体" w:cs="宋体"/>
          <w:color w:val="auto"/>
          <w:kern w:val="0"/>
          <w:highlight w:val="none"/>
        </w:rPr>
        <w:br w:type="page"/>
      </w:r>
    </w:p>
    <w:p w14:paraId="651AB628">
      <w:pPr>
        <w:pStyle w:val="3"/>
        <w:snapToGrid w:val="0"/>
        <w:spacing w:before="0" w:after="0" w:line="360" w:lineRule="auto"/>
        <w:ind w:firstLine="643"/>
        <w:jc w:val="center"/>
        <w:rPr>
          <w:rFonts w:ascii="宋体" w:hAnsi="宋体" w:cs="宋体"/>
          <w:color w:val="auto"/>
          <w:kern w:val="0"/>
          <w:sz w:val="32"/>
          <w:szCs w:val="32"/>
          <w:highlight w:val="none"/>
        </w:rPr>
      </w:pPr>
      <w:bookmarkStart w:id="91" w:name="_Toc27563_WPSOffice_Level3"/>
      <w:bookmarkStart w:id="92" w:name="_Toc208652415"/>
      <w:bookmarkStart w:id="93" w:name="_Toc22913_WPSOffice_Level2"/>
      <w:bookmarkStart w:id="94" w:name="_Toc6653238"/>
      <w:r>
        <w:rPr>
          <w:rFonts w:hint="eastAsia" w:ascii="宋体" w:hAnsi="宋体" w:cs="宋体"/>
          <w:color w:val="auto"/>
          <w:kern w:val="0"/>
          <w:sz w:val="32"/>
          <w:szCs w:val="32"/>
          <w:highlight w:val="none"/>
        </w:rPr>
        <w:t>第三章 用户需求书</w:t>
      </w:r>
    </w:p>
    <w:bookmarkEnd w:id="91"/>
    <w:bookmarkEnd w:id="92"/>
    <w:p w14:paraId="6E855EBA">
      <w:pPr>
        <w:spacing w:line="360" w:lineRule="auto"/>
        <w:rPr>
          <w:rFonts w:hAnsi="宋体"/>
          <w:b/>
          <w:color w:val="auto"/>
          <w:sz w:val="24"/>
          <w:highlight w:val="none"/>
        </w:rPr>
      </w:pPr>
      <w:r>
        <w:rPr>
          <w:rFonts w:hint="eastAsia" w:hAnsi="宋体"/>
          <w:b/>
          <w:color w:val="auto"/>
          <w:sz w:val="24"/>
          <w:highlight w:val="none"/>
          <w:lang w:eastAsia="zh-CN"/>
        </w:rPr>
        <w:t>一</w:t>
      </w:r>
      <w:r>
        <w:rPr>
          <w:rFonts w:hint="eastAsia" w:hAnsi="宋体"/>
          <w:b/>
          <w:color w:val="auto"/>
          <w:sz w:val="24"/>
          <w:highlight w:val="none"/>
        </w:rPr>
        <w:t>、需求清单</w:t>
      </w:r>
      <w:r>
        <w:rPr>
          <w:rFonts w:hint="eastAsia" w:ascii="宋体" w:hAnsi="宋体" w:cs="宋体"/>
          <w:b/>
          <w:bCs/>
          <w:color w:val="auto"/>
          <w:kern w:val="0"/>
          <w:sz w:val="24"/>
          <w:highlight w:val="none"/>
        </w:rPr>
        <w:t>：</w:t>
      </w:r>
    </w:p>
    <w:tbl>
      <w:tblPr>
        <w:tblStyle w:val="88"/>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4099"/>
        <w:gridCol w:w="889"/>
        <w:gridCol w:w="888"/>
        <w:gridCol w:w="1768"/>
      </w:tblGrid>
      <w:tr w14:paraId="297B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81" w:type="dxa"/>
            <w:vAlign w:val="center"/>
          </w:tcPr>
          <w:p w14:paraId="5ADC1F95">
            <w:pPr>
              <w:adjustRightInd w:val="0"/>
              <w:spacing w:line="360" w:lineRule="auto"/>
              <w:jc w:val="center"/>
              <w:textAlignment w:val="baseline"/>
              <w:rPr>
                <w:rFonts w:cs="宋体"/>
                <w:b/>
                <w:color w:val="auto"/>
                <w:sz w:val="24"/>
                <w:highlight w:val="none"/>
              </w:rPr>
            </w:pPr>
            <w:r>
              <w:rPr>
                <w:rFonts w:hint="eastAsia" w:cs="宋体"/>
                <w:b/>
                <w:color w:val="auto"/>
                <w:sz w:val="24"/>
                <w:highlight w:val="none"/>
              </w:rPr>
              <w:t>序号</w:t>
            </w:r>
          </w:p>
        </w:tc>
        <w:tc>
          <w:tcPr>
            <w:tcW w:w="4099" w:type="dxa"/>
            <w:vAlign w:val="center"/>
          </w:tcPr>
          <w:p w14:paraId="680C6504">
            <w:pPr>
              <w:adjustRightInd w:val="0"/>
              <w:spacing w:line="360" w:lineRule="auto"/>
              <w:jc w:val="center"/>
              <w:textAlignment w:val="baseline"/>
              <w:rPr>
                <w:rFonts w:cs="宋体"/>
                <w:b/>
                <w:color w:val="auto"/>
                <w:sz w:val="24"/>
                <w:highlight w:val="none"/>
              </w:rPr>
            </w:pPr>
            <w:r>
              <w:rPr>
                <w:rFonts w:hint="eastAsia" w:cs="宋体"/>
                <w:b/>
                <w:color w:val="auto"/>
                <w:sz w:val="24"/>
                <w:highlight w:val="none"/>
              </w:rPr>
              <w:t>标的名称</w:t>
            </w:r>
          </w:p>
        </w:tc>
        <w:tc>
          <w:tcPr>
            <w:tcW w:w="889" w:type="dxa"/>
            <w:vAlign w:val="center"/>
          </w:tcPr>
          <w:p w14:paraId="6546D8A8">
            <w:pPr>
              <w:adjustRightInd w:val="0"/>
              <w:spacing w:line="360" w:lineRule="auto"/>
              <w:jc w:val="center"/>
              <w:textAlignment w:val="baseline"/>
              <w:rPr>
                <w:rFonts w:cs="宋体"/>
                <w:b/>
                <w:color w:val="auto"/>
                <w:sz w:val="24"/>
                <w:highlight w:val="none"/>
              </w:rPr>
            </w:pPr>
            <w:r>
              <w:rPr>
                <w:rFonts w:hint="eastAsia" w:cs="宋体"/>
                <w:b/>
                <w:color w:val="auto"/>
                <w:sz w:val="24"/>
                <w:highlight w:val="none"/>
              </w:rPr>
              <w:t>单位</w:t>
            </w:r>
          </w:p>
        </w:tc>
        <w:tc>
          <w:tcPr>
            <w:tcW w:w="888" w:type="dxa"/>
            <w:vAlign w:val="center"/>
          </w:tcPr>
          <w:p w14:paraId="26653EBB">
            <w:pPr>
              <w:adjustRightInd w:val="0"/>
              <w:spacing w:line="360" w:lineRule="auto"/>
              <w:jc w:val="center"/>
              <w:textAlignment w:val="baseline"/>
              <w:rPr>
                <w:rFonts w:cs="宋体"/>
                <w:b/>
                <w:color w:val="auto"/>
                <w:sz w:val="24"/>
                <w:highlight w:val="none"/>
              </w:rPr>
            </w:pPr>
            <w:r>
              <w:rPr>
                <w:rFonts w:hint="eastAsia" w:cs="宋体"/>
                <w:b/>
                <w:color w:val="auto"/>
                <w:sz w:val="24"/>
                <w:highlight w:val="none"/>
              </w:rPr>
              <w:t>数量</w:t>
            </w:r>
          </w:p>
        </w:tc>
        <w:tc>
          <w:tcPr>
            <w:tcW w:w="1768" w:type="dxa"/>
          </w:tcPr>
          <w:p w14:paraId="30AB82FA">
            <w:pPr>
              <w:adjustRightInd w:val="0"/>
              <w:spacing w:line="360" w:lineRule="auto"/>
              <w:jc w:val="center"/>
              <w:textAlignment w:val="baseline"/>
              <w:rPr>
                <w:rFonts w:cs="宋体"/>
                <w:b/>
                <w:color w:val="auto"/>
                <w:sz w:val="24"/>
                <w:highlight w:val="none"/>
              </w:rPr>
            </w:pPr>
            <w:r>
              <w:rPr>
                <w:rFonts w:hint="eastAsia" w:cs="宋体"/>
                <w:b/>
                <w:color w:val="auto"/>
                <w:sz w:val="24"/>
                <w:highlight w:val="none"/>
              </w:rPr>
              <w:t>单台最高限价（万元）</w:t>
            </w:r>
          </w:p>
        </w:tc>
      </w:tr>
      <w:tr w14:paraId="1DA0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7453E0D8">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1</w:t>
            </w:r>
          </w:p>
        </w:tc>
        <w:tc>
          <w:tcPr>
            <w:tcW w:w="4099" w:type="dxa"/>
          </w:tcPr>
          <w:p w14:paraId="09CFA52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ascii="宋体" w:hAnsi="宋体" w:cs="宋体"/>
                <w:color w:val="auto"/>
                <w:kern w:val="0"/>
                <w:sz w:val="24"/>
                <w:highlight w:val="none"/>
                <w:lang w:eastAsia="zh-CN"/>
              </w:rPr>
              <w:t>电子天平（规格一）</w:t>
            </w:r>
          </w:p>
        </w:tc>
        <w:tc>
          <w:tcPr>
            <w:tcW w:w="889" w:type="dxa"/>
            <w:vAlign w:val="center"/>
          </w:tcPr>
          <w:p w14:paraId="5ECCC240">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15CDBB7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eastAsia="zh-CN"/>
              </w:rPr>
            </w:pPr>
            <w:r>
              <w:rPr>
                <w:rFonts w:hint="eastAsia" w:cs="宋体"/>
                <w:color w:val="auto"/>
                <w:kern w:val="0"/>
                <w:sz w:val="24"/>
                <w:highlight w:val="none"/>
                <w:lang w:val="en-US" w:eastAsia="zh-CN"/>
              </w:rPr>
              <w:t>2</w:t>
            </w:r>
          </w:p>
        </w:tc>
        <w:tc>
          <w:tcPr>
            <w:tcW w:w="1768" w:type="dxa"/>
          </w:tcPr>
          <w:p w14:paraId="78FFEA1F">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eastAsia="zh-CN"/>
              </w:rPr>
            </w:pPr>
            <w:r>
              <w:rPr>
                <w:rFonts w:hint="eastAsia" w:cs="宋体"/>
                <w:color w:val="auto"/>
                <w:kern w:val="0"/>
                <w:sz w:val="24"/>
                <w:highlight w:val="none"/>
                <w:lang w:val="en-US" w:eastAsia="zh-CN"/>
              </w:rPr>
              <w:t>2</w:t>
            </w:r>
          </w:p>
        </w:tc>
      </w:tr>
      <w:tr w14:paraId="6C26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08CD01A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2</w:t>
            </w:r>
          </w:p>
        </w:tc>
        <w:tc>
          <w:tcPr>
            <w:tcW w:w="4099" w:type="dxa"/>
          </w:tcPr>
          <w:p w14:paraId="3B1C500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ascii="宋体" w:hAnsi="宋体" w:cs="宋体"/>
                <w:color w:val="auto"/>
                <w:kern w:val="0"/>
                <w:sz w:val="24"/>
                <w:highlight w:val="none"/>
                <w:lang w:val="en-US" w:eastAsia="zh-CN"/>
              </w:rPr>
              <w:t>旋转蒸发仪</w:t>
            </w:r>
          </w:p>
        </w:tc>
        <w:tc>
          <w:tcPr>
            <w:tcW w:w="889" w:type="dxa"/>
            <w:vAlign w:val="center"/>
          </w:tcPr>
          <w:p w14:paraId="4C30FFB3">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39C21C98">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1</w:t>
            </w:r>
          </w:p>
        </w:tc>
        <w:tc>
          <w:tcPr>
            <w:tcW w:w="1768" w:type="dxa"/>
          </w:tcPr>
          <w:p w14:paraId="67DFF98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16</w:t>
            </w:r>
          </w:p>
        </w:tc>
      </w:tr>
      <w:tr w14:paraId="665F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1EA869F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3</w:t>
            </w:r>
          </w:p>
        </w:tc>
        <w:tc>
          <w:tcPr>
            <w:tcW w:w="4099" w:type="dxa"/>
          </w:tcPr>
          <w:p w14:paraId="21DC27C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ascii="宋体" w:hAnsi="宋体" w:cs="宋体"/>
                <w:color w:val="auto"/>
                <w:kern w:val="0"/>
                <w:sz w:val="24"/>
                <w:highlight w:val="none"/>
                <w:lang w:val="en-US" w:eastAsia="zh-CN"/>
              </w:rPr>
              <w:t>快速高温灰化仪</w:t>
            </w:r>
          </w:p>
        </w:tc>
        <w:tc>
          <w:tcPr>
            <w:tcW w:w="889" w:type="dxa"/>
            <w:vAlign w:val="center"/>
          </w:tcPr>
          <w:p w14:paraId="41E5603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22C1831D">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1</w:t>
            </w:r>
          </w:p>
        </w:tc>
        <w:tc>
          <w:tcPr>
            <w:tcW w:w="1768" w:type="dxa"/>
          </w:tcPr>
          <w:p w14:paraId="48C5EC19">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27</w:t>
            </w:r>
          </w:p>
        </w:tc>
      </w:tr>
      <w:tr w14:paraId="1B62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0E621328">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4</w:t>
            </w:r>
          </w:p>
        </w:tc>
        <w:tc>
          <w:tcPr>
            <w:tcW w:w="4099" w:type="dxa"/>
          </w:tcPr>
          <w:p w14:paraId="04E55F3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ascii="宋体" w:hAnsi="宋体" w:cs="宋体"/>
                <w:color w:val="auto"/>
                <w:kern w:val="0"/>
                <w:sz w:val="24"/>
                <w:highlight w:val="none"/>
                <w:lang w:val="en-US" w:eastAsia="zh-CN"/>
              </w:rPr>
              <w:t>恒温恒湿培养箱（规格一）</w:t>
            </w:r>
          </w:p>
        </w:tc>
        <w:tc>
          <w:tcPr>
            <w:tcW w:w="889" w:type="dxa"/>
            <w:vAlign w:val="center"/>
          </w:tcPr>
          <w:p w14:paraId="429E436F">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3FD5567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1</w:t>
            </w:r>
          </w:p>
        </w:tc>
        <w:tc>
          <w:tcPr>
            <w:tcW w:w="1768" w:type="dxa"/>
          </w:tcPr>
          <w:p w14:paraId="0520D94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3</w:t>
            </w:r>
          </w:p>
        </w:tc>
      </w:tr>
      <w:tr w14:paraId="39B8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461E2E7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5</w:t>
            </w:r>
          </w:p>
        </w:tc>
        <w:tc>
          <w:tcPr>
            <w:tcW w:w="4099" w:type="dxa"/>
          </w:tcPr>
          <w:p w14:paraId="3263E85A">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ascii="宋体" w:hAnsi="宋体" w:cs="宋体"/>
                <w:color w:val="auto"/>
                <w:kern w:val="0"/>
                <w:sz w:val="24"/>
                <w:highlight w:val="none"/>
                <w:lang w:val="en-US" w:eastAsia="zh-CN"/>
              </w:rPr>
              <w:t>恒温恒湿培养箱（规格二）</w:t>
            </w:r>
          </w:p>
        </w:tc>
        <w:tc>
          <w:tcPr>
            <w:tcW w:w="889" w:type="dxa"/>
            <w:vAlign w:val="center"/>
          </w:tcPr>
          <w:p w14:paraId="037AA1F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3E4703A9">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1</w:t>
            </w:r>
          </w:p>
        </w:tc>
        <w:tc>
          <w:tcPr>
            <w:tcW w:w="1768" w:type="dxa"/>
          </w:tcPr>
          <w:p w14:paraId="23E19BD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7</w:t>
            </w:r>
          </w:p>
        </w:tc>
      </w:tr>
      <w:tr w14:paraId="454A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72F8C67E">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cs="宋体"/>
                <w:color w:val="auto"/>
                <w:kern w:val="0"/>
                <w:sz w:val="24"/>
                <w:highlight w:val="none"/>
              </w:rPr>
              <w:t>6</w:t>
            </w:r>
          </w:p>
        </w:tc>
        <w:tc>
          <w:tcPr>
            <w:tcW w:w="4099" w:type="dxa"/>
            <w:shd w:val="clear" w:color="auto" w:fill="auto"/>
            <w:vAlign w:val="top"/>
          </w:tcPr>
          <w:p w14:paraId="337938F3">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自动蒸馏仪</w:t>
            </w:r>
          </w:p>
        </w:tc>
        <w:tc>
          <w:tcPr>
            <w:tcW w:w="889" w:type="dxa"/>
            <w:vAlign w:val="center"/>
          </w:tcPr>
          <w:p w14:paraId="5ECE4C5E">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台</w:t>
            </w:r>
          </w:p>
        </w:tc>
        <w:tc>
          <w:tcPr>
            <w:tcW w:w="888" w:type="dxa"/>
            <w:vAlign w:val="center"/>
          </w:tcPr>
          <w:p w14:paraId="40A85E3F">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cs="宋体"/>
                <w:color w:val="auto"/>
                <w:kern w:val="0"/>
                <w:sz w:val="24"/>
                <w:highlight w:val="none"/>
              </w:rPr>
            </w:pPr>
            <w:r>
              <w:rPr>
                <w:rFonts w:hint="eastAsia" w:cs="宋体"/>
                <w:color w:val="auto"/>
                <w:kern w:val="0"/>
                <w:sz w:val="24"/>
                <w:highlight w:val="none"/>
              </w:rPr>
              <w:t>1</w:t>
            </w:r>
          </w:p>
        </w:tc>
        <w:tc>
          <w:tcPr>
            <w:tcW w:w="1768" w:type="dxa"/>
          </w:tcPr>
          <w:p w14:paraId="5A75D6F6">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16</w:t>
            </w:r>
          </w:p>
        </w:tc>
      </w:tr>
      <w:tr w14:paraId="5522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4D483D9A">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7</w:t>
            </w:r>
          </w:p>
        </w:tc>
        <w:tc>
          <w:tcPr>
            <w:tcW w:w="4099" w:type="dxa"/>
            <w:shd w:val="clear" w:color="auto" w:fill="auto"/>
            <w:vAlign w:val="top"/>
          </w:tcPr>
          <w:p w14:paraId="26667D4D">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防爆冰箱</w:t>
            </w:r>
          </w:p>
        </w:tc>
        <w:tc>
          <w:tcPr>
            <w:tcW w:w="889" w:type="dxa"/>
            <w:vAlign w:val="center"/>
          </w:tcPr>
          <w:p w14:paraId="441DECD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shd w:val="clear" w:color="auto" w:fill="auto"/>
            <w:vAlign w:val="center"/>
          </w:tcPr>
          <w:p w14:paraId="615CF7CA">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cs="宋体"/>
                <w:color w:val="auto"/>
                <w:kern w:val="0"/>
                <w:sz w:val="24"/>
                <w:highlight w:val="none"/>
              </w:rPr>
              <w:t>1</w:t>
            </w:r>
          </w:p>
        </w:tc>
        <w:tc>
          <w:tcPr>
            <w:tcW w:w="1768" w:type="dxa"/>
          </w:tcPr>
          <w:p w14:paraId="325AD4F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3.2</w:t>
            </w:r>
          </w:p>
        </w:tc>
      </w:tr>
      <w:tr w14:paraId="74CF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5E97AC0F">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8</w:t>
            </w:r>
          </w:p>
        </w:tc>
        <w:tc>
          <w:tcPr>
            <w:tcW w:w="4099" w:type="dxa"/>
            <w:shd w:val="clear" w:color="auto" w:fill="auto"/>
            <w:vAlign w:val="top"/>
          </w:tcPr>
          <w:p w14:paraId="344446C6">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菌落计数器</w:t>
            </w:r>
          </w:p>
        </w:tc>
        <w:tc>
          <w:tcPr>
            <w:tcW w:w="889" w:type="dxa"/>
            <w:vAlign w:val="center"/>
          </w:tcPr>
          <w:p w14:paraId="46A031E6">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shd w:val="clear" w:color="auto" w:fill="auto"/>
            <w:vAlign w:val="center"/>
          </w:tcPr>
          <w:p w14:paraId="31B0222A">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cs="宋体"/>
                <w:color w:val="auto"/>
                <w:kern w:val="0"/>
                <w:sz w:val="24"/>
                <w:highlight w:val="none"/>
              </w:rPr>
              <w:t>1</w:t>
            </w:r>
          </w:p>
        </w:tc>
        <w:tc>
          <w:tcPr>
            <w:tcW w:w="1768" w:type="dxa"/>
          </w:tcPr>
          <w:p w14:paraId="6D5A8034">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6</w:t>
            </w:r>
          </w:p>
        </w:tc>
      </w:tr>
      <w:tr w14:paraId="43C2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5A1F5B79">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9</w:t>
            </w:r>
          </w:p>
        </w:tc>
        <w:tc>
          <w:tcPr>
            <w:tcW w:w="4099" w:type="dxa"/>
            <w:shd w:val="clear" w:color="auto" w:fill="auto"/>
            <w:vAlign w:val="top"/>
          </w:tcPr>
          <w:p w14:paraId="3D6E57B3">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霉菌培养箱</w:t>
            </w:r>
          </w:p>
        </w:tc>
        <w:tc>
          <w:tcPr>
            <w:tcW w:w="889" w:type="dxa"/>
            <w:vAlign w:val="center"/>
          </w:tcPr>
          <w:p w14:paraId="797916C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shd w:val="clear" w:color="auto" w:fill="auto"/>
            <w:vAlign w:val="center"/>
          </w:tcPr>
          <w:p w14:paraId="420CD78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cs="宋体"/>
                <w:color w:val="auto"/>
                <w:kern w:val="0"/>
                <w:sz w:val="24"/>
                <w:highlight w:val="none"/>
              </w:rPr>
              <w:t>1</w:t>
            </w:r>
          </w:p>
        </w:tc>
        <w:tc>
          <w:tcPr>
            <w:tcW w:w="1768" w:type="dxa"/>
          </w:tcPr>
          <w:p w14:paraId="09197C0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1.8</w:t>
            </w:r>
          </w:p>
        </w:tc>
      </w:tr>
      <w:tr w14:paraId="6E86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416DDEB4">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10</w:t>
            </w:r>
          </w:p>
        </w:tc>
        <w:tc>
          <w:tcPr>
            <w:tcW w:w="4099" w:type="dxa"/>
            <w:shd w:val="clear" w:color="auto" w:fill="auto"/>
            <w:vAlign w:val="top"/>
          </w:tcPr>
          <w:p w14:paraId="007F236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高压灭菌锅</w:t>
            </w:r>
          </w:p>
        </w:tc>
        <w:tc>
          <w:tcPr>
            <w:tcW w:w="889" w:type="dxa"/>
            <w:vAlign w:val="center"/>
          </w:tcPr>
          <w:p w14:paraId="0C1A81E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shd w:val="clear" w:color="auto" w:fill="auto"/>
            <w:vAlign w:val="center"/>
          </w:tcPr>
          <w:p w14:paraId="4C14677F">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cs="宋体"/>
                <w:color w:val="auto"/>
                <w:kern w:val="0"/>
                <w:sz w:val="24"/>
                <w:highlight w:val="none"/>
              </w:rPr>
              <w:t>1</w:t>
            </w:r>
          </w:p>
        </w:tc>
        <w:tc>
          <w:tcPr>
            <w:tcW w:w="1768" w:type="dxa"/>
          </w:tcPr>
          <w:p w14:paraId="5E1EC139">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7</w:t>
            </w:r>
          </w:p>
        </w:tc>
      </w:tr>
      <w:tr w14:paraId="148A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06BB6739">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11</w:t>
            </w:r>
          </w:p>
        </w:tc>
        <w:tc>
          <w:tcPr>
            <w:tcW w:w="4099" w:type="dxa"/>
            <w:shd w:val="clear" w:color="auto" w:fill="auto"/>
            <w:vAlign w:val="top"/>
          </w:tcPr>
          <w:p w14:paraId="534626A8">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实际胶质检测仪器</w:t>
            </w:r>
          </w:p>
        </w:tc>
        <w:tc>
          <w:tcPr>
            <w:tcW w:w="889" w:type="dxa"/>
            <w:vAlign w:val="center"/>
          </w:tcPr>
          <w:p w14:paraId="7374C5C7">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shd w:val="clear" w:color="auto" w:fill="auto"/>
            <w:vAlign w:val="center"/>
          </w:tcPr>
          <w:p w14:paraId="490AD2C7">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cs="宋体"/>
                <w:color w:val="auto"/>
                <w:kern w:val="0"/>
                <w:sz w:val="24"/>
                <w:highlight w:val="none"/>
              </w:rPr>
              <w:t>1</w:t>
            </w:r>
          </w:p>
        </w:tc>
        <w:tc>
          <w:tcPr>
            <w:tcW w:w="1768" w:type="dxa"/>
          </w:tcPr>
          <w:p w14:paraId="27F3A89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2.8</w:t>
            </w:r>
          </w:p>
        </w:tc>
      </w:tr>
      <w:tr w14:paraId="667A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55F0C682">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12</w:t>
            </w:r>
          </w:p>
        </w:tc>
        <w:tc>
          <w:tcPr>
            <w:tcW w:w="4099" w:type="dxa"/>
            <w:shd w:val="clear" w:color="auto" w:fill="auto"/>
            <w:vAlign w:val="top"/>
          </w:tcPr>
          <w:p w14:paraId="4DDC35ED">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喷气燃料电导率分析仪</w:t>
            </w:r>
          </w:p>
        </w:tc>
        <w:tc>
          <w:tcPr>
            <w:tcW w:w="889" w:type="dxa"/>
            <w:vAlign w:val="center"/>
          </w:tcPr>
          <w:p w14:paraId="24CC36C0">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vAlign w:val="center"/>
          </w:tcPr>
          <w:p w14:paraId="4DD8A6FE">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1</w:t>
            </w:r>
          </w:p>
        </w:tc>
        <w:tc>
          <w:tcPr>
            <w:tcW w:w="1768" w:type="dxa"/>
          </w:tcPr>
          <w:p w14:paraId="3F62672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1.9</w:t>
            </w:r>
          </w:p>
        </w:tc>
      </w:tr>
      <w:tr w14:paraId="6E43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81" w:type="dxa"/>
            <w:vAlign w:val="center"/>
          </w:tcPr>
          <w:p w14:paraId="409BFC2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13</w:t>
            </w:r>
          </w:p>
        </w:tc>
        <w:tc>
          <w:tcPr>
            <w:tcW w:w="4099" w:type="dxa"/>
            <w:shd w:val="clear" w:color="auto" w:fill="auto"/>
            <w:vAlign w:val="top"/>
          </w:tcPr>
          <w:p w14:paraId="72B5EA18">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eastAsia="zh-CN"/>
              </w:rPr>
              <w:t>电子天平（规格二）</w:t>
            </w:r>
          </w:p>
        </w:tc>
        <w:tc>
          <w:tcPr>
            <w:tcW w:w="889" w:type="dxa"/>
            <w:vAlign w:val="center"/>
          </w:tcPr>
          <w:p w14:paraId="47F4808D">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cs="宋体"/>
                <w:color w:val="auto"/>
                <w:kern w:val="0"/>
                <w:sz w:val="24"/>
                <w:highlight w:val="none"/>
              </w:rPr>
            </w:pPr>
            <w:r>
              <w:rPr>
                <w:rFonts w:hint="eastAsia" w:cs="宋体"/>
                <w:color w:val="auto"/>
                <w:kern w:val="0"/>
                <w:sz w:val="24"/>
                <w:highlight w:val="none"/>
              </w:rPr>
              <w:t>台</w:t>
            </w:r>
          </w:p>
        </w:tc>
        <w:tc>
          <w:tcPr>
            <w:tcW w:w="888" w:type="dxa"/>
            <w:vAlign w:val="center"/>
          </w:tcPr>
          <w:p w14:paraId="7259E175">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eastAsia="宋体" w:cs="宋体"/>
                <w:color w:val="auto"/>
                <w:kern w:val="0"/>
                <w:sz w:val="24"/>
                <w:highlight w:val="none"/>
                <w:lang w:val="en-US" w:eastAsia="zh-CN"/>
              </w:rPr>
            </w:pPr>
            <w:r>
              <w:rPr>
                <w:rFonts w:hint="eastAsia" w:cs="宋体"/>
                <w:color w:val="auto"/>
                <w:kern w:val="0"/>
                <w:sz w:val="24"/>
                <w:highlight w:val="none"/>
                <w:lang w:val="en-US" w:eastAsia="zh-CN"/>
              </w:rPr>
              <w:t>2</w:t>
            </w:r>
          </w:p>
        </w:tc>
        <w:tc>
          <w:tcPr>
            <w:tcW w:w="1768" w:type="dxa"/>
          </w:tcPr>
          <w:p w14:paraId="1E89DB2C">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eastAsia="宋体" w:cs="宋体"/>
                <w:color w:val="auto"/>
                <w:kern w:val="0"/>
                <w:sz w:val="24"/>
                <w:highlight w:val="none"/>
                <w:lang w:val="en-US" w:eastAsia="zh-CN"/>
              </w:rPr>
            </w:pPr>
            <w:r>
              <w:rPr>
                <w:rFonts w:hint="eastAsia" w:cs="宋体"/>
                <w:color w:val="auto"/>
                <w:kern w:val="0"/>
                <w:sz w:val="24"/>
                <w:highlight w:val="none"/>
                <w:lang w:val="en-US" w:eastAsia="zh-CN"/>
              </w:rPr>
              <w:t>5.7</w:t>
            </w:r>
          </w:p>
        </w:tc>
      </w:tr>
    </w:tbl>
    <w:p w14:paraId="0AAAACAF">
      <w:pPr>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注：</w:t>
      </w:r>
    </w:p>
    <w:p w14:paraId="515400B2">
      <w:pPr>
        <w:keepNext w:val="0"/>
        <w:keepLines w:val="0"/>
        <w:pageBreakBefore w:val="0"/>
        <w:widowControl w:val="0"/>
        <w:kinsoku/>
        <w:wordWrap/>
        <w:overflowPunct/>
        <w:topLinePunct w:val="0"/>
        <w:autoSpaceDE/>
        <w:autoSpaceDN/>
        <w:bidi w:val="0"/>
        <w:spacing w:line="360" w:lineRule="auto"/>
        <w:ind w:firstLine="480" w:firstLineChars="200"/>
        <w:textAlignment w:val="auto"/>
        <w:rPr>
          <w:color w:val="auto"/>
          <w:sz w:val="24"/>
          <w:highlight w:val="none"/>
        </w:rPr>
      </w:pPr>
      <w:r>
        <w:rPr>
          <w:rFonts w:hint="eastAsia"/>
          <w:color w:val="auto"/>
          <w:sz w:val="24"/>
          <w:highlight w:val="none"/>
        </w:rPr>
        <w:t>1</w:t>
      </w:r>
      <w:r>
        <w:rPr>
          <w:color w:val="auto"/>
          <w:sz w:val="24"/>
          <w:highlight w:val="none"/>
        </w:rPr>
        <w:t>.</w:t>
      </w:r>
      <w:r>
        <w:rPr>
          <w:rFonts w:cs="Segoe UI"/>
          <w:color w:val="auto"/>
          <w:sz w:val="24"/>
          <w:highlight w:val="none"/>
          <w:shd w:val="clear" w:color="auto" w:fill="FFFFFF"/>
        </w:rPr>
        <w:t>技术要求中所涉及的尺寸、重量等非功能性参数，均作为参考性指标</w:t>
      </w:r>
      <w:r>
        <w:rPr>
          <w:rFonts w:hint="eastAsia"/>
          <w:color w:val="auto"/>
          <w:sz w:val="24"/>
          <w:highlight w:val="none"/>
        </w:rPr>
        <w:t>。</w:t>
      </w:r>
    </w:p>
    <w:p w14:paraId="0660BE8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color w:val="auto"/>
          <w:sz w:val="24"/>
          <w:highlight w:val="none"/>
        </w:rPr>
      </w:pPr>
      <w:r>
        <w:rPr>
          <w:rFonts w:hint="eastAsia"/>
          <w:b/>
          <w:color w:val="auto"/>
          <w:sz w:val="24"/>
          <w:highlight w:val="none"/>
        </w:rPr>
        <w:t>2.核心产品</w:t>
      </w:r>
      <w:r>
        <w:rPr>
          <w:rFonts w:hint="eastAsia" w:cs="宋体"/>
          <w:b/>
          <w:color w:val="auto"/>
          <w:sz w:val="24"/>
          <w:highlight w:val="none"/>
        </w:rPr>
        <w:t>：快速高温灰化仪</w:t>
      </w:r>
      <w:r>
        <w:rPr>
          <w:rFonts w:hint="eastAsia"/>
          <w:color w:val="auto"/>
          <w:sz w:val="24"/>
          <w:highlight w:val="none"/>
        </w:rPr>
        <w:t>，提供相同品牌产品且通过资格审查、符合性审查的不同投标人参加本项目投标的，按一家投标人计算，评审后得分最高的同品牌投标人获得中标人推荐资格；评审得分相同的，由采购人委托评标委员会按照少数服从多数的方式确定一个投标人获得中标人推荐资格，其他同品牌投标人不作为中标候选人。</w:t>
      </w:r>
    </w:p>
    <w:p w14:paraId="41539B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eastAsia="宋体"/>
          <w:color w:val="auto"/>
          <w:sz w:val="24"/>
          <w:highlight w:val="none"/>
          <w:lang w:val="en-US" w:eastAsia="zh-CN"/>
        </w:rPr>
      </w:pPr>
      <w:r>
        <w:rPr>
          <w:rFonts w:hint="eastAsia"/>
          <w:color w:val="auto"/>
          <w:sz w:val="24"/>
          <w:highlight w:val="none"/>
          <w:lang w:val="en-US" w:eastAsia="zh-CN"/>
        </w:rPr>
        <w:t>3.如单台投标报价超出最高限价为无效投标。</w:t>
      </w:r>
    </w:p>
    <w:p w14:paraId="32A9467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cs="宋体"/>
          <w:b w:val="0"/>
          <w:color w:val="auto"/>
          <w:sz w:val="24"/>
          <w:highlight w:val="none"/>
        </w:rPr>
      </w:pPr>
      <w:r>
        <w:rPr>
          <w:rFonts w:cs="宋体"/>
          <w:b/>
          <w:color w:val="auto"/>
          <w:sz w:val="24"/>
          <w:highlight w:val="none"/>
        </w:rPr>
        <w:t>4.</w:t>
      </w:r>
      <w:r>
        <w:rPr>
          <w:rFonts w:hint="eastAsia" w:cs="宋体"/>
          <w:color w:val="auto"/>
          <w:sz w:val="24"/>
          <w:highlight w:val="none"/>
        </w:rPr>
        <w:t>如发现有进口或从其他渠道购入进口产品的情况，视为虚假竞标，将依法追究违约责任。</w:t>
      </w:r>
    </w:p>
    <w:p w14:paraId="17D087EB">
      <w:pPr>
        <w:spacing w:line="360" w:lineRule="auto"/>
        <w:rPr>
          <w:rFonts w:hint="eastAsia" w:hAnsi="宋体"/>
          <w:b/>
          <w:color w:val="auto"/>
          <w:sz w:val="24"/>
          <w:highlight w:val="none"/>
        </w:rPr>
      </w:pPr>
    </w:p>
    <w:p w14:paraId="088C0CAB">
      <w:pPr>
        <w:spacing w:line="360" w:lineRule="auto"/>
        <w:rPr>
          <w:b/>
          <w:color w:val="auto"/>
          <w:sz w:val="24"/>
          <w:highlight w:val="none"/>
        </w:rPr>
      </w:pPr>
      <w:r>
        <w:rPr>
          <w:rFonts w:hint="eastAsia" w:hAnsi="宋体"/>
          <w:b/>
          <w:color w:val="auto"/>
          <w:sz w:val="24"/>
          <w:highlight w:val="none"/>
        </w:rPr>
        <w:t>三</w:t>
      </w:r>
      <w:r>
        <w:rPr>
          <w:rFonts w:hAnsi="宋体"/>
          <w:b/>
          <w:color w:val="auto"/>
          <w:sz w:val="24"/>
          <w:highlight w:val="none"/>
        </w:rPr>
        <w:t>、技术参数：</w:t>
      </w:r>
    </w:p>
    <w:p w14:paraId="1476A01B">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highlight w:val="none"/>
          <w:lang w:eastAsia="zh-CN"/>
        </w:rPr>
        <w:t>（一）</w:t>
      </w:r>
      <w:r>
        <w:rPr>
          <w:rFonts w:hint="eastAsia" w:ascii="宋体" w:hAnsi="宋体" w:eastAsia="宋体" w:cs="宋体"/>
          <w:b/>
          <w:bCs/>
          <w:color w:val="auto"/>
          <w:kern w:val="0"/>
          <w:sz w:val="24"/>
          <w:highlight w:val="none"/>
          <w:lang w:eastAsia="zh-CN"/>
        </w:rPr>
        <w:t>电子天平（规格一）</w:t>
      </w:r>
      <w:r>
        <w:rPr>
          <w:rFonts w:hint="eastAsia" w:ascii="宋体" w:hAnsi="宋体" w:cs="宋体"/>
          <w:b/>
          <w:bCs/>
          <w:color w:val="auto"/>
          <w:kern w:val="0"/>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18</w:t>
      </w:r>
      <w:r>
        <w:rPr>
          <w:rFonts w:hint="eastAsia" w:cs="宋体"/>
          <w:color w:val="auto"/>
          <w:sz w:val="24"/>
          <w:highlight w:val="none"/>
        </w:rPr>
        <w:t>项，主要配置6项</w:t>
      </w:r>
      <w:r>
        <w:rPr>
          <w:rFonts w:hint="eastAsia" w:cs="宋体"/>
          <w:color w:val="auto"/>
          <w:sz w:val="24"/>
          <w:highlight w:val="none"/>
          <w:lang w:eastAsia="zh-CN"/>
        </w:rPr>
        <w:t>。</w:t>
      </w:r>
    </w:p>
    <w:p w14:paraId="4C5753A7">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 xml:space="preserve">工作条件 </w:t>
      </w:r>
    </w:p>
    <w:p w14:paraId="1DCBF1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 供电电压：220V±10%，工作频率50Hz</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60Hz</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环境适用温度：0℃</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40℃</w:t>
      </w:r>
    </w:p>
    <w:p w14:paraId="02113B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工作相对湿度：20%</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80%</w:t>
      </w:r>
    </w:p>
    <w:p w14:paraId="29B603B6">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技术指标</w:t>
      </w:r>
    </w:p>
    <w:p w14:paraId="61FD14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最大称量量程：≥220g</w:t>
      </w:r>
      <w:r>
        <w:rPr>
          <w:rFonts w:hint="eastAsia" w:ascii="宋体" w:hAnsi="宋体" w:cs="宋体"/>
          <w:color w:val="auto"/>
          <w:sz w:val="24"/>
          <w:szCs w:val="24"/>
          <w:highlight w:val="none"/>
          <w:lang w:eastAsia="zh-CN"/>
        </w:rPr>
        <w:t>；</w:t>
      </w:r>
    </w:p>
    <w:p w14:paraId="6AB92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分度可读性：0.1mg</w:t>
      </w:r>
      <w:r>
        <w:rPr>
          <w:rFonts w:hint="eastAsia" w:ascii="宋体" w:hAnsi="宋体" w:cs="宋体"/>
          <w:color w:val="auto"/>
          <w:sz w:val="24"/>
          <w:szCs w:val="24"/>
          <w:highlight w:val="none"/>
          <w:lang w:eastAsia="zh-CN"/>
        </w:rPr>
        <w:t>；</w:t>
      </w:r>
    </w:p>
    <w:p w14:paraId="6D833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检定分度值：1mg</w:t>
      </w:r>
      <w:r>
        <w:rPr>
          <w:rFonts w:hint="eastAsia" w:ascii="宋体" w:hAnsi="宋体" w:cs="宋体"/>
          <w:color w:val="auto"/>
          <w:sz w:val="24"/>
          <w:szCs w:val="24"/>
          <w:highlight w:val="none"/>
          <w:lang w:eastAsia="zh-CN"/>
        </w:rPr>
        <w:t>；</w:t>
      </w:r>
    </w:p>
    <w:p w14:paraId="200A05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最小称量值：≤9.0mg</w:t>
      </w:r>
      <w:r>
        <w:rPr>
          <w:rFonts w:hint="eastAsia" w:ascii="宋体" w:hAnsi="宋体" w:cs="宋体"/>
          <w:color w:val="auto"/>
          <w:sz w:val="24"/>
          <w:szCs w:val="24"/>
          <w:highlight w:val="none"/>
          <w:lang w:eastAsia="zh-CN"/>
        </w:rPr>
        <w:t>；</w:t>
      </w:r>
    </w:p>
    <w:p w14:paraId="012E9E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响应与稳定速度：平均响应时间≤2.0s</w:t>
      </w:r>
      <w:r>
        <w:rPr>
          <w:rFonts w:hint="eastAsia" w:ascii="宋体" w:hAnsi="宋体" w:cs="宋体"/>
          <w:color w:val="auto"/>
          <w:sz w:val="24"/>
          <w:szCs w:val="24"/>
          <w:highlight w:val="none"/>
          <w:lang w:eastAsia="zh-CN"/>
        </w:rPr>
        <w:t>；</w:t>
      </w:r>
    </w:p>
    <w:p w14:paraId="2D8152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 xml:space="preserve">6 </w:t>
      </w:r>
      <w:r>
        <w:rPr>
          <w:rFonts w:hint="eastAsia" w:ascii="宋体" w:hAnsi="宋体" w:eastAsia="宋体" w:cs="宋体"/>
          <w:color w:val="auto"/>
          <w:sz w:val="24"/>
          <w:szCs w:val="24"/>
          <w:highlight w:val="none"/>
        </w:rPr>
        <w:t>5%载荷量程：标准偏差0.1mg，典型误差≤±0.10mg</w:t>
      </w:r>
      <w:r>
        <w:rPr>
          <w:rFonts w:hint="eastAsia" w:ascii="宋体" w:hAnsi="宋体" w:cs="宋体"/>
          <w:color w:val="auto"/>
          <w:sz w:val="24"/>
          <w:szCs w:val="24"/>
          <w:highlight w:val="none"/>
          <w:lang w:eastAsia="zh-CN"/>
        </w:rPr>
        <w:t>；</w:t>
      </w:r>
    </w:p>
    <w:p w14:paraId="7EAC61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接近满载荷量程：标准偏差0.2mg</w:t>
      </w:r>
      <w:r>
        <w:rPr>
          <w:rFonts w:hint="eastAsia" w:ascii="宋体" w:hAnsi="宋体" w:cs="宋体"/>
          <w:color w:val="auto"/>
          <w:sz w:val="24"/>
          <w:szCs w:val="24"/>
          <w:highlight w:val="none"/>
          <w:lang w:eastAsia="zh-CN"/>
        </w:rPr>
        <w:t>；</w:t>
      </w:r>
    </w:p>
    <w:p w14:paraId="68F97A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线性误差：标准偏差0.2mg，典型误差≤±0.08mg</w:t>
      </w:r>
      <w:r>
        <w:rPr>
          <w:rFonts w:hint="eastAsia" w:ascii="宋体" w:hAnsi="宋体" w:cs="宋体"/>
          <w:color w:val="auto"/>
          <w:sz w:val="24"/>
          <w:szCs w:val="24"/>
          <w:highlight w:val="none"/>
          <w:lang w:eastAsia="zh-CN"/>
        </w:rPr>
        <w:t>；</w:t>
      </w:r>
    </w:p>
    <w:p w14:paraId="223BDC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四角误差：100g测试砝码，标准偏差≤0.3mg</w:t>
      </w:r>
      <w:r>
        <w:rPr>
          <w:rFonts w:hint="eastAsia" w:ascii="宋体" w:hAnsi="宋体" w:cs="宋体"/>
          <w:color w:val="auto"/>
          <w:sz w:val="24"/>
          <w:szCs w:val="24"/>
          <w:highlight w:val="none"/>
          <w:lang w:eastAsia="zh-CN"/>
        </w:rPr>
        <w:t>；</w:t>
      </w:r>
    </w:p>
    <w:p w14:paraId="309A32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温度灵敏度漂移：+10℃~+30℃区间≤10ppm/K</w:t>
      </w:r>
      <w:r>
        <w:rPr>
          <w:rFonts w:hint="eastAsia" w:ascii="宋体" w:hAnsi="宋体" w:cs="宋体"/>
          <w:color w:val="auto"/>
          <w:sz w:val="24"/>
          <w:szCs w:val="24"/>
          <w:highlight w:val="none"/>
          <w:lang w:eastAsia="zh-CN"/>
        </w:rPr>
        <w:t>；</w:t>
      </w:r>
    </w:p>
    <w:p w14:paraId="73EFE1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精度等级：Ⅰ级精密天平</w:t>
      </w:r>
      <w:r>
        <w:rPr>
          <w:rFonts w:hint="eastAsia" w:ascii="宋体" w:hAnsi="宋体" w:cs="宋体"/>
          <w:color w:val="auto"/>
          <w:sz w:val="24"/>
          <w:szCs w:val="24"/>
          <w:highlight w:val="none"/>
          <w:lang w:eastAsia="zh-CN"/>
        </w:rPr>
        <w:t>；</w:t>
      </w:r>
    </w:p>
    <w:p w14:paraId="0CFC0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灵敏度配置：配备100g、200g外置校准砝码，砝码等级E2级</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66E5FB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防风罩玻璃镀防静电涂层，规避样品静电造成称量偏差，防风罩可拆卸</w:t>
      </w:r>
      <w:r>
        <w:rPr>
          <w:rFonts w:hint="eastAsia" w:ascii="宋体" w:hAnsi="宋体" w:cs="宋体"/>
          <w:color w:val="auto"/>
          <w:sz w:val="24"/>
          <w:szCs w:val="24"/>
          <w:highlight w:val="none"/>
          <w:lang w:eastAsia="zh-CN"/>
        </w:rPr>
        <w:t>；</w:t>
      </w:r>
    </w:p>
    <w:p w14:paraId="065F52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可适配不同高度容器与样品称量</w:t>
      </w:r>
      <w:r>
        <w:rPr>
          <w:rFonts w:hint="eastAsia" w:ascii="宋体" w:hAnsi="宋体" w:cs="宋体"/>
          <w:color w:val="auto"/>
          <w:sz w:val="24"/>
          <w:szCs w:val="24"/>
          <w:highlight w:val="none"/>
          <w:lang w:eastAsia="zh-CN"/>
        </w:rPr>
        <w:t>；</w:t>
      </w:r>
    </w:p>
    <w:p w14:paraId="6C0601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减震结构：搭载5级防震系统，一键适配各类实验室工况环境</w:t>
      </w:r>
      <w:r>
        <w:rPr>
          <w:rFonts w:hint="eastAsia" w:ascii="宋体" w:hAnsi="宋体" w:cs="宋体"/>
          <w:color w:val="auto"/>
          <w:sz w:val="24"/>
          <w:szCs w:val="24"/>
          <w:highlight w:val="none"/>
          <w:lang w:eastAsia="zh-CN"/>
        </w:rPr>
        <w:t>；</w:t>
      </w:r>
    </w:p>
    <w:p w14:paraId="0E33A0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水平调节：自带物理水平气泡，可手动自主校准设备水平</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2ECAB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数据合规输出：满足GLP、GMP规范打印要求</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6DCD9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通讯接口配置：标准RS232（DB9）9针通讯接口和多路USB-C Type-C接口，支持数据存储、导出、外设连接</w:t>
      </w:r>
      <w:r>
        <w:rPr>
          <w:rFonts w:hint="eastAsia" w:ascii="宋体" w:hAnsi="宋体" w:cs="宋体"/>
          <w:color w:val="auto"/>
          <w:sz w:val="24"/>
          <w:szCs w:val="24"/>
          <w:highlight w:val="none"/>
          <w:lang w:eastAsia="zh-CN"/>
        </w:rPr>
        <w:t>；</w:t>
      </w:r>
    </w:p>
    <w:p w14:paraId="1C139CC5">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设备配置清单</w:t>
      </w:r>
      <w:r>
        <w:rPr>
          <w:rFonts w:hint="eastAsia" w:ascii="宋体" w:hAnsi="宋体" w:eastAsia="宋体" w:cs="宋体"/>
          <w:color w:val="auto"/>
          <w:sz w:val="24"/>
          <w:szCs w:val="24"/>
          <w:highlight w:val="none"/>
        </w:rPr>
        <w:t xml:space="preserve"> </w:t>
      </w:r>
    </w:p>
    <w:p w14:paraId="57D55E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.1标准主机：1台</w:t>
      </w:r>
    </w:p>
    <w:p w14:paraId="4D7B5E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.2支持接口数据线1套</w:t>
      </w:r>
    </w:p>
    <w:p w14:paraId="414E48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.3随机技术资料：产品说明书、产品合格证1套</w:t>
      </w:r>
    </w:p>
    <w:p w14:paraId="0BAAB83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.4天平维护工具包1套</w:t>
      </w:r>
    </w:p>
    <w:p w14:paraId="5687681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.5国标插排1个</w:t>
      </w:r>
    </w:p>
    <w:p w14:paraId="1943465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.6检定证书1份</w:t>
      </w:r>
    </w:p>
    <w:p w14:paraId="092CC60E">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安装验收</w:t>
      </w:r>
      <w:r>
        <w:rPr>
          <w:rFonts w:hint="eastAsia" w:ascii="宋体" w:hAnsi="宋体" w:eastAsia="宋体" w:cs="宋体"/>
          <w:color w:val="auto"/>
          <w:sz w:val="24"/>
          <w:szCs w:val="24"/>
          <w:highlight w:val="none"/>
        </w:rPr>
        <w:t xml:space="preserve"> </w:t>
      </w:r>
    </w:p>
    <w:p w14:paraId="29C76A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.1设备送达现场且实验室环境达标后，厂家派遣专业工程师上门完成设备安装、调试、整机性能逐项检测</w:t>
      </w:r>
      <w:r>
        <w:rPr>
          <w:rFonts w:hint="eastAsia" w:ascii="宋体" w:hAnsi="宋体" w:eastAsia="宋体" w:cs="宋体"/>
          <w:color w:val="auto"/>
          <w:sz w:val="24"/>
          <w:szCs w:val="24"/>
          <w:highlight w:val="none"/>
          <w:lang w:eastAsia="zh-CN"/>
        </w:rPr>
        <w:t>。</w:t>
      </w:r>
    </w:p>
    <w:p w14:paraId="560334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.2货物到货一周内，供需双方共同开箱验货，调试合格后双方签字盖章完成验收</w:t>
      </w:r>
      <w:r>
        <w:rPr>
          <w:rFonts w:hint="eastAsia" w:ascii="宋体" w:hAnsi="宋体" w:eastAsia="宋体" w:cs="宋体"/>
          <w:color w:val="auto"/>
          <w:sz w:val="24"/>
          <w:szCs w:val="24"/>
          <w:highlight w:val="none"/>
          <w:lang w:eastAsia="zh-CN"/>
        </w:rPr>
        <w:t>。</w:t>
      </w:r>
    </w:p>
    <w:p w14:paraId="4582BF85">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2" w:firstLineChars="200"/>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 xml:space="preserve">售后服务与国内培训 </w:t>
      </w:r>
    </w:p>
    <w:p w14:paraId="7EFA6FB5">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现场培训：设备安装验收期间，就地开展仪器操作、日常维护实操培训</w:t>
      </w:r>
      <w:r>
        <w:rPr>
          <w:rFonts w:hint="eastAsia" w:ascii="宋体" w:hAnsi="宋体" w:eastAsia="宋体" w:cs="宋体"/>
          <w:b w:val="0"/>
          <w:bCs w:val="0"/>
          <w:color w:val="auto"/>
          <w:sz w:val="24"/>
          <w:szCs w:val="24"/>
          <w:highlight w:val="none"/>
          <w:lang w:eastAsia="zh-CN"/>
        </w:rPr>
        <w:t>。</w:t>
      </w:r>
    </w:p>
    <w:p w14:paraId="1347847F">
      <w:pPr>
        <w:keepNext w:val="0"/>
        <w:keepLines w:val="0"/>
        <w:pageBreakBefore w:val="0"/>
        <w:widowControl w:val="0"/>
        <w:kinsoku/>
        <w:wordWrap/>
        <w:overflowPunct/>
        <w:topLinePunct w:val="0"/>
        <w:autoSpaceDE/>
        <w:autoSpaceDN/>
        <w:bidi w:val="0"/>
        <w:adjustRightInd/>
        <w:snapToGrid/>
        <w:spacing w:beforeAutospacing="0" w:after="50" w:afterAutospacing="0" w:line="360" w:lineRule="auto"/>
        <w:ind w:lef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质保期限：设备验收合格之日起，享受2年免费保修服务</w:t>
      </w:r>
      <w:r>
        <w:rPr>
          <w:rFonts w:hint="eastAsia" w:ascii="宋体" w:hAnsi="宋体" w:eastAsia="宋体" w:cs="宋体"/>
          <w:b w:val="0"/>
          <w:bCs w:val="0"/>
          <w:color w:val="auto"/>
          <w:sz w:val="24"/>
          <w:szCs w:val="24"/>
          <w:highlight w:val="none"/>
          <w:lang w:val="en-US" w:eastAsia="zh-CN"/>
        </w:rPr>
        <w:t>。</w:t>
      </w:r>
    </w:p>
    <w:p w14:paraId="4D454F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p>
    <w:p w14:paraId="05F12269">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（二）旋转蒸发仪</w:t>
      </w:r>
      <w:r>
        <w:rPr>
          <w:rFonts w:hint="eastAsia" w:ascii="宋体" w:hAnsi="宋体" w:cs="宋体"/>
          <w:b/>
          <w:bCs/>
          <w:color w:val="auto"/>
          <w:kern w:val="0"/>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45</w:t>
      </w:r>
      <w:r>
        <w:rPr>
          <w:rFonts w:hint="eastAsia" w:cs="宋体"/>
          <w:color w:val="auto"/>
          <w:sz w:val="24"/>
          <w:highlight w:val="none"/>
        </w:rPr>
        <w:t>项，主要配置</w:t>
      </w:r>
      <w:r>
        <w:rPr>
          <w:rFonts w:hint="eastAsia" w:cs="宋体"/>
          <w:color w:val="auto"/>
          <w:sz w:val="24"/>
          <w:highlight w:val="none"/>
          <w:lang w:val="en-US" w:eastAsia="zh-CN"/>
        </w:rPr>
        <w:t>7</w:t>
      </w:r>
      <w:r>
        <w:rPr>
          <w:rFonts w:hint="eastAsia" w:cs="宋体"/>
          <w:color w:val="auto"/>
          <w:sz w:val="24"/>
          <w:highlight w:val="none"/>
        </w:rPr>
        <w:t>项</w:t>
      </w:r>
      <w:r>
        <w:rPr>
          <w:rFonts w:hint="eastAsia" w:cs="宋体"/>
          <w:color w:val="auto"/>
          <w:sz w:val="24"/>
          <w:highlight w:val="none"/>
          <w:lang w:eastAsia="zh-CN"/>
        </w:rPr>
        <w:t>。</w:t>
      </w:r>
    </w:p>
    <w:p w14:paraId="4D029818">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1、主要用途：</w:t>
      </w:r>
      <w:r>
        <w:rPr>
          <w:rFonts w:hint="eastAsia" w:ascii="宋体" w:hAnsi="宋体" w:eastAsia="宋体" w:cs="宋体"/>
          <w:color w:val="auto"/>
          <w:sz w:val="24"/>
          <w:szCs w:val="24"/>
          <w:highlight w:val="none"/>
        </w:rPr>
        <w:t>用于在减压条件下连续蒸馏大量易挥发性溶剂，将样品浓缩干燥，或者将溶剂与溶质分离。</w:t>
      </w:r>
    </w:p>
    <w:p w14:paraId="14DCE9BB">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工件条件：</w:t>
      </w:r>
    </w:p>
    <w:p w14:paraId="494B6AD0">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2.1电源电压：220V+10%, 50Hz</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60HZ</w:t>
      </w:r>
    </w:p>
    <w:p w14:paraId="42906CB0">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2.2温度：15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40℃</w:t>
      </w:r>
    </w:p>
    <w:p w14:paraId="6B2EAF6D">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2.3工作湿度：相对湿度20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80%</w:t>
      </w:r>
    </w:p>
    <w:p w14:paraId="321998C6">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技术指标：</w:t>
      </w:r>
    </w:p>
    <w:p w14:paraId="7C76C3E5">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3.1主机：</w:t>
      </w:r>
    </w:p>
    <w:p w14:paraId="7F5D8E1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 冷凝面积：不小于1500</w:t>
      </w:r>
      <w:r>
        <w:rPr>
          <w:rFonts w:hint="eastAsia" w:ascii="宋体" w:hAnsi="宋体" w:cs="宋体"/>
          <w:color w:val="auto"/>
          <w:sz w:val="24"/>
          <w:szCs w:val="24"/>
          <w:highlight w:val="none"/>
          <w:lang w:val="en-US" w:eastAsia="zh-CN"/>
        </w:rPr>
        <w:t>cm²</w:t>
      </w:r>
      <w:r>
        <w:rPr>
          <w:rFonts w:hint="eastAsia" w:ascii="宋体" w:hAnsi="宋体" w:eastAsia="宋体" w:cs="宋体"/>
          <w:color w:val="auto"/>
          <w:sz w:val="24"/>
          <w:szCs w:val="24"/>
          <w:highlight w:val="none"/>
        </w:rPr>
        <w:t>；</w:t>
      </w:r>
    </w:p>
    <w:p w14:paraId="24598C5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 冷凝器种类：不少于5种可选，其中有冷凝器具有索式提取功能； </w:t>
      </w:r>
    </w:p>
    <w:p w14:paraId="7BCA907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3.1.3转速：10</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280rpm（无级变速调节）； </w:t>
      </w:r>
    </w:p>
    <w:p w14:paraId="734670B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3.1.4 升降高度：≧200mm，可数字显示</w:t>
      </w:r>
    </w:p>
    <w:p w14:paraId="00106D2A">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3.1.5高度锁定：0-170mm； </w:t>
      </w:r>
    </w:p>
    <w:p w14:paraId="02ECF34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3.1.6蒸发瓶最大承重：≧2500g； </w:t>
      </w:r>
    </w:p>
    <w:p w14:paraId="06FBBA2C">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3.1.7可容纳最大蒸发瓶溶剂不小于5L； </w:t>
      </w:r>
    </w:p>
    <w:p w14:paraId="74CFC88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3.1.8控温范围：室温</w:t>
      </w:r>
      <w:r>
        <w:rPr>
          <w:rFonts w:hint="eastAsia" w:ascii="宋体" w:hAnsi="宋体" w:cs="宋体"/>
          <w:color w:val="auto"/>
          <w:sz w:val="24"/>
          <w:szCs w:val="24"/>
          <w:highlight w:val="none"/>
          <w:lang w:eastAsia="zh-CN"/>
        </w:rPr>
        <w:t>-</w:t>
      </w:r>
      <w:r>
        <w:rPr>
          <w:rFonts w:hint="eastAsia" w:ascii="宋体" w:hAnsi="宋体" w:eastAsia="宋体" w:cs="宋体"/>
          <w:color w:val="auto"/>
          <w:sz w:val="24"/>
          <w:highlight w:val="none"/>
        </w:rPr>
        <w:t xml:space="preserve">200℃； </w:t>
      </w:r>
    </w:p>
    <w:p w14:paraId="71B22D8E">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3.1.9控温精度：±1℃； </w:t>
      </w:r>
    </w:p>
    <w:p w14:paraId="033BCBA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3.1.10防护等级：IP 21或更高；</w:t>
      </w:r>
    </w:p>
    <w:p w14:paraId="7A6F13DE">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3.1.11数字显示屏：可显示包括但不限于转速、转速是否锁定、水浴锅设定温度、水浴锅实际温度、水浴锅温度是否锁定、升降设定高度、升降实际高度； </w:t>
      </w:r>
    </w:p>
    <w:p w14:paraId="58D1AADD">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3.1.12具有升降高度电子限位开关，支持一键锁定，一键解锁； </w:t>
      </w:r>
    </w:p>
    <w:p w14:paraId="4C0F769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3.1.13水浴锅位置监测功能：防止水浴锅未放到位，出现磕碎的风险；</w:t>
      </w:r>
    </w:p>
    <w:p w14:paraId="1234EE2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3.1.14 冷凝器承滴盘：冷凝器外部冷凝水承滴回收功能； </w:t>
      </w:r>
    </w:p>
    <w:p w14:paraId="120DC597">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3.1.15升降速度控制：迅速移动到设定高度附近时，速度减慢，防止磕碰或误操作；</w:t>
      </w:r>
    </w:p>
    <w:p w14:paraId="79DECD7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3.1.16 具有防震安全锁； </w:t>
      </w:r>
    </w:p>
    <w:p w14:paraId="2312001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3.1.17 大于2cm的冷凝器开口：适于意外喷溅后的清洗；</w:t>
      </w:r>
    </w:p>
    <w:p w14:paraId="6A22E54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3.1.18所有冷凝器/收集瓶等玻璃器件都具有塑料薄膜涂层技术，防爆防碎裂；</w:t>
      </w:r>
    </w:p>
    <w:p w14:paraId="3F12F9A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3.2真空泵：</w:t>
      </w:r>
    </w:p>
    <w:p w14:paraId="075C04DC">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 真空泵抽气能力：≧1.5m</w:t>
      </w:r>
      <w:r>
        <w:rPr>
          <w:rFonts w:hint="eastAsia" w:ascii="宋体" w:hAnsi="宋体" w:eastAsia="宋体" w:cs="宋体"/>
          <w:color w:val="auto"/>
          <w:sz w:val="24"/>
          <w:highlight w:val="none"/>
          <w:vertAlign w:val="superscript"/>
        </w:rPr>
        <w:t>3</w:t>
      </w:r>
      <w:r>
        <w:rPr>
          <w:rFonts w:hint="eastAsia" w:ascii="宋体" w:hAnsi="宋体" w:eastAsia="宋体" w:cs="宋体"/>
          <w:color w:val="auto"/>
          <w:sz w:val="24"/>
          <w:highlight w:val="none"/>
        </w:rPr>
        <w:t>/h；</w:t>
      </w:r>
    </w:p>
    <w:p w14:paraId="7E9CE0B1">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3.2.2 极限真空度：</w:t>
      </w:r>
      <w:bookmarkStart w:id="95" w:name="_Hlk230074480"/>
      <w:r>
        <w:rPr>
          <w:rFonts w:hint="eastAsia" w:ascii="宋体" w:hAnsi="宋体" w:eastAsia="宋体" w:cs="宋体"/>
          <w:color w:val="auto"/>
          <w:sz w:val="24"/>
          <w:highlight w:val="none"/>
        </w:rPr>
        <w:t>≦</w:t>
      </w:r>
      <w:bookmarkEnd w:id="95"/>
      <w:r>
        <w:rPr>
          <w:rFonts w:hint="eastAsia" w:ascii="宋体" w:hAnsi="宋体" w:eastAsia="宋体" w:cs="宋体"/>
          <w:color w:val="auto"/>
          <w:sz w:val="24"/>
          <w:highlight w:val="none"/>
        </w:rPr>
        <w:t>5 mbar；</w:t>
      </w:r>
    </w:p>
    <w:p w14:paraId="08BCAE3F">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3.2.3 噪音等级：≦60dBA；</w:t>
      </w:r>
    </w:p>
    <w:p w14:paraId="6362BE12">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3.2.4与介质接触材料：PEEK，PTFE，FEP，玻璃等；</w:t>
      </w:r>
    </w:p>
    <w:p w14:paraId="2D9A788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3.2.5具有大尺寸透明窗口：可以随时观察隔膜表面污染和溶剂累积情况；</w:t>
      </w:r>
    </w:p>
    <w:p w14:paraId="7F8F38BB">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3.2.6 无油免维护设计；</w:t>
      </w:r>
    </w:p>
    <w:p w14:paraId="48D293A1">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3.2.7可实现变频变速控制，在达到设定的真空度时，整个真空泵可以完全静止，将真空度维持在精确点； </w:t>
      </w:r>
    </w:p>
    <w:p w14:paraId="38BE4155">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3.2.8内置空气干燥阀，可以自动干燥 PTFE 隔膜</w:t>
      </w:r>
    </w:p>
    <w:p w14:paraId="4529D68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3.2.9</w:t>
      </w:r>
      <w:r>
        <w:rPr>
          <w:rFonts w:hint="eastAsia" w:ascii="宋体" w:hAnsi="宋体" w:cs="宋体"/>
          <w:color w:val="auto"/>
          <w:sz w:val="24"/>
          <w:highlight w:val="none"/>
          <w:lang w:val="en-US" w:eastAsia="zh-CN"/>
        </w:rPr>
        <w:t>配置</w:t>
      </w:r>
      <w:r>
        <w:rPr>
          <w:rFonts w:hint="eastAsia" w:ascii="宋体" w:hAnsi="宋体" w:eastAsia="宋体" w:cs="宋体"/>
          <w:color w:val="auto"/>
          <w:sz w:val="24"/>
          <w:highlight w:val="none"/>
        </w:rPr>
        <w:t>集成</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旋转蒸发仪系统，在该系统中，通过真空控制器对真空泵进行集中控制；</w:t>
      </w:r>
    </w:p>
    <w:p w14:paraId="06C0D421">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3.2.10测量范围：1400-0mbar(hPa)； </w:t>
      </w:r>
    </w:p>
    <w:p w14:paraId="07C7668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3.2.11控制范围：1100-1mbar(hPa)；</w:t>
      </w:r>
    </w:p>
    <w:p w14:paraId="2DD706C2">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3.2.12压力控制精度：±2mbar；</w:t>
      </w:r>
    </w:p>
    <w:p w14:paraId="00F69E52">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3.3真空控制器：</w:t>
      </w:r>
    </w:p>
    <w:p w14:paraId="4FB87E02">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3.3.1触摸屏控制，屏幕尺寸≥7英寸，具有动态蒸馏和梯度蒸馏功能； </w:t>
      </w:r>
    </w:p>
    <w:p w14:paraId="64B9999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3.3.2具有远程监控App：适用于IOS、Android 和 Windows 操作系统的旋转蒸发仪系统，应用程序提供所有工艺参数的推送通知和实时视图；</w:t>
      </w:r>
    </w:p>
    <w:p w14:paraId="40907887">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3.3.3动态蒸馏：从溶剂库中选择溶剂后可直接启动蒸馏过程，真空度自动同步水浴锅加热过程、冷凝水降温过程；提前开始蒸发过程，缩短蒸馏时间，实现蒸馏过程无人化操作；</w:t>
      </w:r>
    </w:p>
    <w:p w14:paraId="2F2D1D88">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3.3.4 集成控制功能：自动控制旋转蒸发仪的启停、升降，真空泵的启停、压力；</w:t>
      </w:r>
    </w:p>
    <w:p w14:paraId="2807E0E6">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3.3.5 干燥模式：干燥模式在设定的时限内以用户自定义的时间间隔交替改变旋转方向，以增强固体干燥效果；</w:t>
      </w:r>
    </w:p>
    <w:p w14:paraId="7672B610">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3.3.6气密性试验：集成测试用于检查系统的气密性，并显示结果；</w:t>
      </w:r>
    </w:p>
    <w:p w14:paraId="473B954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3.3.7内置常用溶剂数据库（不少于30种），自动测定蒸馏条件；</w:t>
      </w:r>
    </w:p>
    <w:p w14:paraId="64E1093D">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3.3.8过压保护功能：当系统压力超过 1400 mbar 时自动放气，保护系统不受过压损伤；</w:t>
      </w:r>
    </w:p>
    <w:p w14:paraId="5380BBAD">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3.3.9 放气功能：可以随时地有效地控制爆沸及起泡</w:t>
      </w:r>
      <w:r>
        <w:rPr>
          <w:rFonts w:hint="eastAsia" w:ascii="宋体" w:hAnsi="宋体" w:cs="宋体"/>
          <w:color w:val="auto"/>
          <w:sz w:val="24"/>
          <w:highlight w:val="none"/>
          <w:lang w:eastAsia="zh-CN"/>
        </w:rPr>
        <w:t>；</w:t>
      </w:r>
    </w:p>
    <w:p w14:paraId="09725B9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3.3.10具有自动蒸馏传感器，可实现自动蒸馏功能</w:t>
      </w:r>
      <w:r>
        <w:rPr>
          <w:rFonts w:hint="eastAsia" w:ascii="宋体" w:hAnsi="宋体" w:cs="宋体"/>
          <w:color w:val="auto"/>
          <w:sz w:val="24"/>
          <w:highlight w:val="none"/>
          <w:lang w:eastAsia="zh-CN"/>
        </w:rPr>
        <w:t>；</w:t>
      </w:r>
    </w:p>
    <w:p w14:paraId="07C08A58">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3.4冷却循环水机：</w:t>
      </w:r>
    </w:p>
    <w:p w14:paraId="3B62868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3.4.1控温范围：5℃</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35℃，LCD数字显示温度</w:t>
      </w:r>
      <w:r>
        <w:rPr>
          <w:rFonts w:hint="eastAsia" w:ascii="宋体" w:hAnsi="宋体" w:cs="宋体"/>
          <w:color w:val="auto"/>
          <w:sz w:val="24"/>
          <w:highlight w:val="none"/>
          <w:lang w:eastAsia="zh-CN"/>
        </w:rPr>
        <w:t>；</w:t>
      </w:r>
    </w:p>
    <w:p w14:paraId="00E0B01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3.4.2冷却方式：压缩机制冷</w:t>
      </w:r>
      <w:r>
        <w:rPr>
          <w:rFonts w:hint="eastAsia" w:ascii="宋体" w:hAnsi="宋体" w:cs="宋体"/>
          <w:color w:val="auto"/>
          <w:sz w:val="24"/>
          <w:highlight w:val="none"/>
          <w:lang w:eastAsia="zh-CN"/>
        </w:rPr>
        <w:t>；</w:t>
      </w:r>
    </w:p>
    <w:p w14:paraId="2D83E864">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3.4.3制冷功率：500W@25℃</w:t>
      </w:r>
      <w:r>
        <w:rPr>
          <w:rFonts w:hint="eastAsia" w:ascii="宋体" w:hAnsi="宋体" w:cs="宋体"/>
          <w:color w:val="auto"/>
          <w:sz w:val="24"/>
          <w:highlight w:val="none"/>
          <w:lang w:eastAsia="zh-CN"/>
        </w:rPr>
        <w:t>；</w:t>
      </w:r>
    </w:p>
    <w:p w14:paraId="3BD12DF7">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3.4.4泵流量≧</w:t>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"mailto:4L/min@1.5bar"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sz w:val="24"/>
          <w:highlight w:val="none"/>
        </w:rPr>
        <w:t>3.5L/min，泵压≧0.5bar</w:t>
      </w:r>
      <w:r>
        <w:rPr>
          <w:rFonts w:hint="eastAsia" w:ascii="宋体" w:hAnsi="宋体" w:eastAsia="宋体" w:cs="宋体"/>
          <w:color w:val="auto"/>
          <w:sz w:val="24"/>
          <w:highlight w:val="none"/>
        </w:rPr>
        <w:fldChar w:fldCharType="end"/>
      </w:r>
      <w:r>
        <w:rPr>
          <w:rFonts w:hint="eastAsia" w:ascii="宋体" w:hAnsi="宋体" w:cs="宋体"/>
          <w:color w:val="auto"/>
          <w:sz w:val="24"/>
          <w:highlight w:val="none"/>
          <w:lang w:eastAsia="zh-CN"/>
        </w:rPr>
        <w:t>；</w:t>
      </w:r>
    </w:p>
    <w:p w14:paraId="63D2FDAD">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3.4.5水箱容积：≧1.5L</w:t>
      </w:r>
      <w:r>
        <w:rPr>
          <w:rFonts w:hint="eastAsia" w:ascii="宋体" w:hAnsi="宋体" w:cs="宋体"/>
          <w:color w:val="auto"/>
          <w:sz w:val="24"/>
          <w:highlight w:val="none"/>
          <w:lang w:eastAsia="zh-CN"/>
        </w:rPr>
        <w:t>。</w:t>
      </w:r>
    </w:p>
    <w:p w14:paraId="10DEC04E">
      <w:pPr>
        <w:keepNext w:val="0"/>
        <w:keepLines w:val="0"/>
        <w:pageBreakBefore w:val="0"/>
        <w:widowControl/>
        <w:kinsoku/>
        <w:wordWrap/>
        <w:overflowPunct/>
        <w:topLinePunct w:val="0"/>
        <w:bidi w:val="0"/>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主要配置：</w:t>
      </w:r>
    </w:p>
    <w:p w14:paraId="7A1EB69A">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 旋转蒸发仪主机1套；</w:t>
      </w:r>
    </w:p>
    <w:p w14:paraId="132B1DE3">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 真空控制器1个；</w:t>
      </w:r>
    </w:p>
    <w:p w14:paraId="20CDB46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 无油隔膜真空泵1个；</w:t>
      </w:r>
    </w:p>
    <w:p w14:paraId="361E4252">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4.4蒸发瓶（1L）、接收瓶（1L）各1个；</w:t>
      </w:r>
    </w:p>
    <w:p w14:paraId="1A7BAB18">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4.5自动蒸馏传感器1个；</w:t>
      </w:r>
    </w:p>
    <w:p w14:paraId="10EA9579">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4.6冷却循环水机1台；</w:t>
      </w:r>
    </w:p>
    <w:p w14:paraId="1A5AC62F">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4.7蒸馏瓶（100</w:t>
      </w:r>
      <w:r>
        <w:rPr>
          <w:rFonts w:hint="eastAsia" w:ascii="宋体" w:hAnsi="宋体" w:cs="宋体"/>
          <w:color w:val="auto"/>
          <w:sz w:val="24"/>
          <w:highlight w:val="none"/>
          <w:lang w:eastAsia="zh-CN"/>
        </w:rPr>
        <w:t>mL</w:t>
      </w:r>
      <w:r>
        <w:rPr>
          <w:rFonts w:hint="eastAsia" w:ascii="宋体" w:hAnsi="宋体" w:eastAsia="宋体" w:cs="宋体"/>
          <w:color w:val="auto"/>
          <w:sz w:val="24"/>
          <w:highlight w:val="none"/>
        </w:rPr>
        <w:t>）20个。</w:t>
      </w:r>
    </w:p>
    <w:p w14:paraId="1894F959">
      <w:pPr>
        <w:pStyle w:val="21"/>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、技术资料：</w:t>
      </w:r>
      <w:r>
        <w:rPr>
          <w:rFonts w:hint="eastAsia" w:ascii="宋体" w:hAnsi="宋体" w:eastAsia="宋体" w:cs="宋体"/>
          <w:color w:val="auto"/>
          <w:sz w:val="24"/>
          <w:szCs w:val="24"/>
          <w:highlight w:val="none"/>
        </w:rPr>
        <w:t>说明书、合格证1套</w:t>
      </w:r>
    </w:p>
    <w:p w14:paraId="155049E8">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6</w:t>
      </w:r>
      <w:r>
        <w:rPr>
          <w:rFonts w:hint="eastAsia" w:ascii="宋体" w:hAnsi="宋体" w:eastAsia="宋体" w:cs="宋体"/>
          <w:b/>
          <w:color w:val="auto"/>
          <w:sz w:val="24"/>
          <w:highlight w:val="none"/>
        </w:rPr>
        <w:t>、售后服务与国内培训：</w:t>
      </w:r>
    </w:p>
    <w:p w14:paraId="1A16D7B7">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.1 设备安装、调试和验收：</w:t>
      </w:r>
    </w:p>
    <w:p w14:paraId="4BAAA82F">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仪器到达最终用户现场并且实验室条件合格后，在接到用户通知后，中标商需安排有经验的工程技术人员到用户现场安装、调试仪器，按验收指标逐项测试，直至达到验收要求。</w:t>
      </w:r>
    </w:p>
    <w:p w14:paraId="4028E9B2">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.2 技术培训要求</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 xml:space="preserve">安装验收期间，在用户所在地对用户进行仪器操作和日常维护的现场培训。 </w:t>
      </w:r>
    </w:p>
    <w:p w14:paraId="667BDA19">
      <w:pPr>
        <w:pStyle w:val="81"/>
        <w:keepNext w:val="0"/>
        <w:keepLines w:val="0"/>
        <w:pageBreakBefore w:val="0"/>
        <w:kinsoku/>
        <w:wordWrap/>
        <w:overflowPunct/>
        <w:topLinePunct w:val="0"/>
        <w:bidi w:val="0"/>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.3 保修期：</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年免费保修。自设备验收合格之日起计算。</w:t>
      </w:r>
    </w:p>
    <w:p w14:paraId="2AB995A2">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color w:val="auto"/>
          <w:sz w:val="24"/>
          <w:highlight w:val="none"/>
        </w:rPr>
      </w:pPr>
      <w:r>
        <w:rPr>
          <w:rFonts w:hint="eastAsia" w:ascii="宋体" w:hAnsi="宋体" w:cs="宋体"/>
          <w:b/>
          <w:color w:val="auto"/>
          <w:sz w:val="24"/>
          <w:highlight w:val="none"/>
          <w:lang w:val="en-US" w:eastAsia="zh-CN"/>
        </w:rPr>
        <w:t>7</w:t>
      </w:r>
      <w:r>
        <w:rPr>
          <w:rFonts w:hint="eastAsia" w:ascii="宋体" w:hAnsi="宋体" w:eastAsia="宋体" w:cs="宋体"/>
          <w:b/>
          <w:color w:val="auto"/>
          <w:sz w:val="24"/>
          <w:highlight w:val="none"/>
        </w:rPr>
        <w:t>、验收：</w:t>
      </w:r>
      <w:r>
        <w:rPr>
          <w:rFonts w:hint="eastAsia" w:ascii="宋体" w:hAnsi="宋体" w:eastAsia="宋体" w:cs="宋体"/>
          <w:color w:val="auto"/>
          <w:sz w:val="24"/>
          <w:highlight w:val="none"/>
        </w:rPr>
        <w:t>仪器到货后一周内，由厂家工程师同用户共同开箱验货，并进行免费安装调试。安装调试结束，双方签字盖章确认。</w:t>
      </w:r>
    </w:p>
    <w:p w14:paraId="36F0850D">
      <w:pPr>
        <w:pStyle w:val="81"/>
        <w:keepNext w:val="0"/>
        <w:keepLines w:val="0"/>
        <w:pageBreakBefore w:val="0"/>
        <w:kinsoku/>
        <w:wordWrap/>
        <w:overflowPunct/>
        <w:topLinePunct w:val="0"/>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color w:val="auto"/>
          <w:highlight w:val="none"/>
        </w:rPr>
      </w:pPr>
    </w:p>
    <w:p w14:paraId="29F26E59">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（三）快速高温灰化仪</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18</w:t>
      </w:r>
      <w:r>
        <w:rPr>
          <w:rFonts w:hint="eastAsia" w:cs="宋体"/>
          <w:color w:val="auto"/>
          <w:sz w:val="24"/>
          <w:highlight w:val="none"/>
        </w:rPr>
        <w:t>项，主要配置</w:t>
      </w:r>
      <w:r>
        <w:rPr>
          <w:rFonts w:hint="eastAsia" w:cs="宋体"/>
          <w:color w:val="auto"/>
          <w:sz w:val="24"/>
          <w:highlight w:val="none"/>
          <w:lang w:val="en-US" w:eastAsia="zh-CN"/>
        </w:rPr>
        <w:t>2</w:t>
      </w:r>
      <w:r>
        <w:rPr>
          <w:rFonts w:hint="eastAsia" w:cs="宋体"/>
          <w:color w:val="auto"/>
          <w:sz w:val="24"/>
          <w:highlight w:val="none"/>
        </w:rPr>
        <w:t>项</w:t>
      </w:r>
      <w:r>
        <w:rPr>
          <w:rFonts w:hint="eastAsia" w:cs="宋体"/>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“★”1项，“▲”3项。</w:t>
      </w:r>
    </w:p>
    <w:p w14:paraId="0750AC0B">
      <w:pPr>
        <w:pStyle w:val="28"/>
        <w:keepNext w:val="0"/>
        <w:keepLines w:val="0"/>
        <w:pageBreakBefore w:val="0"/>
        <w:kinsoku/>
        <w:wordWrap/>
        <w:overflowPunct/>
        <w:topLinePunct w:val="0"/>
        <w:autoSpaceDE/>
        <w:autoSpaceDN/>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1、主要用途：</w:t>
      </w:r>
      <w:r>
        <w:rPr>
          <w:rFonts w:hint="eastAsia" w:ascii="宋体" w:hAnsi="宋体" w:eastAsia="宋体" w:cs="宋体"/>
          <w:color w:val="auto"/>
          <w:sz w:val="24"/>
          <w:szCs w:val="24"/>
          <w:highlight w:val="none"/>
        </w:rPr>
        <w:t>用于化工品的高温干法灰化、湿法灰化前处理或灰分测量。</w:t>
      </w:r>
    </w:p>
    <w:p w14:paraId="122C0A8D">
      <w:pPr>
        <w:pStyle w:val="28"/>
        <w:keepNext w:val="0"/>
        <w:keepLines w:val="0"/>
        <w:pageBreakBefore w:val="0"/>
        <w:kinsoku/>
        <w:wordWrap/>
        <w:overflowPunct/>
        <w:topLinePunct w:val="0"/>
        <w:autoSpaceDE/>
        <w:autoSpaceDN/>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2、工件条件：</w:t>
      </w:r>
    </w:p>
    <w:p w14:paraId="28A9F585">
      <w:pPr>
        <w:pStyle w:val="28"/>
        <w:keepNext w:val="0"/>
        <w:keepLines w:val="0"/>
        <w:pageBreakBefore w:val="0"/>
        <w:kinsoku/>
        <w:wordWrap/>
        <w:overflowPunct/>
        <w:topLinePunct w:val="0"/>
        <w:autoSpaceDE/>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2.1电源电压：220V，50Hz</w:t>
      </w:r>
      <w:bookmarkStart w:id="96" w:name="OLE_LINK27"/>
      <w:bookmarkStart w:id="97" w:name="OLE_LINK28"/>
      <w:r>
        <w:rPr>
          <w:rFonts w:hint="eastAsia" w:ascii="宋体" w:hAnsi="宋体" w:eastAsia="宋体" w:cs="宋体"/>
          <w:color w:val="auto"/>
          <w:sz w:val="24"/>
          <w:szCs w:val="24"/>
          <w:highlight w:val="none"/>
          <w:lang w:eastAsia="zh-CN"/>
        </w:rPr>
        <w:t>-</w:t>
      </w:r>
      <w:bookmarkEnd w:id="96"/>
      <w:bookmarkEnd w:id="97"/>
      <w:r>
        <w:rPr>
          <w:rFonts w:hint="eastAsia" w:ascii="宋体" w:hAnsi="宋体" w:eastAsia="宋体" w:cs="宋体"/>
          <w:color w:val="auto"/>
          <w:sz w:val="24"/>
          <w:szCs w:val="24"/>
          <w:highlight w:val="none"/>
        </w:rPr>
        <w:t>60Hz</w:t>
      </w:r>
    </w:p>
    <w:p w14:paraId="708D99FD">
      <w:pPr>
        <w:pStyle w:val="28"/>
        <w:keepNext w:val="0"/>
        <w:keepLines w:val="0"/>
        <w:pageBreakBefore w:val="0"/>
        <w:kinsoku/>
        <w:wordWrap/>
        <w:overflowPunct/>
        <w:topLinePunct w:val="0"/>
        <w:autoSpaceDE/>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2.2工作温度：15</w:t>
      </w:r>
      <w:bookmarkStart w:id="98" w:name="OLE_LINK29"/>
      <w:bookmarkStart w:id="99" w:name="OLE_LINK30"/>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w:t>
      </w:r>
      <w:bookmarkEnd w:id="98"/>
      <w:bookmarkEnd w:id="99"/>
      <w:r>
        <w:rPr>
          <w:rFonts w:hint="eastAsia" w:ascii="宋体" w:hAnsi="宋体" w:eastAsia="宋体" w:cs="宋体"/>
          <w:color w:val="auto"/>
          <w:sz w:val="24"/>
          <w:szCs w:val="24"/>
          <w:highlight w:val="none"/>
        </w:rPr>
        <w:t>40℃</w:t>
      </w:r>
    </w:p>
    <w:p w14:paraId="5407C279">
      <w:pPr>
        <w:pStyle w:val="28"/>
        <w:keepNext w:val="0"/>
        <w:keepLines w:val="0"/>
        <w:pageBreakBefore w:val="0"/>
        <w:kinsoku/>
        <w:wordWrap/>
        <w:overflowPunct/>
        <w:topLinePunct w:val="0"/>
        <w:autoSpaceDE/>
        <w:autoSpaceDN/>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2.3工作湿度：相对湿度20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80%</w:t>
      </w:r>
    </w:p>
    <w:p w14:paraId="506DC4AF">
      <w:pPr>
        <w:pStyle w:val="28"/>
        <w:keepNext w:val="0"/>
        <w:keepLines w:val="0"/>
        <w:pageBreakBefore w:val="0"/>
        <w:kinsoku/>
        <w:wordWrap/>
        <w:overflowPunct/>
        <w:topLinePunct w:val="0"/>
        <w:autoSpaceDE/>
        <w:autoSpaceDN/>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3、技术指标：</w:t>
      </w:r>
    </w:p>
    <w:p w14:paraId="623FEF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3.1微波主机</w:t>
      </w:r>
    </w:p>
    <w:p w14:paraId="3CFC321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3.1.1全不锈钢主机，包括内外腔体、门体、控制器。不锈钢自吸式门体采用自密闭技术，可自吸式关闭。</w:t>
      </w:r>
    </w:p>
    <w:p w14:paraId="0A0D2D7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▲3.1.2采用双磁控管微波控制，微波输出功率</w:t>
      </w:r>
      <w:bookmarkStart w:id="100" w:name="OLE_LINK22"/>
      <w:r>
        <w:rPr>
          <w:rFonts w:hint="eastAsia" w:ascii="宋体" w:hAnsi="宋体" w:eastAsia="宋体" w:cs="宋体"/>
          <w:color w:val="auto"/>
          <w:sz w:val="24"/>
          <w:szCs w:val="24"/>
          <w:highlight w:val="none"/>
        </w:rPr>
        <w:t>≥</w:t>
      </w:r>
      <w:bookmarkEnd w:id="100"/>
      <w:r>
        <w:rPr>
          <w:rFonts w:hint="eastAsia" w:ascii="宋体" w:hAnsi="宋体" w:eastAsia="宋体" w:cs="宋体"/>
          <w:color w:val="auto"/>
          <w:sz w:val="24"/>
          <w:szCs w:val="24"/>
          <w:highlight w:val="none"/>
        </w:rPr>
        <w:t>1900W，具有2个微波发射源，2个发射源均位于腔体顶部。</w:t>
      </w:r>
    </w:p>
    <w:p w14:paraId="33DE04B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3.1.3微波发射方式脉冲和非脉冲可选。满功率工作时，微波泄漏量</w:t>
      </w:r>
      <w:bookmarkStart w:id="101" w:name="OLE_LINK23"/>
      <w:bookmarkStart w:id="102" w:name="OLE_LINK24"/>
      <w:r>
        <w:rPr>
          <w:rFonts w:hint="eastAsia" w:ascii="宋体" w:hAnsi="宋体" w:eastAsia="宋体" w:cs="宋体"/>
          <w:color w:val="auto"/>
          <w:sz w:val="24"/>
          <w:szCs w:val="24"/>
          <w:highlight w:val="none"/>
        </w:rPr>
        <w:t>≤</w:t>
      </w:r>
      <w:bookmarkEnd w:id="101"/>
      <w:bookmarkEnd w:id="102"/>
      <w:r>
        <w:rPr>
          <w:rFonts w:hint="eastAsia" w:ascii="宋体" w:hAnsi="宋体" w:eastAsia="宋体" w:cs="宋体"/>
          <w:color w:val="auto"/>
          <w:sz w:val="24"/>
          <w:szCs w:val="24"/>
          <w:highlight w:val="none"/>
        </w:rPr>
        <w:t xml:space="preserve">0.05mW/cm²。 </w:t>
      </w:r>
    </w:p>
    <w:p w14:paraId="11C8117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3.1.4微波工作腔体，容积≥70L。</w:t>
      </w:r>
    </w:p>
    <w:p w14:paraId="712F358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3.1.5自动落锁系统，当微波工作时门自动锁闭，门打开时微波自动切断，防止被随意打开，开门软件控制。机械和电子软件双重门锁，软件可设定温度门锁，当样品温度高于设定温度时自动锁闭，避免误操作开门。</w:t>
      </w:r>
    </w:p>
    <w:p w14:paraId="1F0DD2E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103" w:name="OLE_LINK7"/>
      <w:bookmarkStart w:id="104" w:name="OLE_LINK8"/>
      <w:r>
        <w:rPr>
          <w:rFonts w:hint="eastAsia" w:ascii="宋体" w:hAnsi="宋体" w:eastAsia="宋体" w:cs="宋体"/>
          <w:color w:val="auto"/>
          <w:sz w:val="24"/>
          <w:szCs w:val="24"/>
          <w:highlight w:val="none"/>
        </w:rPr>
        <w:t>▲</w:t>
      </w:r>
      <w:bookmarkEnd w:id="103"/>
      <w:bookmarkEnd w:id="104"/>
      <w:r>
        <w:rPr>
          <w:rFonts w:hint="eastAsia" w:ascii="宋体" w:hAnsi="宋体" w:eastAsia="宋体" w:cs="宋体"/>
          <w:color w:val="auto"/>
          <w:sz w:val="24"/>
          <w:szCs w:val="24"/>
          <w:highlight w:val="none"/>
        </w:rPr>
        <w:t>3.1.6多维微波能量输出，微波腔内散射器可旋转，保证腔体内能量分布均匀和微波能量最优化。</w:t>
      </w:r>
    </w:p>
    <w:p w14:paraId="575A80E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3.1.7内置多级可调节大流量排风系统，确保消解和冷却时精确控制冷却速率，风道内置且抗腐蚀耐高温。</w:t>
      </w:r>
    </w:p>
    <w:p w14:paraId="56A40B5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3.1.8多功能操作平台，可扩展为微波高温熔融、微波磺化、高温合成等。</w:t>
      </w:r>
    </w:p>
    <w:p w14:paraId="44B8105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马弗炉体</w:t>
      </w:r>
    </w:p>
    <w:p w14:paraId="2431EEE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★3.2.1高温马弗炉体</w:t>
      </w:r>
      <w:bookmarkStart w:id="105" w:name="OLE_LINK25"/>
      <w:bookmarkStart w:id="106" w:name="OLE_LINK26"/>
      <w:r>
        <w:rPr>
          <w:rFonts w:hint="eastAsia" w:ascii="宋体" w:hAnsi="宋体" w:eastAsia="宋体" w:cs="宋体"/>
          <w:color w:val="auto"/>
          <w:sz w:val="24"/>
          <w:szCs w:val="24"/>
          <w:highlight w:val="none"/>
        </w:rPr>
        <w:t>≥</w:t>
      </w:r>
      <w:bookmarkEnd w:id="105"/>
      <w:bookmarkEnd w:id="106"/>
      <w:r>
        <w:rPr>
          <w:rFonts w:hint="eastAsia" w:ascii="宋体" w:hAnsi="宋体" w:eastAsia="宋体" w:cs="宋体"/>
          <w:color w:val="auto"/>
          <w:sz w:val="24"/>
          <w:szCs w:val="24"/>
          <w:highlight w:val="none"/>
        </w:rPr>
        <w:t>6L。</w:t>
      </w:r>
    </w:p>
    <w:p w14:paraId="36B5968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3.2.2顶部有石英管，将炭化和灰化过程产生的黑烟和异味直接由马弗炉体排出。</w:t>
      </w:r>
    </w:p>
    <w:p w14:paraId="36E4FDC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3.2.3可以同时处理≥24个直径40mm的坩埚。</w:t>
      </w:r>
    </w:p>
    <w:p w14:paraId="765B49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3.2.4陶瓷纤维炉体，炉腔内1000℃以上时，外壁温度≤40℃。</w:t>
      </w:r>
    </w:p>
    <w:p w14:paraId="03881F0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3.2.5马弗炉体顶部碳化硅超强微波吸收加热，面积＞260*170mm，保证马弗炉体内部温度均匀。</w:t>
      </w:r>
      <w:r>
        <w:rPr>
          <w:rFonts w:hint="eastAsia" w:ascii="宋体" w:hAnsi="宋体" w:cs="宋体"/>
          <w:color w:val="auto"/>
          <w:sz w:val="24"/>
          <w:szCs w:val="24"/>
          <w:highlight w:val="none"/>
          <w:lang w:eastAsia="zh-CN"/>
        </w:rPr>
        <w:t>；</w:t>
      </w:r>
    </w:p>
    <w:p w14:paraId="468451C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3.2.6最高工作温度：≥1200℃，控温精度 ≤±1℃。</w:t>
      </w:r>
    </w:p>
    <w:p w14:paraId="10A73F1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3.2.7升温速率：从室温到800℃所需时间＜20min。</w:t>
      </w:r>
    </w:p>
    <w:p w14:paraId="31EDF0D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3.3通氧组件</w:t>
      </w:r>
    </w:p>
    <w:p w14:paraId="129E964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▲3.3.1</w:t>
      </w:r>
      <w:bookmarkStart w:id="107" w:name="OLE_LINK9"/>
      <w:bookmarkStart w:id="108" w:name="OLE_LINK10"/>
      <w:bookmarkStart w:id="109" w:name="OLE_LINK12"/>
      <w:bookmarkStart w:id="110" w:name="OLE_LINK11"/>
      <w:r>
        <w:rPr>
          <w:rFonts w:hint="eastAsia" w:ascii="宋体" w:hAnsi="宋体" w:eastAsia="宋体" w:cs="宋体"/>
          <w:color w:val="auto"/>
          <w:sz w:val="24"/>
          <w:szCs w:val="24"/>
          <w:highlight w:val="none"/>
        </w:rPr>
        <w:t>文丘里通氧</w:t>
      </w:r>
      <w:bookmarkEnd w:id="107"/>
      <w:bookmarkEnd w:id="108"/>
      <w:r>
        <w:rPr>
          <w:rFonts w:hint="eastAsia" w:ascii="宋体" w:hAnsi="宋体" w:eastAsia="宋体" w:cs="宋体"/>
          <w:color w:val="auto"/>
          <w:sz w:val="24"/>
          <w:szCs w:val="24"/>
          <w:highlight w:val="none"/>
        </w:rPr>
        <w:t>结构设计</w:t>
      </w:r>
      <w:bookmarkEnd w:id="109"/>
      <w:bookmarkEnd w:id="110"/>
      <w:r>
        <w:rPr>
          <w:rFonts w:hint="eastAsia" w:ascii="宋体" w:hAnsi="宋体" w:eastAsia="宋体" w:cs="宋体"/>
          <w:color w:val="auto"/>
          <w:sz w:val="24"/>
          <w:szCs w:val="24"/>
          <w:highlight w:val="none"/>
        </w:rPr>
        <w:t>，无需另配空气压缩机等额外设备，可在灰化过程中辅助通入氧气，加速灰化进程。具有顶部石英管直接排出马弗炉体内产生的废气，无需进入微波工作腔。</w:t>
      </w:r>
      <w:r>
        <w:rPr>
          <w:rFonts w:hint="eastAsia" w:ascii="宋体" w:hAnsi="宋体" w:cs="宋体"/>
          <w:color w:val="auto"/>
          <w:sz w:val="24"/>
          <w:szCs w:val="24"/>
          <w:highlight w:val="none"/>
          <w:lang w:eastAsia="zh-CN"/>
        </w:rPr>
        <w:t>；</w:t>
      </w:r>
    </w:p>
    <w:p w14:paraId="43AB30A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3.3.2炉体有蜂窝状通氧塞，可通过软件自动调节气体的通入量。</w:t>
      </w:r>
    </w:p>
    <w:p w14:paraId="0F6DDD1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3.3.3在进行不需要通入空气的灰化反应时，可自动切换至全密闭的灰化系统。</w:t>
      </w:r>
    </w:p>
    <w:p w14:paraId="53C6C72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控制系统</w:t>
      </w:r>
    </w:p>
    <w:p w14:paraId="3998F27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3.4.1分体触摸式控制终端，高分辨率彩色显示屏，可远距离在线控制系统操作。</w:t>
      </w:r>
    </w:p>
    <w:p w14:paraId="34A7B6C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3.4.2可在线控制和修改所有的反应参数，在线精确显示微波功率曲线。</w:t>
      </w:r>
    </w:p>
    <w:p w14:paraId="2584A80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3.4.3控制终端表面经特殊防腐耐高温处理。</w:t>
      </w:r>
    </w:p>
    <w:p w14:paraId="7C4FA56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3.4.4全自动过温保护系统，当温度高于设定温度时，自动识别并自动切断微波输出。当温度回归正常时，自动识别并启动。</w:t>
      </w:r>
    </w:p>
    <w:p w14:paraId="74568D06">
      <w:pPr>
        <w:keepNext w:val="0"/>
        <w:keepLines w:val="0"/>
        <w:pageBreakBefore w:val="0"/>
        <w:widowControl/>
        <w:kinsoku/>
        <w:wordWrap/>
        <w:overflowPunct/>
        <w:topLinePunct w:val="0"/>
        <w:autoSpaceDE/>
        <w:autoSpaceDN/>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kern w:val="0"/>
          <w:sz w:val="24"/>
          <w:szCs w:val="24"/>
          <w:highlight w:val="none"/>
        </w:rPr>
        <w:t>4、</w:t>
      </w:r>
      <w:r>
        <w:rPr>
          <w:rFonts w:hint="eastAsia" w:ascii="宋体" w:hAnsi="宋体" w:eastAsia="宋体" w:cs="宋体"/>
          <w:b/>
          <w:bCs/>
          <w:color w:val="auto"/>
          <w:sz w:val="24"/>
          <w:szCs w:val="24"/>
          <w:highlight w:val="none"/>
        </w:rPr>
        <w:t>供货配置：</w:t>
      </w:r>
    </w:p>
    <w:p w14:paraId="2C26A3F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4.1快速高温灰化仪整机（内含温度控制系统、分离式触摸控制终端、文丘里通氧组件、氧化铝陶瓷纤维马弗炉体、不锈钢排风系统）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1台</w:t>
      </w:r>
    </w:p>
    <w:p w14:paraId="1D9DE3F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陶瓷坩埚（50</w:t>
      </w:r>
      <w:r>
        <w:rPr>
          <w:rFonts w:hint="eastAsia" w:ascii="宋体" w:hAnsi="宋体" w:cs="宋体"/>
          <w:color w:val="auto"/>
          <w:sz w:val="24"/>
          <w:szCs w:val="24"/>
          <w:highlight w:val="none"/>
          <w:lang w:eastAsia="zh-CN"/>
        </w:rPr>
        <w:t>mL</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24个</w:t>
      </w:r>
    </w:p>
    <w:p w14:paraId="38BCD7E9">
      <w:pPr>
        <w:pStyle w:val="21"/>
        <w:keepNext w:val="0"/>
        <w:keepLines w:val="0"/>
        <w:pageBreakBefore w:val="0"/>
        <w:kinsoku/>
        <w:wordWrap/>
        <w:overflowPunct/>
        <w:topLinePunct w:val="0"/>
        <w:autoSpaceDE/>
        <w:autoSpaceDN/>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5、技术资料：</w:t>
      </w:r>
      <w:r>
        <w:rPr>
          <w:rFonts w:hint="eastAsia" w:ascii="宋体" w:hAnsi="宋体" w:eastAsia="宋体" w:cs="宋体"/>
          <w:color w:val="auto"/>
          <w:sz w:val="24"/>
          <w:szCs w:val="24"/>
          <w:highlight w:val="none"/>
        </w:rPr>
        <w:t>说明书、合格证1套</w:t>
      </w:r>
    </w:p>
    <w:p w14:paraId="46910385">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6、</w:t>
      </w:r>
      <w:r>
        <w:rPr>
          <w:rFonts w:hint="eastAsia" w:ascii="宋体" w:hAnsi="宋体" w:eastAsia="宋体" w:cs="宋体"/>
          <w:b/>
          <w:color w:val="auto"/>
          <w:sz w:val="24"/>
          <w:szCs w:val="24"/>
          <w:highlight w:val="none"/>
        </w:rPr>
        <w:t>售后服务与培训：</w:t>
      </w:r>
    </w:p>
    <w:p w14:paraId="4888F7F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设备安装、调试和验收：仪器到达最终</w:t>
      </w:r>
      <w:bookmarkStart w:id="111" w:name="OLE_LINK17"/>
      <w:r>
        <w:rPr>
          <w:rFonts w:hint="eastAsia" w:ascii="宋体" w:hAnsi="宋体" w:eastAsia="宋体" w:cs="宋体"/>
          <w:color w:val="auto"/>
          <w:sz w:val="24"/>
          <w:szCs w:val="24"/>
          <w:highlight w:val="none"/>
        </w:rPr>
        <w:t>采购人</w:t>
      </w:r>
      <w:bookmarkEnd w:id="111"/>
      <w:r>
        <w:rPr>
          <w:rFonts w:hint="eastAsia" w:ascii="宋体" w:hAnsi="宋体" w:eastAsia="宋体" w:cs="宋体"/>
          <w:color w:val="auto"/>
          <w:sz w:val="24"/>
          <w:szCs w:val="24"/>
          <w:highlight w:val="none"/>
        </w:rPr>
        <w:t>现场并且实验室条件合格后，在接到采购人通知后，中标商需安排有经验的工程技术人员到用户现场安装、调试仪器，按验收指标逐项测试，直至达到验收要求。</w:t>
      </w:r>
    </w:p>
    <w:p w14:paraId="2969E48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6.2 技术培训要求：安装验收期间，在采购人所在地对采购人进行仪器操作和日常维护的现场培训。 </w:t>
      </w:r>
    </w:p>
    <w:p w14:paraId="41F23E9E">
      <w:pPr>
        <w:pStyle w:val="81"/>
        <w:keepNext w:val="0"/>
        <w:keepLines w:val="0"/>
        <w:pageBreakBefore w:val="0"/>
        <w:kinsoku/>
        <w:wordWrap/>
        <w:overflowPunct/>
        <w:topLinePunct w:val="0"/>
        <w:autoSpaceDE/>
        <w:autoSpaceDN/>
        <w:bidi w:val="0"/>
        <w:spacing w:before="0" w:beforeAutospacing="0" w:after="0" w:afterAutospacing="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 保修期：</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年免费保修，自设备验收合格之日起计算。</w:t>
      </w:r>
    </w:p>
    <w:p w14:paraId="208D05E9">
      <w:pPr>
        <w:pStyle w:val="81"/>
        <w:keepNext w:val="0"/>
        <w:keepLines w:val="0"/>
        <w:pageBreakBefore w:val="0"/>
        <w:kinsoku/>
        <w:wordWrap/>
        <w:overflowPunct/>
        <w:topLinePunct w:val="0"/>
        <w:autoSpaceDE/>
        <w:autoSpaceDN/>
        <w:bidi w:val="0"/>
        <w:spacing w:before="0" w:beforeAutospacing="0" w:after="0" w:afterAutospacing="0" w:line="360" w:lineRule="auto"/>
        <w:ind w:firstLine="482"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7、验收：</w:t>
      </w:r>
      <w:r>
        <w:rPr>
          <w:rFonts w:hint="eastAsia" w:ascii="宋体" w:hAnsi="宋体" w:eastAsia="宋体" w:cs="宋体"/>
          <w:color w:val="auto"/>
          <w:sz w:val="24"/>
          <w:szCs w:val="24"/>
          <w:highlight w:val="none"/>
        </w:rPr>
        <w:t>仪器到货后一周内，由厂家工程师同</w:t>
      </w:r>
      <w:bookmarkStart w:id="112" w:name="OLE_LINK15"/>
      <w:bookmarkStart w:id="113" w:name="OLE_LINK16"/>
      <w:r>
        <w:rPr>
          <w:rFonts w:hint="eastAsia" w:ascii="宋体" w:hAnsi="宋体" w:eastAsia="宋体" w:cs="宋体"/>
          <w:color w:val="auto"/>
          <w:sz w:val="24"/>
          <w:szCs w:val="24"/>
          <w:highlight w:val="none"/>
        </w:rPr>
        <w:t>采购人</w:t>
      </w:r>
      <w:bookmarkEnd w:id="112"/>
      <w:bookmarkEnd w:id="113"/>
      <w:r>
        <w:rPr>
          <w:rFonts w:hint="eastAsia" w:ascii="宋体" w:hAnsi="宋体" w:eastAsia="宋体" w:cs="宋体"/>
          <w:color w:val="auto"/>
          <w:sz w:val="24"/>
          <w:szCs w:val="24"/>
          <w:highlight w:val="none"/>
        </w:rPr>
        <w:t>共同开箱验货，并进行免费安装调试。安装调试结束，双方签字盖章确认。</w:t>
      </w:r>
    </w:p>
    <w:p w14:paraId="6A75E46D">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eastAsia="zh-CN"/>
        </w:rPr>
      </w:pPr>
    </w:p>
    <w:p w14:paraId="1A64347A">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（四）</w:t>
      </w:r>
      <w:r>
        <w:rPr>
          <w:rFonts w:hint="eastAsia" w:ascii="宋体" w:hAnsi="宋体" w:eastAsia="宋体" w:cs="宋体"/>
          <w:b/>
          <w:bCs/>
          <w:color w:val="auto"/>
          <w:sz w:val="24"/>
          <w:highlight w:val="none"/>
          <w:lang w:val="en-US" w:eastAsia="zh-CN"/>
        </w:rPr>
        <w:t>恒温恒湿培养箱（规格一）</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4</w:t>
      </w:r>
      <w:r>
        <w:rPr>
          <w:rFonts w:hint="eastAsia" w:cs="宋体"/>
          <w:color w:val="auto"/>
          <w:sz w:val="24"/>
          <w:highlight w:val="none"/>
        </w:rPr>
        <w:t>项，主要配置</w:t>
      </w:r>
      <w:r>
        <w:rPr>
          <w:rFonts w:hint="eastAsia" w:cs="宋体"/>
          <w:color w:val="auto"/>
          <w:sz w:val="24"/>
          <w:highlight w:val="none"/>
          <w:lang w:val="en-US" w:eastAsia="zh-CN"/>
        </w:rPr>
        <w:t>2</w:t>
      </w:r>
      <w:r>
        <w:rPr>
          <w:rFonts w:hint="eastAsia" w:cs="宋体"/>
          <w:color w:val="auto"/>
          <w:sz w:val="24"/>
          <w:highlight w:val="none"/>
        </w:rPr>
        <w:t>项</w:t>
      </w:r>
      <w:r>
        <w:rPr>
          <w:rFonts w:hint="eastAsia" w:cs="宋体"/>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“★”1项，“▲”3项。</w:t>
      </w:r>
    </w:p>
    <w:p w14:paraId="144612CB">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1、</w:t>
      </w:r>
      <w:r>
        <w:rPr>
          <w:rFonts w:hint="eastAsia" w:ascii="宋体" w:hAnsi="宋体" w:eastAsia="宋体" w:cs="宋体"/>
          <w:b/>
          <w:bCs/>
          <w:color w:val="auto"/>
          <w:sz w:val="24"/>
          <w:highlight w:val="none"/>
          <w:lang w:val="en-US" w:eastAsia="zh-CN"/>
        </w:rPr>
        <w:t>主要用途：</w:t>
      </w:r>
      <w:r>
        <w:rPr>
          <w:rFonts w:hint="eastAsia" w:ascii="宋体" w:hAnsi="宋体" w:eastAsia="宋体" w:cs="宋体"/>
          <w:b w:val="0"/>
          <w:bCs w:val="0"/>
          <w:color w:val="auto"/>
          <w:sz w:val="24"/>
          <w:highlight w:val="none"/>
          <w:lang w:val="en-US" w:eastAsia="zh-CN"/>
        </w:rPr>
        <w:t>微生物培养</w:t>
      </w:r>
    </w:p>
    <w:p w14:paraId="5F13C8EF">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2、主要技术参数：</w:t>
      </w:r>
    </w:p>
    <w:p w14:paraId="4DF512C1">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.1工作条件：电源电压：220V，50Hz</w:t>
      </w:r>
    </w:p>
    <w:p w14:paraId="10662D11">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.2容积：≥100L</w:t>
      </w:r>
    </w:p>
    <w:p w14:paraId="5D093350">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.3采用PID控制技术，升温迅速，并具有过温保护功能</w:t>
      </w:r>
    </w:p>
    <w:p w14:paraId="7623D79B">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.4温度控制范围：室温 5℃</w:t>
      </w:r>
      <w:r>
        <w:rPr>
          <w:rFonts w:hint="eastAsia" w:ascii="宋体" w:hAnsi="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65℃</w:t>
      </w:r>
    </w:p>
    <w:p w14:paraId="7BAAD785">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.5温度稳定性：37℃时&lt;±0.5℃</w:t>
      </w:r>
    </w:p>
    <w:p w14:paraId="506F8997">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.6温度均一性：37℃时&lt;±1℃, 60℃时&lt;±2℃</w:t>
      </w:r>
    </w:p>
    <w:p w14:paraId="7E0B3764">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.7有温度报警功能和附件端口</w:t>
      </w:r>
    </w:p>
    <w:p w14:paraId="1D2789EC">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.8内胆和支架采用304不锈钢</w:t>
      </w:r>
    </w:p>
    <w:p w14:paraId="11B205FA">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3、主要配置</w:t>
      </w:r>
    </w:p>
    <w:p w14:paraId="079F17E7">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.1主机 1台</w:t>
      </w:r>
    </w:p>
    <w:p w14:paraId="608417C3">
      <w:pPr>
        <w:keepNext w:val="0"/>
        <w:keepLines w:val="0"/>
        <w:pageBreakBefore w:val="0"/>
        <w:kinsoku/>
        <w:wordWrap/>
        <w:overflowPunct/>
        <w:topLinePunct w:val="0"/>
        <w:autoSpaceDE w:val="0"/>
        <w:autoSpaceDN w:val="0"/>
        <w:bidi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.2隔板 2副</w:t>
      </w:r>
    </w:p>
    <w:p w14:paraId="31A9CDB5">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4、质保期：</w:t>
      </w:r>
      <w:r>
        <w:rPr>
          <w:rFonts w:hint="eastAsia" w:ascii="宋体" w:hAnsi="宋体" w:eastAsia="宋体" w:cs="宋体"/>
          <w:b w:val="0"/>
          <w:bCs w:val="0"/>
          <w:color w:val="auto"/>
          <w:sz w:val="24"/>
          <w:highlight w:val="none"/>
          <w:lang w:val="en-US" w:eastAsia="zh-CN"/>
        </w:rPr>
        <w:t>产品安装调试经用户验收合格当天起，质保期3年，在质保期内，产品因故障停用，质保期相应顺延。</w:t>
      </w:r>
    </w:p>
    <w:p w14:paraId="3222855B">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cs="宋体"/>
          <w:b/>
          <w:bCs/>
          <w:color w:val="auto"/>
          <w:sz w:val="24"/>
          <w:highlight w:val="none"/>
          <w:lang w:eastAsia="zh-CN"/>
        </w:rPr>
      </w:pPr>
      <w:r>
        <w:rPr>
          <w:rFonts w:hint="eastAsia" w:ascii="宋体" w:hAnsi="宋体" w:eastAsia="宋体" w:cs="宋体"/>
          <w:b/>
          <w:bCs/>
          <w:color w:val="auto"/>
          <w:sz w:val="24"/>
          <w:highlight w:val="none"/>
          <w:lang w:eastAsia="zh-CN"/>
        </w:rPr>
        <w:t>5、售后服务要求</w:t>
      </w:r>
      <w:r>
        <w:rPr>
          <w:rFonts w:hint="eastAsia" w:ascii="宋体" w:hAnsi="宋体" w:cs="宋体"/>
          <w:b/>
          <w:bCs/>
          <w:color w:val="auto"/>
          <w:sz w:val="24"/>
          <w:highlight w:val="none"/>
          <w:lang w:eastAsia="zh-CN"/>
        </w:rPr>
        <w:t>：</w:t>
      </w:r>
    </w:p>
    <w:p w14:paraId="7205E50C">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1中标供应商应提供原产商质量保证和售后服务承诺书。在质量保证期内设备发生故障，中标供应商应免费提供原厂商售后维修和更换零件服务。质保期后，中标供应商提供设备终身技术支持，包括故障排除和零配件的供应、仪器软件免费升级和培训，数据库可扩充等；设备出现故障需更换配件时，只收取零配件费用，免收其它费用，并承诺按最优惠价格提供零配件。合同签订后，在1周内中标供应商将仪器操作间的装修要求和水、电、气要求通知需求单位。</w:t>
      </w:r>
    </w:p>
    <w:p w14:paraId="29B1D149">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2中标供应商负责将设备运至需求单位指定的地点，免费负责安装，免费现场培训及技术应用培训。中标价应包含产品的制造、材料费（主材及辅材）、运输、安装、验收、保修、税收、所有手续费等直至验收合格交付需求单位使用的所有相关费用。中标价格在中标后的合同实施期间应保持不变，即不因市场价格或政策性价格的调整而增减（若因中标人责任而导致的需方依据合同条款对中标人的扣款处罚除外）。</w:t>
      </w:r>
    </w:p>
    <w:p w14:paraId="4B577739">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.3货到后，中标供应商负责派技术人员到现场进行安装、调试，直至验收合格，带“★”的项目必须符合其性能。</w:t>
      </w:r>
    </w:p>
    <w:p w14:paraId="2D222AF8">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4（1）中标供应商须提供产品的原厂技术文件以及验收要求的校准文件或计量证书。属于中华人民共和国强制检定计量器具，中标供应商须负责提供法定计量证书。所需费用由中标供应商承担。（2）中标供应商设备供货、安装施工、调试、工程验收、货物运输、售后服务等均应符合国家相关法律、法规以及国家标准、相关行业标准。中标供应商提供设备的制造标准、安装标准及技术规范等有关资料必须符合国家相应的有关标准、规范要求。（3）中标供应商应向需求单位提供完整的设备技术资料、货物制造商的出厂检验报告、合格证书、产品保证书、认证书、及政府许可证明、说明书等，保证产品和安装材料是新生产、未经过使用的原装原厂正品。如在交付使用前发生设备损坏和不合格，需求单位有权要求退货，因此造成的一切损失由供应商承担。（4）中标供应商根据合同要求进行系统安装、调试后，由需求单位进行使用性能方面的验收，确保在使用过程内具有满意的性能。如质量不符合要求，供应商应无条件及时更换并不得以任何原因拖延。（5）需求单位根据招标文件、中标供应商的竞标文件、合同、制造厂商的产品验收标准及中华人民共和国有关标准进行验收。因中标供应商所提供的产品未达到招标文件中技术性能指标的，一律拒收，不予付款，需求单位有权因此终止合同的执行，中标商将自行承担所有经济损失；同时，需求单位将保留向中标供应商因设备延迟到位而造成对口岸检验业务的不良影响追索相应“违约”责任的权利。</w:t>
      </w:r>
    </w:p>
    <w:p w14:paraId="40E7E8D3">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.5中标供应商能响应故障处理请求和电话咨询，提供7x24小时技术支持，2小时内响应和24小时内派人到现场维修的售后服务。中标供应商应提供维保人员名单、联系电话等。</w:t>
      </w:r>
    </w:p>
    <w:p w14:paraId="56CD9ACD">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cs="宋体"/>
          <w:b w:val="0"/>
          <w:bCs w:val="0"/>
          <w:color w:val="auto"/>
          <w:sz w:val="24"/>
          <w:highlight w:val="none"/>
          <w:lang w:eastAsia="zh-CN"/>
        </w:rPr>
      </w:pPr>
      <w:r>
        <w:rPr>
          <w:rFonts w:hint="eastAsia" w:ascii="宋体" w:hAnsi="宋体" w:cs="宋体"/>
          <w:b w:val="0"/>
          <w:bCs w:val="0"/>
          <w:color w:val="auto"/>
          <w:sz w:val="24"/>
          <w:highlight w:val="none"/>
          <w:lang w:val="en-US" w:eastAsia="zh-CN"/>
        </w:rPr>
        <w:t>5</w:t>
      </w:r>
      <w:r>
        <w:rPr>
          <w:rFonts w:hint="eastAsia" w:ascii="宋体" w:hAnsi="宋体" w:cs="宋体"/>
          <w:b w:val="0"/>
          <w:bCs w:val="0"/>
          <w:color w:val="auto"/>
          <w:sz w:val="24"/>
          <w:highlight w:val="none"/>
          <w:lang w:eastAsia="zh-CN"/>
        </w:rPr>
        <w:t>.6培训要求：现场培训，仪器在安装调试同时，中标供应商负责免费派工程师对用户就仪器原理和基本操作进行现场培训，保证至少2名工作人员能够正常使用设备的各种功能，培训时间视需求单位需要，原则上不少于2天，确保需求单位用户能正常操作。</w:t>
      </w:r>
    </w:p>
    <w:p w14:paraId="58AF69DF">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eastAsia="zh-CN"/>
        </w:rPr>
      </w:pPr>
    </w:p>
    <w:p w14:paraId="3071B4C9">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（五）</w:t>
      </w:r>
      <w:r>
        <w:rPr>
          <w:rFonts w:hint="eastAsia" w:ascii="宋体" w:hAnsi="宋体" w:eastAsia="宋体" w:cs="宋体"/>
          <w:b/>
          <w:bCs/>
          <w:color w:val="auto"/>
          <w:sz w:val="24"/>
          <w:highlight w:val="none"/>
          <w:lang w:val="en-US" w:eastAsia="zh-CN"/>
        </w:rPr>
        <w:t>恒温恒湿培养箱（规格二）</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7</w:t>
      </w:r>
      <w:r>
        <w:rPr>
          <w:rFonts w:hint="eastAsia" w:cs="宋体"/>
          <w:color w:val="auto"/>
          <w:sz w:val="24"/>
          <w:highlight w:val="none"/>
        </w:rPr>
        <w:t>项，主要配置</w:t>
      </w:r>
      <w:r>
        <w:rPr>
          <w:rFonts w:hint="eastAsia" w:cs="宋体"/>
          <w:color w:val="auto"/>
          <w:sz w:val="24"/>
          <w:highlight w:val="none"/>
          <w:lang w:val="en-US" w:eastAsia="zh-CN"/>
        </w:rPr>
        <w:t>3</w:t>
      </w:r>
      <w:r>
        <w:rPr>
          <w:rFonts w:hint="eastAsia" w:cs="宋体"/>
          <w:color w:val="auto"/>
          <w:sz w:val="24"/>
          <w:highlight w:val="none"/>
        </w:rPr>
        <w:t>项</w:t>
      </w:r>
      <w:r>
        <w:rPr>
          <w:rFonts w:hint="eastAsia" w:cs="宋体"/>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“★”1项，“▲”3项。</w:t>
      </w:r>
    </w:p>
    <w:p w14:paraId="12F3CB17">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1、主要用途：</w:t>
      </w:r>
      <w:r>
        <w:rPr>
          <w:rFonts w:hint="eastAsia" w:ascii="宋体" w:hAnsi="宋体" w:eastAsia="宋体" w:cs="宋体"/>
          <w:b w:val="0"/>
          <w:bCs w:val="0"/>
          <w:color w:val="auto"/>
          <w:sz w:val="24"/>
          <w:highlight w:val="none"/>
          <w:lang w:val="en-US" w:eastAsia="zh-CN"/>
        </w:rPr>
        <w:t>微生物、植物样品培养</w:t>
      </w:r>
    </w:p>
    <w:p w14:paraId="247A86AF">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2、主要技术参数：</w:t>
      </w:r>
    </w:p>
    <w:p w14:paraId="4D77040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2.1温度范围：0℃-60℃</w:t>
      </w:r>
    </w:p>
    <w:p w14:paraId="21BEE02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2.2湿度范围20-90％RH，波动±5％RH</w:t>
      </w:r>
    </w:p>
    <w:p w14:paraId="5AB1EE6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2.3均升温速率≥1（K/min）,降温速率≥0.4（K/min）.</w:t>
      </w:r>
    </w:p>
    <w:p w14:paraId="04CB330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▲2.4温度波动度≤±0.3℃</w:t>
      </w:r>
    </w:p>
    <w:p w14:paraId="2A2BF0F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▲2.5温度均匀度≤±1.0℃</w:t>
      </w:r>
    </w:p>
    <w:p w14:paraId="427E35E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2.6电子控制的加湿和除湿系统,使用纯净水加湿</w:t>
      </w:r>
    </w:p>
    <w:p w14:paraId="4909D41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2.7自带循环风量调节系统，可根据装载量手动调节循环风量大小</w:t>
      </w:r>
    </w:p>
    <w:p w14:paraId="6C96DE0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2.8自带事件管理功能，可自行记录开关机、开关门、故障报警等设备事件</w:t>
      </w:r>
    </w:p>
    <w:p w14:paraId="1114A0F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2.9自带权限分级，可灵活分配所有操作权限</w:t>
      </w:r>
    </w:p>
    <w:p w14:paraId="3983E47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▲2.10自动设置温度报警、独立过热保护装置、自动报警回铃。</w:t>
      </w:r>
    </w:p>
    <w:p w14:paraId="66CB09F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★2.11容积≥600L</w:t>
      </w:r>
    </w:p>
    <w:p w14:paraId="7B838DE4">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3、主要配置</w:t>
      </w:r>
    </w:p>
    <w:p w14:paraId="0827D4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.1主机 1台</w:t>
      </w:r>
    </w:p>
    <w:p w14:paraId="18A0ECB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.2搁板 2副</w:t>
      </w:r>
    </w:p>
    <w:p w14:paraId="36914BF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.3供水桶1个</w:t>
      </w:r>
    </w:p>
    <w:p w14:paraId="68067BCE">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4、质保期：</w:t>
      </w:r>
      <w:r>
        <w:rPr>
          <w:rFonts w:hint="eastAsia" w:ascii="宋体" w:hAnsi="宋体" w:eastAsia="宋体" w:cs="宋体"/>
          <w:b w:val="0"/>
          <w:bCs w:val="0"/>
          <w:color w:val="auto"/>
          <w:sz w:val="24"/>
          <w:highlight w:val="none"/>
          <w:lang w:val="en-US" w:eastAsia="zh-CN"/>
        </w:rPr>
        <w:t>产品安装调试经用户验收合格当天起，质保期3年，在质保期内，产品因故障停用，质保期相应顺延。</w:t>
      </w:r>
    </w:p>
    <w:p w14:paraId="49F2E25F">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5、售后服务要求</w:t>
      </w:r>
    </w:p>
    <w:p w14:paraId="22B788A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1中标供应商应提供原产商质量保证和售后服务承诺书。在质量保证期内设备发生故障，中标供应商应免费提供原厂商售后维修和更换零件服务。质保期后，中标供应商提供设备终身技术支持，包括故障排除和零配件的供应、仪器软件免费升级和培训，数据库可扩充等；设备出现故障需更换配件时，只收取零配件费用，免收其它费用，并承诺按最优惠价格提供零配件。合同签订后，在1周内中标供应商将仪器操作间的装修要求和水、电、气要求通知需求单位。</w:t>
      </w:r>
    </w:p>
    <w:p w14:paraId="064FBF7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2中标供应商负责将设备运至需求单位指定的地点，免费负责安装，免费现场培训及技术应用培训。中标价应包含产品的制造、材料费（主材及辅材）、运输、安装、验收、保修、税收、所有手续费等直至验收合格交付需求单位使用的所有相关费用。中标价格在中标后的合同实施期间应保持不变，即不因市场价格或政策性价格的调整而增减（若因中标人责任而导致的需方依据合同条款对中标人的扣款处罚除外）。</w:t>
      </w:r>
    </w:p>
    <w:p w14:paraId="678F469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.3货到后，中标供应商负责派技术人员到现场进行安装、调试，直至验收合格，带“★”的项目必须符合其性能。</w:t>
      </w:r>
    </w:p>
    <w:p w14:paraId="672BA0C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4（1）中标供应商须提供产品的原厂技术文件以及验收要求的校准文件或计量证书。属于中华人民共和国强制检定计量器具，中标供应商须负责提供法定计量证书。所需费用由中标供应商承担。（2）中标供应商设备供货、安装施工、调试、工程验收、货物运输、售后服务等均应符合国家相关法律、法规以及国家标准、相关行业标准。中标供应商提供设备的制造标准、安装标准及技术规范等有关资料必须符合国家相应的有关标准、规范要求。（3）中标供应商应向需求单位提供完整的设备技术资料、货物制造商的出厂检验报告、合格证书、产品保证书、认证书、及政府许可证明、说明书等，保证产品和安装材料是新生产、未经过使用的原装原厂正品。如在交付使用前发生设备损坏和不合格，需求单位有权要求退货，因此造成的一切损失由供应商承担。（4）中标供应商根据合同要求进行系统安装、调试后，由需求单位进行使用性能方面的验收，确保在使用过程内具有满意的性能。如质量不符合要求，供应商应无条件及时更换并不得以任何原因拖延。（5）需求单位根据招标文件、中标供应商的竞标文件、合同、制造厂商的产品验收标准及中华人民共和国有关标准进行验收。因中标供应商所提供的产品未达到招标文件中技术性能指标的，一律拒收，不予付款，需求单位有权因此终止合同的执行，中标商将自行承担所有经济损失；同时，需求单位将保留向中标供应商因设备延迟到位而造成对口岸检验业务的不良影响追索相应“违约”责任的权利。</w:t>
      </w:r>
    </w:p>
    <w:p w14:paraId="6C725AE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.5中标供应商能响应故障处理请求和电话咨询，提供7x24小时技术支持，2小时内响应和24小时内派人到现场维修的售后服务。中标供应商应提供维保人员名单、联系电话等。</w:t>
      </w:r>
    </w:p>
    <w:p w14:paraId="52D2EF0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5</w:t>
      </w:r>
      <w:r>
        <w:rPr>
          <w:rFonts w:hint="default" w:ascii="宋体" w:hAnsi="宋体" w:eastAsia="宋体" w:cs="宋体"/>
          <w:b w:val="0"/>
          <w:bCs w:val="0"/>
          <w:color w:val="auto"/>
          <w:sz w:val="24"/>
          <w:highlight w:val="none"/>
          <w:lang w:val="en-US" w:eastAsia="zh-CN"/>
        </w:rPr>
        <w:t>.6培训要求</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现场培训</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仪器在安装调试同时，中标供应商负责免费派工程师对用户就仪器原理和基本操作进行现场培训，保证至少2名工作人员能够正常使用设备的各种功能，培训时间视需求单位需要，原则上不少于2天，确保需求单位用户能正常操作。</w:t>
      </w:r>
    </w:p>
    <w:p w14:paraId="614E5A3A">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p>
    <w:p w14:paraId="22855946">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（六）</w:t>
      </w:r>
      <w:r>
        <w:rPr>
          <w:rFonts w:hint="eastAsia" w:ascii="宋体" w:hAnsi="宋体" w:eastAsia="宋体" w:cs="宋体"/>
          <w:b/>
          <w:bCs/>
          <w:color w:val="auto"/>
          <w:sz w:val="24"/>
          <w:highlight w:val="none"/>
          <w:lang w:val="en-US" w:eastAsia="zh-CN"/>
        </w:rPr>
        <w:t>自动蒸馏仪</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21</w:t>
      </w:r>
      <w:r>
        <w:rPr>
          <w:rFonts w:hint="eastAsia" w:cs="宋体"/>
          <w:color w:val="auto"/>
          <w:sz w:val="24"/>
          <w:highlight w:val="none"/>
        </w:rPr>
        <w:t>项，主要配置</w:t>
      </w:r>
      <w:r>
        <w:rPr>
          <w:rFonts w:hint="eastAsia" w:cs="宋体"/>
          <w:color w:val="auto"/>
          <w:sz w:val="24"/>
          <w:highlight w:val="none"/>
          <w:lang w:val="en-US" w:eastAsia="zh-CN"/>
        </w:rPr>
        <w:t>9</w:t>
      </w:r>
      <w:r>
        <w:rPr>
          <w:rFonts w:hint="eastAsia" w:cs="宋体"/>
          <w:color w:val="auto"/>
          <w:sz w:val="24"/>
          <w:highlight w:val="none"/>
        </w:rPr>
        <w:t>项</w:t>
      </w:r>
      <w:r>
        <w:rPr>
          <w:rFonts w:hint="eastAsia" w:cs="宋体"/>
          <w:color w:val="auto"/>
          <w:sz w:val="24"/>
          <w:highlight w:val="none"/>
          <w:lang w:eastAsia="zh-CN"/>
        </w:rPr>
        <w:t>。</w:t>
      </w:r>
    </w:p>
    <w:p w14:paraId="11CC3100">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1</w:t>
      </w:r>
      <w:r>
        <w:rPr>
          <w:rFonts w:hint="default" w:ascii="宋体" w:hAnsi="宋体" w:eastAsia="宋体" w:cs="宋体"/>
          <w:b/>
          <w:bCs/>
          <w:color w:val="auto"/>
          <w:sz w:val="24"/>
          <w:highlight w:val="none"/>
          <w:lang w:val="en-US" w:eastAsia="zh-CN"/>
        </w:rPr>
        <w:t>、主要用途：</w:t>
      </w:r>
      <w:r>
        <w:rPr>
          <w:rFonts w:hint="eastAsia" w:ascii="宋体" w:hAnsi="宋体" w:eastAsia="宋体" w:cs="宋体"/>
          <w:b w:val="0"/>
          <w:bCs w:val="0"/>
          <w:color w:val="auto"/>
          <w:sz w:val="24"/>
          <w:highlight w:val="none"/>
          <w:lang w:val="en-US" w:eastAsia="zh-CN"/>
        </w:rPr>
        <w:t>用于水质氨氮、水质氰化物、水质及食品中挥发酚、食品中氰化物、水产品中甲醛、食品中氮亚硝胺、酒精度测定、食品中丙酸钠丙酸钙的测定、食品</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中药中二氧化硫（一二三法）等项目的测定。</w:t>
      </w:r>
    </w:p>
    <w:p w14:paraId="35F33E32">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default"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lang w:val="en-US" w:eastAsia="zh-CN"/>
        </w:rPr>
        <w:t>、</w:t>
      </w:r>
      <w:r>
        <w:rPr>
          <w:rFonts w:hint="default" w:ascii="宋体" w:hAnsi="宋体" w:eastAsia="宋体" w:cs="宋体"/>
          <w:b/>
          <w:bCs/>
          <w:color w:val="auto"/>
          <w:sz w:val="24"/>
          <w:highlight w:val="none"/>
          <w:lang w:val="en-US" w:eastAsia="zh-CN"/>
        </w:rPr>
        <w:t>工件条件：</w:t>
      </w:r>
    </w:p>
    <w:p w14:paraId="72B8BC4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2.1电源电压：220V+10%, 50Hz</w:t>
      </w:r>
      <w:r>
        <w:rPr>
          <w:rFonts w:hint="eastAsia" w:ascii="宋体" w:hAnsi="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60HZ</w:t>
      </w:r>
    </w:p>
    <w:p w14:paraId="7F18515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2.2温度：15</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-40</w:t>
      </w:r>
      <w:r>
        <w:rPr>
          <w:rFonts w:hint="eastAsia" w:ascii="宋体" w:hAnsi="宋体" w:eastAsia="宋体" w:cs="宋体"/>
          <w:b w:val="0"/>
          <w:bCs w:val="0"/>
          <w:color w:val="auto"/>
          <w:sz w:val="24"/>
          <w:highlight w:val="none"/>
          <w:lang w:val="en-US" w:eastAsia="zh-CN"/>
        </w:rPr>
        <w:t>℃</w:t>
      </w:r>
    </w:p>
    <w:p w14:paraId="60D0B45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2.3工作湿度：相对湿度20%-80%</w:t>
      </w:r>
    </w:p>
    <w:p w14:paraId="13D240F6">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default"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val="en-US" w:eastAsia="zh-CN"/>
        </w:rPr>
        <w:t>、</w:t>
      </w:r>
      <w:r>
        <w:rPr>
          <w:rFonts w:hint="default" w:ascii="宋体" w:hAnsi="宋体" w:eastAsia="宋体" w:cs="宋体"/>
          <w:b/>
          <w:bCs/>
          <w:color w:val="auto"/>
          <w:sz w:val="24"/>
          <w:highlight w:val="none"/>
          <w:lang w:val="en-US" w:eastAsia="zh-CN"/>
        </w:rPr>
        <w:t>技术指标：</w:t>
      </w:r>
    </w:p>
    <w:p w14:paraId="4986DDA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3.1</w:t>
      </w:r>
      <w:r>
        <w:rPr>
          <w:rFonts w:hint="eastAsia" w:ascii="宋体" w:hAnsi="宋体" w:eastAsia="宋体" w:cs="宋体"/>
          <w:b w:val="0"/>
          <w:bCs w:val="0"/>
          <w:color w:val="auto"/>
          <w:sz w:val="24"/>
          <w:highlight w:val="none"/>
          <w:lang w:val="en-US" w:eastAsia="zh-CN"/>
        </w:rPr>
        <w:t>双加热模块：</w:t>
      </w:r>
    </w:p>
    <w:p w14:paraId="7FE98E0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1.1含远红外陶瓷加热和水蒸气加热的双加热模式，两种加热模式共用一套结构，可以根据工作需要选择切换。</w:t>
      </w:r>
    </w:p>
    <w:p w14:paraId="73BCA6E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1.2 水蒸气加热模块：主机内置水蒸气发生装置，加热功率0-500W（可调），6路加热独立控制。蒸气发生装置具有超温报警功能。</w:t>
      </w:r>
    </w:p>
    <w:p w14:paraId="2C63601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1.3设备设有纯水箱，实现纯水箱及蒸气发生装置内的缺水自动补水功能，具有缺水报警功能，并停止加热。</w:t>
      </w:r>
    </w:p>
    <w:p w14:paraId="5551442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1.4 陶瓷电加热模块：主机内置远红外陶瓷辐射加热装置，加热功率0-500w（可调），6路加热独立控制。</w:t>
      </w:r>
    </w:p>
    <w:p w14:paraId="79448AC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.1.5</w:t>
      </w:r>
      <w:r>
        <w:rPr>
          <w:rFonts w:hint="eastAsia" w:ascii="宋体" w:hAnsi="宋体" w:eastAsia="宋体" w:cs="宋体"/>
          <w:b w:val="0"/>
          <w:bCs w:val="0"/>
          <w:color w:val="auto"/>
          <w:sz w:val="24"/>
          <w:highlight w:val="none"/>
          <w:lang w:val="en-US" w:eastAsia="zh-CN"/>
        </w:rPr>
        <w:t>主机最大长度不得超过1</w:t>
      </w:r>
      <w:r>
        <w:rPr>
          <w:rFonts w:hint="default" w:ascii="宋体" w:hAnsi="宋体" w:eastAsia="宋体" w:cs="宋体"/>
          <w:b w:val="0"/>
          <w:bCs w:val="0"/>
          <w:color w:val="auto"/>
          <w:sz w:val="24"/>
          <w:highlight w:val="none"/>
          <w:lang w:val="en-US" w:eastAsia="zh-CN"/>
        </w:rPr>
        <w:t>200mm</w:t>
      </w:r>
      <w:r>
        <w:rPr>
          <w:rFonts w:hint="eastAsia" w:ascii="宋体" w:hAnsi="宋体" w:eastAsia="宋体" w:cs="宋体"/>
          <w:b w:val="0"/>
          <w:bCs w:val="0"/>
          <w:color w:val="auto"/>
          <w:sz w:val="24"/>
          <w:highlight w:val="none"/>
          <w:lang w:val="en-US" w:eastAsia="zh-CN"/>
        </w:rPr>
        <w:t>。</w:t>
      </w:r>
    </w:p>
    <w:p w14:paraId="521EE3A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3.2</w:t>
      </w:r>
      <w:r>
        <w:rPr>
          <w:rFonts w:hint="eastAsia" w:ascii="宋体" w:hAnsi="宋体" w:eastAsia="宋体" w:cs="宋体"/>
          <w:b w:val="0"/>
          <w:bCs w:val="0"/>
          <w:color w:val="auto"/>
          <w:sz w:val="24"/>
          <w:highlight w:val="none"/>
          <w:lang w:val="en-US" w:eastAsia="zh-CN"/>
        </w:rPr>
        <w:t>自动加酸单元：</w:t>
      </w:r>
    </w:p>
    <w:p w14:paraId="28A7EA6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2.1 自动加酸模块：设备集成自动加酸装置，每路可独立控制加酸量的设定。</w:t>
      </w:r>
    </w:p>
    <w:p w14:paraId="759ADBC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2.2 食品/中药二氧化硫测定实验中，只需一键启动加热功能，即可完成盐酸自动添加，随即自动启动加热，无需再人工操作加酸。</w:t>
      </w:r>
    </w:p>
    <w:p w14:paraId="49A9A6E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3.3</w:t>
      </w:r>
      <w:r>
        <w:rPr>
          <w:rFonts w:hint="eastAsia" w:ascii="宋体" w:hAnsi="宋体" w:eastAsia="宋体" w:cs="宋体"/>
          <w:b w:val="0"/>
          <w:bCs w:val="0"/>
          <w:color w:val="auto"/>
          <w:sz w:val="24"/>
          <w:highlight w:val="none"/>
          <w:lang w:val="en-US" w:eastAsia="zh-CN"/>
        </w:rPr>
        <w:t>氮气控制单元</w:t>
      </w:r>
    </w:p>
    <w:p w14:paraId="287CD0D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3.1 主机设有6路独立的氮气流量控制阀，氮气流量控制范围：100-2000</w:t>
      </w:r>
      <w:r>
        <w:rPr>
          <w:rFonts w:hint="eastAsia" w:ascii="宋体" w:hAnsi="宋体" w:cs="宋体"/>
          <w:b w:val="0"/>
          <w:bCs w:val="0"/>
          <w:color w:val="auto"/>
          <w:sz w:val="24"/>
          <w:highlight w:val="none"/>
          <w:lang w:val="en-US" w:eastAsia="zh-CN"/>
        </w:rPr>
        <w:t>mL</w:t>
      </w:r>
      <w:r>
        <w:rPr>
          <w:rFonts w:hint="eastAsia" w:ascii="宋体" w:hAnsi="宋体" w:eastAsia="宋体" w:cs="宋体"/>
          <w:b w:val="0"/>
          <w:bCs w:val="0"/>
          <w:color w:val="auto"/>
          <w:sz w:val="24"/>
          <w:highlight w:val="none"/>
          <w:lang w:val="en-US" w:eastAsia="zh-CN"/>
        </w:rPr>
        <w:t>/min。</w:t>
      </w:r>
    </w:p>
    <w:p w14:paraId="04198D4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3.2 具有氮气稳压阀，保证气路的压力恒定，并保证安全。</w:t>
      </w:r>
    </w:p>
    <w:p w14:paraId="2D43CCD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3.3 具有氮气截止功能。实验开始后，氮气总阀可自动打开，实验结束后，氮气总阀可自动关闭。</w:t>
      </w:r>
    </w:p>
    <w:p w14:paraId="7611659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3.4</w:t>
      </w:r>
      <w:r>
        <w:rPr>
          <w:rFonts w:hint="eastAsia" w:ascii="宋体" w:hAnsi="宋体" w:eastAsia="宋体" w:cs="宋体"/>
          <w:b w:val="0"/>
          <w:bCs w:val="0"/>
          <w:color w:val="auto"/>
          <w:sz w:val="24"/>
          <w:highlight w:val="none"/>
          <w:lang w:val="en-US" w:eastAsia="zh-CN"/>
        </w:rPr>
        <w:t>气密性检测功能：为了确保蒸馏管路密封良好无泄漏，需有气密性检测功能，并显示每个通道的气密性状态。</w:t>
      </w:r>
    </w:p>
    <w:p w14:paraId="6358560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3.5</w:t>
      </w:r>
      <w:r>
        <w:rPr>
          <w:rFonts w:hint="eastAsia" w:ascii="宋体" w:hAnsi="宋体" w:eastAsia="宋体" w:cs="宋体"/>
          <w:b w:val="0"/>
          <w:bCs w:val="0"/>
          <w:color w:val="auto"/>
          <w:sz w:val="24"/>
          <w:highlight w:val="none"/>
          <w:lang w:val="en-US" w:eastAsia="zh-CN"/>
        </w:rPr>
        <w:t>控制单元：</w:t>
      </w:r>
    </w:p>
    <w:p w14:paraId="230F074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5.1 主机控制系统采用液晶触摸屏设计，便于用户操作及观察。</w:t>
      </w:r>
    </w:p>
    <w:p w14:paraId="7A9A3D2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5.2 多模式切换功能设计：共设置多个操作界面，供不同实验操作选择，包括气密性检测界面、蒸馏界面、水蒸气蒸馏界面等。</w:t>
      </w:r>
    </w:p>
    <w:p w14:paraId="0DBA62F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3.6</w:t>
      </w:r>
      <w:r>
        <w:rPr>
          <w:rFonts w:hint="eastAsia" w:ascii="宋体" w:hAnsi="宋体" w:eastAsia="宋体" w:cs="宋体"/>
          <w:b w:val="0"/>
          <w:bCs w:val="0"/>
          <w:color w:val="auto"/>
          <w:sz w:val="24"/>
          <w:highlight w:val="none"/>
          <w:lang w:val="en-US" w:eastAsia="zh-CN"/>
        </w:rPr>
        <w:t>蒸馏终点锁定单元</w:t>
      </w:r>
    </w:p>
    <w:p w14:paraId="4BF426C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6.1 主机采用压力传感器结构，蒸馏终点控制单元采用压力传感器控制技术，能单孔设定馏出液体积或同等换算单位值，范围：1-500</w:t>
      </w:r>
      <w:r>
        <w:rPr>
          <w:rFonts w:hint="eastAsia" w:ascii="宋体" w:hAnsi="宋体" w:cs="宋体"/>
          <w:b w:val="0"/>
          <w:bCs w:val="0"/>
          <w:color w:val="auto"/>
          <w:sz w:val="24"/>
          <w:highlight w:val="none"/>
          <w:lang w:val="en-US" w:eastAsia="zh-CN"/>
        </w:rPr>
        <w:t>mL</w:t>
      </w:r>
      <w:r>
        <w:rPr>
          <w:rFonts w:hint="eastAsia" w:ascii="宋体" w:hAnsi="宋体" w:eastAsia="宋体" w:cs="宋体"/>
          <w:b w:val="0"/>
          <w:bCs w:val="0"/>
          <w:color w:val="auto"/>
          <w:sz w:val="24"/>
          <w:highlight w:val="none"/>
          <w:lang w:val="en-US" w:eastAsia="zh-CN"/>
        </w:rPr>
        <w:t>或1-500g，蒸馏结束可自动停止加热。</w:t>
      </w:r>
    </w:p>
    <w:p w14:paraId="7325ABA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6.2 主机设计有自动蒸馏、自动停止系统。蒸馏结束后系统能自动锁定馏出液出口，确保自动定量完成蒸馏作业。</w:t>
      </w:r>
    </w:p>
    <w:p w14:paraId="4F3D5BD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6.3 主机设计有废液排出口，以便蒸馏结束后残液的排出。</w:t>
      </w:r>
    </w:p>
    <w:p w14:paraId="6B1847C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3.7</w:t>
      </w:r>
      <w:r>
        <w:rPr>
          <w:rFonts w:hint="eastAsia" w:ascii="宋体" w:hAnsi="宋体" w:eastAsia="宋体" w:cs="宋体"/>
          <w:b w:val="0"/>
          <w:bCs w:val="0"/>
          <w:color w:val="auto"/>
          <w:sz w:val="24"/>
          <w:highlight w:val="none"/>
          <w:lang w:val="en-US" w:eastAsia="zh-CN"/>
        </w:rPr>
        <w:t>冷凝单元</w:t>
      </w:r>
    </w:p>
    <w:p w14:paraId="13A3D09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7.1 主机采用外置冷却水循环机，主机与冷水机需设计有联动功能，即主机启动冷水机启动；主机关机冷水机可自动关停。</w:t>
      </w:r>
    </w:p>
    <w:p w14:paraId="3A89DEB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7.2 可根据不同实验选配不同型号的冷凝管，如：蛇形冷凝管，回流型冷凝管等。</w:t>
      </w:r>
    </w:p>
    <w:p w14:paraId="390D924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3.8氮气发生器：</w:t>
      </w:r>
    </w:p>
    <w:p w14:paraId="3D81067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.8.1氮气纯度：≥99.9％</w:t>
      </w:r>
    </w:p>
    <w:p w14:paraId="454DBE7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3.8.2输出流量：≥1</w:t>
      </w:r>
      <w:r>
        <w:rPr>
          <w:rFonts w:hint="eastAsia" w:ascii="宋体" w:hAnsi="宋体" w:eastAsia="宋体" w:cs="宋体"/>
          <w:b w:val="0"/>
          <w:bCs w:val="0"/>
          <w:color w:val="auto"/>
          <w:sz w:val="24"/>
          <w:highlight w:val="none"/>
          <w:lang w:val="en-US" w:eastAsia="zh-CN"/>
        </w:rPr>
        <w:t>2</w:t>
      </w:r>
      <w:r>
        <w:rPr>
          <w:rFonts w:hint="default" w:ascii="宋体" w:hAnsi="宋体" w:eastAsia="宋体" w:cs="宋体"/>
          <w:b w:val="0"/>
          <w:bCs w:val="0"/>
          <w:color w:val="auto"/>
          <w:sz w:val="24"/>
          <w:highlight w:val="none"/>
          <w:lang w:val="en-US" w:eastAsia="zh-CN"/>
        </w:rPr>
        <w:t>L/min</w:t>
      </w:r>
    </w:p>
    <w:p w14:paraId="405262D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.8.3输出压力：0-0.5Mpa</w:t>
      </w:r>
    </w:p>
    <w:p w14:paraId="5B2B04C8">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4</w:t>
      </w:r>
      <w:r>
        <w:rPr>
          <w:rFonts w:hint="default" w:ascii="宋体" w:hAnsi="宋体" w:eastAsia="宋体" w:cs="宋体"/>
          <w:b/>
          <w:bCs/>
          <w:color w:val="auto"/>
          <w:sz w:val="24"/>
          <w:highlight w:val="none"/>
          <w:lang w:val="en-US" w:eastAsia="zh-CN"/>
        </w:rPr>
        <w:t>、主要配置：</w:t>
      </w:r>
    </w:p>
    <w:p w14:paraId="25D3F9F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.1主机1台</w:t>
      </w:r>
    </w:p>
    <w:p w14:paraId="59BAE3F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.2液晶触摸屏1个</w:t>
      </w:r>
    </w:p>
    <w:p w14:paraId="603D56B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.3 双加热模块6套</w:t>
      </w:r>
    </w:p>
    <w:p w14:paraId="7C906C9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.4 冷凝管6套</w:t>
      </w:r>
    </w:p>
    <w:p w14:paraId="2B584FE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.5 1000</w:t>
      </w:r>
      <w:r>
        <w:rPr>
          <w:rFonts w:hint="eastAsia" w:ascii="宋体" w:hAnsi="宋体" w:cs="宋体"/>
          <w:b w:val="0"/>
          <w:bCs w:val="0"/>
          <w:color w:val="auto"/>
          <w:sz w:val="24"/>
          <w:highlight w:val="none"/>
          <w:lang w:val="en-US" w:eastAsia="zh-CN"/>
        </w:rPr>
        <w:t>mL</w:t>
      </w:r>
      <w:r>
        <w:rPr>
          <w:rFonts w:hint="eastAsia" w:ascii="宋体" w:hAnsi="宋体" w:eastAsia="宋体" w:cs="宋体"/>
          <w:b w:val="0"/>
          <w:bCs w:val="0"/>
          <w:color w:val="auto"/>
          <w:sz w:val="24"/>
          <w:highlight w:val="none"/>
          <w:lang w:val="en-US" w:eastAsia="zh-CN"/>
        </w:rPr>
        <w:t>双口烧瓶6个及配套烧瓶支架1副</w:t>
      </w:r>
    </w:p>
    <w:p w14:paraId="0BEA27B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.6 氮气流量控制计（控制范围：0.1-2L）6个</w:t>
      </w:r>
    </w:p>
    <w:p w14:paraId="6CC4416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.7 质量传感器模块（设定范围：0-1000g）6组</w:t>
      </w:r>
    </w:p>
    <w:p w14:paraId="767DC2E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.8 冷水机1台</w:t>
      </w:r>
    </w:p>
    <w:p w14:paraId="28F7A1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val="en-US" w:eastAsia="zh-CN"/>
        </w:rPr>
        <w:t>.9氮气发生器1台</w:t>
      </w:r>
    </w:p>
    <w:p w14:paraId="26D2F2CD">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5</w:t>
      </w:r>
      <w:r>
        <w:rPr>
          <w:rFonts w:hint="default" w:ascii="宋体" w:hAnsi="宋体" w:eastAsia="宋体" w:cs="宋体"/>
          <w:b/>
          <w:bCs/>
          <w:color w:val="auto"/>
          <w:sz w:val="24"/>
          <w:highlight w:val="none"/>
          <w:lang w:val="en-US" w:eastAsia="zh-CN"/>
        </w:rPr>
        <w:t>、技术资料：</w:t>
      </w:r>
      <w:r>
        <w:rPr>
          <w:rFonts w:hint="default" w:ascii="宋体" w:hAnsi="宋体" w:eastAsia="宋体" w:cs="宋体"/>
          <w:b w:val="0"/>
          <w:bCs w:val="0"/>
          <w:color w:val="auto"/>
          <w:sz w:val="24"/>
          <w:highlight w:val="none"/>
          <w:lang w:val="en-US" w:eastAsia="zh-CN"/>
        </w:rPr>
        <w:t>说明书、合格证1套</w:t>
      </w:r>
    </w:p>
    <w:p w14:paraId="66DBBCED">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6</w:t>
      </w:r>
      <w:r>
        <w:rPr>
          <w:rFonts w:hint="default" w:ascii="宋体" w:hAnsi="宋体" w:eastAsia="宋体" w:cs="宋体"/>
          <w:b/>
          <w:bCs/>
          <w:color w:val="auto"/>
          <w:sz w:val="24"/>
          <w:highlight w:val="none"/>
          <w:lang w:val="en-US" w:eastAsia="zh-CN"/>
        </w:rPr>
        <w:t>、售后服务与国内培训：</w:t>
      </w:r>
    </w:p>
    <w:p w14:paraId="228516E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.1 设备安装、调试和验收：</w:t>
      </w:r>
    </w:p>
    <w:p w14:paraId="24209C7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仪器到达最终用户现场并且实验室条件合格后，在接到用户通知后，中标商需安排有经验的工程技术人员到用户现场安装、调试仪器，按验收指标逐项测试，直至达到验收要求。</w:t>
      </w:r>
    </w:p>
    <w:p w14:paraId="107DD86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.2 技术培训要求</w:t>
      </w:r>
      <w:r>
        <w:rPr>
          <w:rFonts w:hint="eastAsia" w:ascii="宋体" w:hAnsi="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 xml:space="preserve">安装验收期间，在用户所在地对用户进行仪器操作和日常维护的现场培训。 </w:t>
      </w:r>
    </w:p>
    <w:p w14:paraId="52E1D1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.3 保修期：</w:t>
      </w:r>
      <w:r>
        <w:rPr>
          <w:rFonts w:hint="eastAsia" w:ascii="宋体" w:hAnsi="宋体" w:eastAsia="宋体" w:cs="宋体"/>
          <w:b w:val="0"/>
          <w:bCs w:val="0"/>
          <w:color w:val="auto"/>
          <w:sz w:val="24"/>
          <w:highlight w:val="none"/>
          <w:lang w:val="en-US" w:eastAsia="zh-CN"/>
        </w:rPr>
        <w:t>二</w:t>
      </w:r>
      <w:r>
        <w:rPr>
          <w:rFonts w:hint="default" w:ascii="宋体" w:hAnsi="宋体" w:eastAsia="宋体" w:cs="宋体"/>
          <w:b w:val="0"/>
          <w:bCs w:val="0"/>
          <w:color w:val="auto"/>
          <w:sz w:val="24"/>
          <w:highlight w:val="none"/>
          <w:lang w:val="en-US" w:eastAsia="zh-CN"/>
        </w:rPr>
        <w:t>年免费保修。自设备验收合格之日起计算。</w:t>
      </w:r>
    </w:p>
    <w:p w14:paraId="356A0591">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7</w:t>
      </w:r>
      <w:r>
        <w:rPr>
          <w:rFonts w:hint="default" w:ascii="宋体" w:hAnsi="宋体" w:eastAsia="宋体" w:cs="宋体"/>
          <w:b/>
          <w:bCs/>
          <w:color w:val="auto"/>
          <w:sz w:val="24"/>
          <w:highlight w:val="none"/>
          <w:lang w:val="en-US" w:eastAsia="zh-CN"/>
        </w:rPr>
        <w:t>、验收：</w:t>
      </w:r>
      <w:r>
        <w:rPr>
          <w:rFonts w:hint="default" w:ascii="宋体" w:hAnsi="宋体" w:eastAsia="宋体" w:cs="宋体"/>
          <w:b w:val="0"/>
          <w:bCs w:val="0"/>
          <w:color w:val="auto"/>
          <w:sz w:val="24"/>
          <w:highlight w:val="none"/>
          <w:lang w:val="en-US" w:eastAsia="zh-CN"/>
        </w:rPr>
        <w:t>仪器到货后一周内，由厂家工程师同用户共同开箱验货，并进行免费安装调试。安装调试结束，双方签字盖章确认。</w:t>
      </w:r>
    </w:p>
    <w:p w14:paraId="73A9BC5E">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p>
    <w:p w14:paraId="25BA1CA3">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eastAsia="zh-CN"/>
        </w:rPr>
        <w:t>（七）</w:t>
      </w:r>
      <w:r>
        <w:rPr>
          <w:rFonts w:hint="eastAsia" w:ascii="宋体" w:hAnsi="宋体" w:eastAsia="宋体" w:cs="宋体"/>
          <w:b/>
          <w:bCs/>
          <w:color w:val="auto"/>
          <w:sz w:val="24"/>
          <w:highlight w:val="none"/>
          <w:lang w:val="en-US" w:eastAsia="zh-CN"/>
        </w:rPr>
        <w:t>防爆冰箱</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10</w:t>
      </w:r>
      <w:r>
        <w:rPr>
          <w:rFonts w:hint="eastAsia" w:cs="宋体"/>
          <w:color w:val="auto"/>
          <w:sz w:val="24"/>
          <w:highlight w:val="none"/>
        </w:rPr>
        <w:t>项，主要配置</w:t>
      </w:r>
      <w:r>
        <w:rPr>
          <w:rFonts w:hint="eastAsia" w:cs="宋体"/>
          <w:color w:val="auto"/>
          <w:sz w:val="24"/>
          <w:highlight w:val="none"/>
          <w:lang w:val="en-US" w:eastAsia="zh-CN"/>
        </w:rPr>
        <w:t>2</w:t>
      </w:r>
      <w:r>
        <w:rPr>
          <w:rFonts w:hint="eastAsia" w:cs="宋体"/>
          <w:color w:val="auto"/>
          <w:sz w:val="24"/>
          <w:highlight w:val="none"/>
        </w:rPr>
        <w:t>项</w:t>
      </w:r>
      <w:r>
        <w:rPr>
          <w:rFonts w:hint="eastAsia" w:cs="宋体"/>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“★”1项，“▲”</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项。</w:t>
      </w:r>
    </w:p>
    <w:p w14:paraId="601E17AD">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bCs/>
          <w:color w:val="auto"/>
          <w:sz w:val="24"/>
          <w:highlight w:val="none"/>
          <w:lang w:val="en-US" w:eastAsia="zh-CN"/>
        </w:rPr>
        <w:t>1、主要用途：</w:t>
      </w:r>
      <w:r>
        <w:rPr>
          <w:rFonts w:hint="eastAsia" w:ascii="宋体" w:hAnsi="宋体" w:eastAsia="宋体" w:cs="宋体"/>
          <w:b w:val="0"/>
          <w:bCs w:val="0"/>
          <w:color w:val="auto"/>
          <w:sz w:val="24"/>
          <w:highlight w:val="none"/>
          <w:lang w:val="en-US" w:eastAsia="zh-CN"/>
        </w:rPr>
        <w:t>用于实验室中易燃易爆试剂样品等危险化学品的存放</w:t>
      </w:r>
      <w:r>
        <w:rPr>
          <w:rFonts w:hint="default" w:ascii="宋体" w:hAnsi="宋体" w:eastAsia="宋体" w:cs="宋体"/>
          <w:b w:val="0"/>
          <w:bCs w:val="0"/>
          <w:color w:val="auto"/>
          <w:sz w:val="24"/>
          <w:highlight w:val="none"/>
          <w:lang w:val="en-US" w:eastAsia="zh-CN"/>
        </w:rPr>
        <w:t>。</w:t>
      </w:r>
    </w:p>
    <w:p w14:paraId="69AB9B3B">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default" w:ascii="宋体" w:hAnsi="宋体" w:eastAsia="宋体" w:cs="宋体"/>
          <w:b/>
          <w:bCs/>
          <w:color w:val="auto"/>
          <w:sz w:val="24"/>
          <w:highlight w:val="none"/>
          <w:lang w:val="en-US" w:eastAsia="zh-CN"/>
        </w:rPr>
        <w:t>2、工作条件：</w:t>
      </w:r>
    </w:p>
    <w:p w14:paraId="3FDCAF0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2.1</w:t>
      </w:r>
      <w:r>
        <w:rPr>
          <w:rFonts w:hint="eastAsia" w:ascii="宋体" w:hAnsi="宋体" w:eastAsia="宋体" w:cs="宋体"/>
          <w:b w:val="0"/>
          <w:bCs w:val="0"/>
          <w:color w:val="auto"/>
          <w:sz w:val="24"/>
          <w:highlight w:val="none"/>
          <w:lang w:val="en-US" w:eastAsia="zh-CN"/>
        </w:rPr>
        <w:t>电源电压：</w:t>
      </w:r>
      <w:r>
        <w:rPr>
          <w:rFonts w:hint="default" w:ascii="宋体" w:hAnsi="宋体" w:eastAsia="宋体" w:cs="宋体"/>
          <w:b w:val="0"/>
          <w:bCs w:val="0"/>
          <w:color w:val="auto"/>
          <w:sz w:val="24"/>
          <w:highlight w:val="none"/>
          <w:lang w:val="en-US" w:eastAsia="zh-CN"/>
        </w:rPr>
        <w:t>220V+10%, 50Hz</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60HZ</w:t>
      </w:r>
      <w:r>
        <w:rPr>
          <w:rFonts w:hint="eastAsia" w:ascii="宋体" w:hAnsi="宋体" w:eastAsia="宋体" w:cs="宋体"/>
          <w:b w:val="0"/>
          <w:bCs w:val="0"/>
          <w:color w:val="auto"/>
          <w:sz w:val="24"/>
          <w:highlight w:val="none"/>
          <w:lang w:val="en-US" w:eastAsia="zh-CN"/>
        </w:rPr>
        <w:t>；</w:t>
      </w:r>
    </w:p>
    <w:p w14:paraId="5C9768E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2.2环境温度：室温</w:t>
      </w:r>
    </w:p>
    <w:p w14:paraId="33B818B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2.3工作湿度：相对湿度20-80%。</w:t>
      </w:r>
    </w:p>
    <w:p w14:paraId="2B9BE3E8">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bCs/>
          <w:color w:val="auto"/>
          <w:sz w:val="24"/>
          <w:highlight w:val="none"/>
          <w:lang w:val="en-US" w:eastAsia="zh-CN"/>
        </w:rPr>
        <w:t>3、技术指标要求：</w:t>
      </w:r>
    </w:p>
    <w:p w14:paraId="7A2FE7F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▲3.1 容积：3</w:t>
      </w:r>
      <w:r>
        <w:rPr>
          <w:rFonts w:hint="default" w:ascii="宋体" w:hAnsi="宋体" w:eastAsia="宋体" w:cs="宋体"/>
          <w:b w:val="0"/>
          <w:bCs w:val="0"/>
          <w:color w:val="auto"/>
          <w:sz w:val="24"/>
          <w:highlight w:val="none"/>
          <w:lang w:val="en-US" w:eastAsia="zh-CN"/>
        </w:rPr>
        <w:t>00</w:t>
      </w:r>
      <w:r>
        <w:rPr>
          <w:rFonts w:hint="eastAsia" w:ascii="宋体" w:hAnsi="宋体" w:eastAsia="宋体" w:cs="宋体"/>
          <w:b w:val="0"/>
          <w:bCs w:val="0"/>
          <w:color w:val="auto"/>
          <w:sz w:val="24"/>
          <w:highlight w:val="none"/>
          <w:lang w:val="en-US" w:eastAsia="zh-CN"/>
        </w:rPr>
        <w:t>—4</w:t>
      </w:r>
      <w:r>
        <w:rPr>
          <w:rFonts w:hint="default" w:ascii="宋体" w:hAnsi="宋体" w:eastAsia="宋体" w:cs="宋体"/>
          <w:b w:val="0"/>
          <w:bCs w:val="0"/>
          <w:color w:val="auto"/>
          <w:sz w:val="24"/>
          <w:highlight w:val="none"/>
          <w:lang w:val="en-US" w:eastAsia="zh-CN"/>
        </w:rPr>
        <w:t>50</w:t>
      </w:r>
      <w:r>
        <w:rPr>
          <w:rFonts w:hint="eastAsia" w:ascii="宋体" w:hAnsi="宋体" w:eastAsia="宋体" w:cs="宋体"/>
          <w:b w:val="0"/>
          <w:bCs w:val="0"/>
          <w:color w:val="auto"/>
          <w:sz w:val="24"/>
          <w:highlight w:val="none"/>
          <w:lang w:val="en-US" w:eastAsia="zh-CN"/>
        </w:rPr>
        <w:t xml:space="preserve"> L；</w:t>
      </w:r>
    </w:p>
    <w:p w14:paraId="6191C1F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3.2 温度范围：2℃</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8℃（风冷无霜）；</w:t>
      </w:r>
    </w:p>
    <w:p w14:paraId="6789656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3.3 控温精度：±0.1℃，LED数码显示；</w:t>
      </w:r>
    </w:p>
    <w:p w14:paraId="5E2F2B6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3.4 电源/功率：220V/50Hz，330 W；</w:t>
      </w:r>
    </w:p>
    <w:p w14:paraId="41ADBB7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★3.5 防爆等级：Ex d e ib mb IIB T4 Gb，有防爆合格证；</w:t>
      </w:r>
    </w:p>
    <w:p w14:paraId="4C26BB2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3.6 防爆设计：304不锈钢内胆；防爆插销；</w:t>
      </w:r>
    </w:p>
    <w:p w14:paraId="4799CC0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3.7 报警保护：高低温、开门、传感器故障、断电报警；备用电池支持断电报警48小时；</w:t>
      </w:r>
    </w:p>
    <w:p w14:paraId="5323B15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3.8键盘锁+密码保护；断电延时启动；</w:t>
      </w:r>
    </w:p>
    <w:p w14:paraId="74905C3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w:t>
      </w:r>
      <w:r>
        <w:rPr>
          <w:rFonts w:hint="default"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9</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有安装温湿度记录仪的测试孔。</w:t>
      </w:r>
    </w:p>
    <w:p w14:paraId="483D921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bCs/>
          <w:color w:val="auto"/>
          <w:sz w:val="24"/>
          <w:highlight w:val="none"/>
          <w:lang w:val="en-US" w:eastAsia="zh-CN"/>
        </w:rPr>
      </w:pPr>
      <w:r>
        <w:rPr>
          <w:rFonts w:hint="eastAsia" w:ascii="宋体" w:hAnsi="宋体" w:cs="宋体"/>
          <w:b w:val="0"/>
          <w:bCs w:val="0"/>
          <w:color w:val="auto"/>
          <w:sz w:val="24"/>
          <w:highlight w:val="none"/>
          <w:lang w:val="en-US" w:eastAsia="zh-CN"/>
        </w:rPr>
        <w:t>3.10</w:t>
      </w:r>
      <w:r>
        <w:rPr>
          <w:rFonts w:hint="eastAsia" w:ascii="宋体" w:hAnsi="宋体" w:eastAsia="宋体" w:cs="宋体"/>
          <w:b w:val="0"/>
          <w:bCs w:val="0"/>
          <w:color w:val="auto"/>
          <w:sz w:val="24"/>
          <w:highlight w:val="none"/>
          <w:lang w:val="en-US" w:eastAsia="zh-CN"/>
        </w:rPr>
        <w:t>结构与性能：</w:t>
      </w:r>
    </w:p>
    <w:p w14:paraId="052FDB2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3.10.1</w:t>
      </w:r>
      <w:r>
        <w:rPr>
          <w:rFonts w:hint="eastAsia" w:ascii="宋体" w:hAnsi="宋体" w:eastAsia="宋体" w:cs="宋体"/>
          <w:b w:val="0"/>
          <w:bCs w:val="0"/>
          <w:color w:val="auto"/>
          <w:sz w:val="24"/>
          <w:highlight w:val="none"/>
          <w:lang w:val="en-US" w:eastAsia="zh-CN"/>
        </w:rPr>
        <w:t>制冷：风冷背吹，温度均匀；碳氢制冷剂；</w:t>
      </w:r>
    </w:p>
    <w:p w14:paraId="2885F24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3.10.2</w:t>
      </w:r>
      <w:r>
        <w:rPr>
          <w:rFonts w:hint="eastAsia" w:ascii="宋体" w:hAnsi="宋体" w:eastAsia="宋体" w:cs="宋体"/>
          <w:b w:val="0"/>
          <w:bCs w:val="0"/>
          <w:color w:val="auto"/>
          <w:sz w:val="24"/>
          <w:highlight w:val="none"/>
          <w:lang w:val="en-US" w:eastAsia="zh-CN"/>
        </w:rPr>
        <w:t>立式，发泡避光门，隔热层为无C</w:t>
      </w:r>
      <w:r>
        <w:rPr>
          <w:rFonts w:hint="default" w:ascii="宋体" w:hAnsi="宋体" w:eastAsia="宋体" w:cs="宋体"/>
          <w:b w:val="0"/>
          <w:bCs w:val="0"/>
          <w:color w:val="auto"/>
          <w:sz w:val="24"/>
          <w:highlight w:val="none"/>
          <w:lang w:val="en-US" w:eastAsia="zh-CN"/>
        </w:rPr>
        <w:t>FC</w:t>
      </w:r>
      <w:r>
        <w:rPr>
          <w:rFonts w:hint="eastAsia" w:ascii="宋体" w:hAnsi="宋体" w:eastAsia="宋体" w:cs="宋体"/>
          <w:b w:val="0"/>
          <w:bCs w:val="0"/>
          <w:color w:val="auto"/>
          <w:sz w:val="24"/>
          <w:highlight w:val="none"/>
          <w:lang w:val="en-US" w:eastAsia="zh-CN"/>
        </w:rPr>
        <w:t>高密度聚氨酯发泡；</w:t>
      </w:r>
    </w:p>
    <w:p w14:paraId="78855E7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3.10.3</w:t>
      </w:r>
      <w:r>
        <w:rPr>
          <w:rFonts w:hint="eastAsia" w:ascii="宋体" w:hAnsi="宋体" w:eastAsia="宋体" w:cs="宋体"/>
          <w:b w:val="0"/>
          <w:bCs w:val="0"/>
          <w:color w:val="auto"/>
          <w:sz w:val="24"/>
          <w:highlight w:val="none"/>
          <w:lang w:val="en-US" w:eastAsia="zh-CN"/>
        </w:rPr>
        <w:t>搁架：5层可调网架；</w:t>
      </w:r>
    </w:p>
    <w:p w14:paraId="6BC9330E">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4</w:t>
      </w:r>
      <w:r>
        <w:rPr>
          <w:rFonts w:hint="default" w:ascii="宋体" w:hAnsi="宋体" w:eastAsia="宋体" w:cs="宋体"/>
          <w:b/>
          <w:bCs/>
          <w:color w:val="auto"/>
          <w:sz w:val="24"/>
          <w:highlight w:val="none"/>
          <w:lang w:val="en-US" w:eastAsia="zh-CN"/>
        </w:rPr>
        <w:t>、主要配置：</w:t>
      </w:r>
    </w:p>
    <w:p w14:paraId="1F2BA1C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4.1</w:t>
      </w:r>
      <w:r>
        <w:rPr>
          <w:rFonts w:hint="eastAsia" w:ascii="宋体" w:hAnsi="宋体" w:eastAsia="宋体" w:cs="宋体"/>
          <w:b w:val="0"/>
          <w:bCs w:val="0"/>
          <w:color w:val="auto"/>
          <w:sz w:val="24"/>
          <w:highlight w:val="none"/>
          <w:lang w:val="en-US" w:eastAsia="zh-CN"/>
        </w:rPr>
        <w:t>主机1台</w:t>
      </w:r>
    </w:p>
    <w:p w14:paraId="72A11FF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4.2</w:t>
      </w:r>
      <w:r>
        <w:rPr>
          <w:rFonts w:hint="eastAsia" w:ascii="宋体" w:hAnsi="宋体" w:eastAsia="宋体" w:cs="宋体"/>
          <w:b w:val="0"/>
          <w:bCs w:val="0"/>
          <w:color w:val="auto"/>
          <w:sz w:val="24"/>
          <w:highlight w:val="none"/>
          <w:lang w:val="en-US" w:eastAsia="zh-CN"/>
        </w:rPr>
        <w:t>网架5个</w:t>
      </w:r>
    </w:p>
    <w:p w14:paraId="35BA184F">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5</w:t>
      </w:r>
      <w:r>
        <w:rPr>
          <w:rFonts w:hint="default" w:ascii="宋体" w:hAnsi="宋体" w:eastAsia="宋体" w:cs="宋体"/>
          <w:b/>
          <w:bCs/>
          <w:color w:val="auto"/>
          <w:sz w:val="24"/>
          <w:highlight w:val="none"/>
          <w:lang w:val="en-US" w:eastAsia="zh-CN"/>
        </w:rPr>
        <w:t>、技术资料：</w:t>
      </w:r>
      <w:r>
        <w:rPr>
          <w:rFonts w:hint="default" w:ascii="宋体" w:hAnsi="宋体" w:eastAsia="宋体" w:cs="宋体"/>
          <w:b w:val="0"/>
          <w:bCs w:val="0"/>
          <w:color w:val="auto"/>
          <w:sz w:val="24"/>
          <w:highlight w:val="none"/>
          <w:lang w:val="en-US" w:eastAsia="zh-CN"/>
        </w:rPr>
        <w:t>说明书、合格证1套</w:t>
      </w:r>
    </w:p>
    <w:p w14:paraId="5335DA76">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6</w:t>
      </w:r>
      <w:r>
        <w:rPr>
          <w:rFonts w:hint="default" w:ascii="宋体" w:hAnsi="宋体" w:eastAsia="宋体" w:cs="宋体"/>
          <w:b/>
          <w:bCs/>
          <w:color w:val="auto"/>
          <w:sz w:val="24"/>
          <w:highlight w:val="none"/>
          <w:lang w:val="en-US" w:eastAsia="zh-CN"/>
        </w:rPr>
        <w:t>、售后服务与国内培训：</w:t>
      </w:r>
    </w:p>
    <w:p w14:paraId="44161E5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.1 设备安装、调试和验收：</w:t>
      </w:r>
    </w:p>
    <w:p w14:paraId="1BED9E9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仪器到达最终用户现场并且实验室条件合格后，在接到用户通知后，中标商需安排有经验的工程技术人员到用户现场安装、调试仪器，按验收指标逐项测试，直至达到验收要求。</w:t>
      </w:r>
    </w:p>
    <w:p w14:paraId="68813A8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.2 技术培训要求</w:t>
      </w:r>
      <w:r>
        <w:rPr>
          <w:rFonts w:hint="eastAsia" w:ascii="宋体" w:hAnsi="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 xml:space="preserve">安装验收期间，在用户所在地对用户进行仪器操作和日常维护的现场培训。 </w:t>
      </w:r>
    </w:p>
    <w:p w14:paraId="291EC73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w:t>
      </w:r>
      <w:r>
        <w:rPr>
          <w:rFonts w:hint="default" w:ascii="宋体" w:hAnsi="宋体" w:eastAsia="宋体" w:cs="宋体"/>
          <w:b w:val="0"/>
          <w:bCs w:val="0"/>
          <w:color w:val="auto"/>
          <w:sz w:val="24"/>
          <w:highlight w:val="none"/>
          <w:lang w:val="en-US" w:eastAsia="zh-CN"/>
        </w:rPr>
        <w:t>.3 保修期：</w:t>
      </w:r>
      <w:r>
        <w:rPr>
          <w:rFonts w:hint="eastAsia" w:ascii="宋体" w:hAnsi="宋体" w:eastAsia="宋体" w:cs="宋体"/>
          <w:b w:val="0"/>
          <w:bCs w:val="0"/>
          <w:color w:val="auto"/>
          <w:sz w:val="24"/>
          <w:highlight w:val="none"/>
          <w:lang w:val="en-US" w:eastAsia="zh-CN"/>
        </w:rPr>
        <w:t>二</w:t>
      </w:r>
      <w:r>
        <w:rPr>
          <w:rFonts w:hint="default" w:ascii="宋体" w:hAnsi="宋体" w:eastAsia="宋体" w:cs="宋体"/>
          <w:b w:val="0"/>
          <w:bCs w:val="0"/>
          <w:color w:val="auto"/>
          <w:sz w:val="24"/>
          <w:highlight w:val="none"/>
          <w:lang w:val="en-US" w:eastAsia="zh-CN"/>
        </w:rPr>
        <w:t>年免费保修。自设备验收合格之日起计算。</w:t>
      </w:r>
    </w:p>
    <w:p w14:paraId="1FF7E0B2">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7</w:t>
      </w:r>
      <w:r>
        <w:rPr>
          <w:rFonts w:hint="default" w:ascii="宋体" w:hAnsi="宋体" w:eastAsia="宋体" w:cs="宋体"/>
          <w:b/>
          <w:bCs/>
          <w:color w:val="auto"/>
          <w:sz w:val="24"/>
          <w:highlight w:val="none"/>
          <w:lang w:val="en-US" w:eastAsia="zh-CN"/>
        </w:rPr>
        <w:t>、验收：</w:t>
      </w:r>
      <w:r>
        <w:rPr>
          <w:rFonts w:hint="default" w:ascii="宋体" w:hAnsi="宋体" w:eastAsia="宋体" w:cs="宋体"/>
          <w:b w:val="0"/>
          <w:bCs w:val="0"/>
          <w:color w:val="auto"/>
          <w:sz w:val="24"/>
          <w:highlight w:val="none"/>
          <w:lang w:val="en-US" w:eastAsia="zh-CN"/>
        </w:rPr>
        <w:t>仪器到货后一周内，由厂家工程师同用户共同开箱验货，并进行免费安装调试。安装调试结束，双方签字盖章确认。</w:t>
      </w:r>
    </w:p>
    <w:p w14:paraId="3013F6A5">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p>
    <w:p w14:paraId="73069CA4">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（八）</w:t>
      </w:r>
      <w:r>
        <w:rPr>
          <w:rFonts w:hint="eastAsia" w:ascii="宋体" w:hAnsi="宋体" w:eastAsia="宋体" w:cs="宋体"/>
          <w:b/>
          <w:bCs/>
          <w:color w:val="auto"/>
          <w:sz w:val="24"/>
          <w:highlight w:val="none"/>
          <w:lang w:val="en-US" w:eastAsia="zh-CN"/>
        </w:rPr>
        <w:t>菌落计数器</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15</w:t>
      </w:r>
      <w:r>
        <w:rPr>
          <w:rFonts w:hint="eastAsia" w:cs="宋体"/>
          <w:color w:val="auto"/>
          <w:sz w:val="24"/>
          <w:highlight w:val="none"/>
        </w:rPr>
        <w:t>项，主要配置</w:t>
      </w:r>
      <w:r>
        <w:rPr>
          <w:rFonts w:hint="eastAsia" w:cs="宋体"/>
          <w:color w:val="auto"/>
          <w:sz w:val="24"/>
          <w:highlight w:val="none"/>
          <w:lang w:val="en-US" w:eastAsia="zh-CN"/>
        </w:rPr>
        <w:t>0</w:t>
      </w:r>
      <w:r>
        <w:rPr>
          <w:rFonts w:hint="eastAsia" w:cs="宋体"/>
          <w:color w:val="auto"/>
          <w:sz w:val="24"/>
          <w:highlight w:val="none"/>
        </w:rPr>
        <w:t>项</w:t>
      </w:r>
      <w:r>
        <w:rPr>
          <w:rFonts w:hint="eastAsia" w:cs="宋体"/>
          <w:color w:val="auto"/>
          <w:sz w:val="24"/>
          <w:highlight w:val="none"/>
          <w:lang w:eastAsia="zh-CN"/>
        </w:rPr>
        <w:t>。</w:t>
      </w:r>
    </w:p>
    <w:p w14:paraId="03794A81">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1</w:t>
      </w:r>
      <w:r>
        <w:rPr>
          <w:rFonts w:hint="default" w:ascii="宋体" w:hAnsi="宋体" w:eastAsia="宋体" w:cs="宋体"/>
          <w:b/>
          <w:bCs/>
          <w:color w:val="auto"/>
          <w:sz w:val="24"/>
          <w:highlight w:val="none"/>
          <w:lang w:val="en-US" w:eastAsia="zh-CN"/>
        </w:rPr>
        <w:t>、技术指标要求：</w:t>
      </w:r>
    </w:p>
    <w:p w14:paraId="07665D8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1.1</w:t>
      </w:r>
      <w:r>
        <w:rPr>
          <w:rFonts w:hint="eastAsia" w:ascii="宋体" w:hAnsi="宋体" w:eastAsia="宋体" w:cs="宋体"/>
          <w:b w:val="0"/>
          <w:bCs w:val="0"/>
          <w:color w:val="auto"/>
          <w:sz w:val="24"/>
          <w:highlight w:val="none"/>
          <w:lang w:val="en-US" w:eastAsia="zh-CN"/>
        </w:rPr>
        <w:t>硬件图像采集及光学系统</w:t>
      </w:r>
    </w:p>
    <w:p w14:paraId="73F27E6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 xml:space="preserve"> 成像传感器：有效像素不低于1000万像素。</w:t>
      </w:r>
    </w:p>
    <w:p w14:paraId="0606304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 光照系统：配置顶部反射光源及底部透射光源。</w:t>
      </w:r>
    </w:p>
    <w:p w14:paraId="79A1D43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default"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default" w:ascii="宋体" w:hAnsi="宋体" w:eastAsia="宋体" w:cs="宋体"/>
          <w:b w:val="0"/>
          <w:bCs w:val="0"/>
          <w:color w:val="auto"/>
          <w:sz w:val="24"/>
          <w:highlight w:val="none"/>
          <w:lang w:val="en-US" w:eastAsia="zh-CN"/>
        </w:rPr>
        <w:t xml:space="preserve">3 </w:t>
      </w:r>
      <w:r>
        <w:rPr>
          <w:rFonts w:hint="eastAsia" w:ascii="宋体" w:hAnsi="宋体" w:eastAsia="宋体" w:cs="宋体"/>
          <w:b w:val="0"/>
          <w:bCs w:val="0"/>
          <w:color w:val="auto"/>
          <w:sz w:val="24"/>
          <w:highlight w:val="none"/>
          <w:lang w:val="en-US" w:eastAsia="zh-CN"/>
        </w:rPr>
        <w:t>拍摄装置：采用封闭式拍摄结构，具备样品定位功能，配置白光光源。</w:t>
      </w:r>
    </w:p>
    <w:p w14:paraId="5D2DC97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1.2</w:t>
      </w:r>
      <w:r>
        <w:rPr>
          <w:rFonts w:hint="eastAsia" w:ascii="宋体" w:hAnsi="宋体" w:eastAsia="宋体" w:cs="宋体"/>
          <w:b w:val="0"/>
          <w:bCs w:val="0"/>
          <w:color w:val="auto"/>
          <w:sz w:val="24"/>
          <w:highlight w:val="none"/>
          <w:lang w:val="en-US" w:eastAsia="zh-CN"/>
        </w:rPr>
        <w:t>图像处理与智能识别算法</w:t>
      </w:r>
    </w:p>
    <w:p w14:paraId="30B57D0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2.1 检测方式：应支持自动识别和手动修正。</w:t>
      </w:r>
    </w:p>
    <w:p w14:paraId="013B944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2.2 分析区域选择：应支持分析区域自定义选择，并支持拖动、缩放及形状调整。</w:t>
      </w:r>
    </w:p>
    <w:p w14:paraId="5FAF1CA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default" w:ascii="宋体" w:hAnsi="宋体" w:eastAsia="宋体" w:cs="宋体"/>
          <w:b w:val="0"/>
          <w:bCs w:val="0"/>
          <w:color w:val="auto"/>
          <w:sz w:val="24"/>
          <w:highlight w:val="none"/>
          <w:lang w:val="en-US" w:eastAsia="zh-CN"/>
        </w:rPr>
        <w:t xml:space="preserve">2.3 </w:t>
      </w:r>
      <w:r>
        <w:rPr>
          <w:rFonts w:hint="eastAsia" w:ascii="宋体" w:hAnsi="宋体" w:eastAsia="宋体" w:cs="宋体"/>
          <w:b w:val="0"/>
          <w:bCs w:val="0"/>
          <w:color w:val="auto"/>
          <w:sz w:val="24"/>
          <w:highlight w:val="none"/>
          <w:lang w:val="en-US" w:eastAsia="zh-CN"/>
        </w:rPr>
        <w:t>图像处理：应具备菌落与背景分离所需的图像处理功能。</w:t>
      </w:r>
    </w:p>
    <w:p w14:paraId="639299B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2.4 局部放大功能：应支持图像局部放大，并可设置放大区域及放大倍数。</w:t>
      </w:r>
    </w:p>
    <w:p w14:paraId="72DC566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1.3</w:t>
      </w:r>
      <w:r>
        <w:rPr>
          <w:rFonts w:hint="eastAsia" w:ascii="宋体" w:hAnsi="宋体" w:eastAsia="宋体" w:cs="宋体"/>
          <w:b w:val="0"/>
          <w:bCs w:val="0"/>
          <w:color w:val="auto"/>
          <w:sz w:val="24"/>
          <w:highlight w:val="none"/>
          <w:lang w:val="en-US" w:eastAsia="zh-CN"/>
        </w:rPr>
        <w:t>计数分析与形态学测量</w:t>
      </w:r>
    </w:p>
    <w:p w14:paraId="4EE263C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3.1 介质类型：应支持倾注平板、涂布平板、膜滤平板及菌落测试片/纸片等培养介质。</w:t>
      </w:r>
    </w:p>
    <w:p w14:paraId="3C681EF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3.2 菌落类型：应支持细菌、酵母菌及未扩散霉菌的计数与统计。</w:t>
      </w:r>
    </w:p>
    <w:p w14:paraId="525B7D3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3.3 形态学测量：应支持菌落面积、周长、圆度/不圆度、分布密度等参数测量。</w:t>
      </w:r>
    </w:p>
    <w:p w14:paraId="5C26DD4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default" w:ascii="宋体" w:hAnsi="宋体" w:eastAsia="宋体" w:cs="宋体"/>
          <w:b w:val="0"/>
          <w:bCs w:val="0"/>
          <w:color w:val="auto"/>
          <w:sz w:val="24"/>
          <w:highlight w:val="none"/>
          <w:lang w:val="en-US" w:eastAsia="zh-CN"/>
        </w:rPr>
        <w:t>3.</w:t>
      </w:r>
      <w:r>
        <w:rPr>
          <w:rFonts w:hint="eastAsia" w:ascii="宋体" w:hAnsi="宋体" w:eastAsia="宋体" w:cs="宋体"/>
          <w:b w:val="0"/>
          <w:bCs w:val="0"/>
          <w:color w:val="auto"/>
          <w:sz w:val="24"/>
          <w:highlight w:val="none"/>
          <w:lang w:val="en-US" w:eastAsia="zh-CN"/>
        </w:rPr>
        <w:t>4</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结果标记：应支持对识别结果进行分类标记。</w:t>
      </w:r>
    </w:p>
    <w:p w14:paraId="60D75F8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1.4</w:t>
      </w:r>
      <w:r>
        <w:rPr>
          <w:rFonts w:hint="eastAsia" w:ascii="宋体" w:hAnsi="宋体" w:eastAsia="宋体" w:cs="宋体"/>
          <w:b w:val="0"/>
          <w:bCs w:val="0"/>
          <w:color w:val="auto"/>
          <w:sz w:val="24"/>
          <w:highlight w:val="none"/>
          <w:lang w:val="en-US" w:eastAsia="zh-CN"/>
        </w:rPr>
        <w:t>系统性能与通量指标</w:t>
      </w:r>
    </w:p>
    <w:p w14:paraId="4178E5B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4.1 最小菌落分辨率：不大于0.02mm。</w:t>
      </w:r>
    </w:p>
    <w:p w14:paraId="5612246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4.2 典型计数速度：单平板典型计数时间小于等于0.5秒。</w:t>
      </w:r>
    </w:p>
    <w:p w14:paraId="110B6BB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4.3 统计处理速度：处理500个菌落的统计分析时间小于1秒。</w:t>
      </w:r>
    </w:p>
    <w:p w14:paraId="5F8C76D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4.4 检测通量：每小时可处理平板数量不低于400个。</w:t>
      </w:r>
    </w:p>
    <w:p w14:paraId="26EC40D6">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lang w:val="en-US" w:eastAsia="zh-CN"/>
        </w:rPr>
        <w:t>、售后服务与国内培训：</w:t>
      </w:r>
    </w:p>
    <w:p w14:paraId="5080168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.1 设备安装、调试和验收：</w:t>
      </w:r>
    </w:p>
    <w:p w14:paraId="5CED092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仪器到达最终用户现场且实验室条件具备后，在接到用户通知后，供应方应安排具备相应经验的技术人员到用户现场安装、调试仪器，并按验收指标逐项测试，直至完成验收工作。</w:t>
      </w:r>
    </w:p>
    <w:p w14:paraId="53C5748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.2 技术培训要求</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 xml:space="preserve">安装验收期间，在用户所在地对用户进行仪器操作和日常维护的现场培训。 </w:t>
      </w:r>
    </w:p>
    <w:p w14:paraId="59146FA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.3 保修期：自设备验收合格之日起，提供</w:t>
      </w:r>
      <w:r>
        <w:rPr>
          <w:rFonts w:hint="default" w:ascii="宋体" w:hAnsi="宋体" w:eastAsia="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年保修服务。</w:t>
      </w:r>
    </w:p>
    <w:p w14:paraId="000C493E">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lang w:val="en-US" w:eastAsia="zh-CN"/>
        </w:rPr>
        <w:t>、验收：</w:t>
      </w:r>
      <w:r>
        <w:rPr>
          <w:rFonts w:hint="eastAsia" w:ascii="宋体" w:hAnsi="宋体" w:eastAsia="宋体" w:cs="宋体"/>
          <w:b w:val="0"/>
          <w:bCs w:val="0"/>
          <w:color w:val="auto"/>
          <w:sz w:val="24"/>
          <w:highlight w:val="none"/>
          <w:lang w:val="en-US" w:eastAsia="zh-CN"/>
        </w:rPr>
        <w:t>仪器到货后一周内，由供应方技术人员会同用户共同开箱验货，并完成安装调试。安装调试结束后，双方签字盖章确认。</w:t>
      </w:r>
    </w:p>
    <w:p w14:paraId="39AD292A">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eastAsia="zh-CN"/>
        </w:rPr>
      </w:pPr>
    </w:p>
    <w:p w14:paraId="1CC391A7">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（九）</w:t>
      </w:r>
      <w:r>
        <w:rPr>
          <w:rFonts w:hint="eastAsia" w:ascii="宋体" w:hAnsi="宋体" w:eastAsia="宋体" w:cs="宋体"/>
          <w:b/>
          <w:bCs/>
          <w:color w:val="auto"/>
          <w:sz w:val="24"/>
          <w:highlight w:val="none"/>
          <w:lang w:val="en-US" w:eastAsia="zh-CN"/>
        </w:rPr>
        <w:t>霉菌培养箱</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9</w:t>
      </w:r>
      <w:r>
        <w:rPr>
          <w:rFonts w:hint="eastAsia" w:cs="宋体"/>
          <w:color w:val="auto"/>
          <w:sz w:val="24"/>
          <w:highlight w:val="none"/>
        </w:rPr>
        <w:t>项，主要配置</w:t>
      </w:r>
      <w:r>
        <w:rPr>
          <w:rFonts w:hint="eastAsia" w:cs="宋体"/>
          <w:color w:val="auto"/>
          <w:sz w:val="24"/>
          <w:highlight w:val="none"/>
          <w:lang w:val="en-US" w:eastAsia="zh-CN"/>
        </w:rPr>
        <w:t>0</w:t>
      </w:r>
      <w:r>
        <w:rPr>
          <w:rFonts w:hint="eastAsia" w:cs="宋体"/>
          <w:color w:val="auto"/>
          <w:sz w:val="24"/>
          <w:highlight w:val="none"/>
        </w:rPr>
        <w:t>项</w:t>
      </w:r>
      <w:r>
        <w:rPr>
          <w:rFonts w:hint="eastAsia" w:cs="宋体"/>
          <w:color w:val="auto"/>
          <w:sz w:val="24"/>
          <w:highlight w:val="none"/>
          <w:lang w:eastAsia="zh-CN"/>
        </w:rPr>
        <w:t>。</w:t>
      </w:r>
    </w:p>
    <w:p w14:paraId="6910EF36">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1</w:t>
      </w:r>
      <w:r>
        <w:rPr>
          <w:rFonts w:hint="default" w:ascii="宋体" w:hAnsi="宋体" w:eastAsia="宋体" w:cs="宋体"/>
          <w:b/>
          <w:bCs/>
          <w:color w:val="auto"/>
          <w:sz w:val="24"/>
          <w:highlight w:val="none"/>
          <w:lang w:val="en-US" w:eastAsia="zh-CN"/>
        </w:rPr>
        <w:t>、技术指标要求：</w:t>
      </w:r>
    </w:p>
    <w:p w14:paraId="6889D5B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温度控制系统</w:t>
      </w:r>
    </w:p>
    <w:p w14:paraId="0AD952A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1 控温范围：工作温度范围满足0℃</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60℃。</w:t>
      </w:r>
    </w:p>
    <w:p w14:paraId="4E45BEB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 温度分辨率：温度显示分辨率不大于0.1℃。</w:t>
      </w:r>
    </w:p>
    <w:p w14:paraId="64B1723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 温度波动度：温度控制波动度不大于±0.5℃。</w:t>
      </w:r>
    </w:p>
    <w:p w14:paraId="06770FE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w:t>
      </w: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4 温度均匀度：在常用工作温度37℃测试时，温度均匀度不大于±1.0℃。</w:t>
      </w:r>
    </w:p>
    <w:p w14:paraId="20AAEB8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1.2</w:t>
      </w:r>
      <w:r>
        <w:rPr>
          <w:rFonts w:hint="eastAsia" w:ascii="宋体" w:hAnsi="宋体" w:eastAsia="宋体" w:cs="宋体"/>
          <w:b w:val="0"/>
          <w:bCs w:val="0"/>
          <w:color w:val="auto"/>
          <w:sz w:val="24"/>
          <w:highlight w:val="none"/>
          <w:lang w:val="en-US" w:eastAsia="zh-CN"/>
        </w:rPr>
        <w:t>湿度控制系统</w:t>
      </w:r>
    </w:p>
    <w:p w14:paraId="581ACAF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2.1 控湿范围：工作湿度控制范围满足50%</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90% RH。</w:t>
      </w:r>
    </w:p>
    <w:p w14:paraId="16E8A08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2.2 湿度波动度：湿度控制波动度不大于±5% RH。</w:t>
      </w:r>
    </w:p>
    <w:p w14:paraId="7562084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1.3</w:t>
      </w:r>
      <w:r>
        <w:rPr>
          <w:rFonts w:hint="eastAsia" w:ascii="宋体" w:hAnsi="宋体" w:eastAsia="宋体" w:cs="宋体"/>
          <w:b w:val="0"/>
          <w:bCs w:val="0"/>
          <w:color w:val="auto"/>
          <w:sz w:val="24"/>
          <w:highlight w:val="none"/>
          <w:lang w:val="en-US" w:eastAsia="zh-CN"/>
        </w:rPr>
        <w:t>箱体结构与容积指标</w:t>
      </w:r>
    </w:p>
    <w:p w14:paraId="4CE41A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3.1 内胆有效容积：箱体内胆工作容积80-110L</w:t>
      </w:r>
    </w:p>
    <w:p w14:paraId="5FDE7115">
      <w:pPr>
        <w:keepNext w:val="0"/>
        <w:keepLines w:val="0"/>
        <w:pageBreakBefore w:val="0"/>
        <w:kinsoku/>
        <w:wordWrap/>
        <w:overflowPunct/>
        <w:topLinePunct w:val="0"/>
        <w:autoSpaceDE/>
        <w:autoSpaceDN/>
        <w:bidi w:val="0"/>
        <w:adjustRightInd w:val="0"/>
        <w:snapToGrid w:val="0"/>
        <w:spacing w:line="360" w:lineRule="auto"/>
        <w:ind w:left="479" w:leftChars="228" w:firstLine="0" w:firstLineChars="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w:t>
      </w:r>
      <w:r>
        <w:rPr>
          <w:rFonts w:hint="eastAsia" w:ascii="宋体" w:hAnsi="宋体" w:eastAsia="宋体" w:cs="宋体"/>
          <w:b w:val="0"/>
          <w:bCs w:val="0"/>
          <w:color w:val="auto"/>
          <w:sz w:val="24"/>
          <w:highlight w:val="none"/>
          <w:lang w:val="en-US" w:eastAsia="zh-CN"/>
        </w:rPr>
        <w:t>3.</w:t>
      </w:r>
      <w:r>
        <w:rPr>
          <w:rFonts w:hint="eastAsia" w:ascii="宋体" w:hAnsi="宋体" w:cs="宋体"/>
          <w:b w:val="0"/>
          <w:bCs w:val="0"/>
          <w:color w:val="auto"/>
          <w:sz w:val="24"/>
          <w:highlight w:val="none"/>
          <w:lang w:val="en-US" w:eastAsia="zh-CN"/>
        </w:rPr>
        <w:t xml:space="preserve">2 </w:t>
      </w:r>
      <w:r>
        <w:rPr>
          <w:rFonts w:hint="eastAsia" w:ascii="宋体" w:hAnsi="宋体" w:eastAsia="宋体" w:cs="宋体"/>
          <w:b w:val="0"/>
          <w:bCs w:val="0"/>
          <w:color w:val="auto"/>
          <w:sz w:val="24"/>
          <w:highlight w:val="none"/>
          <w:lang w:val="en-US" w:eastAsia="zh-CN"/>
        </w:rPr>
        <w:t>载物托架配置：内部配备不少于2块载物托架，且托架高度应上下可调。</w:t>
      </w:r>
      <w:r>
        <w:rPr>
          <w:rFonts w:hint="eastAsia" w:ascii="宋体" w:hAnsi="宋体" w:eastAsia="宋体" w:cs="宋体"/>
          <w:b w:val="0"/>
          <w:bCs w:val="0"/>
          <w:color w:val="auto"/>
          <w:sz w:val="24"/>
          <w:highlight w:val="none"/>
          <w:lang w:val="en-US" w:eastAsia="zh-CN"/>
        </w:rPr>
        <w:br w:type="textWrapping"/>
      </w:r>
      <w:r>
        <w:rPr>
          <w:rFonts w:hint="eastAsia" w:ascii="宋体" w:hAnsi="宋体" w:cs="宋体"/>
          <w:b w:val="0"/>
          <w:bCs w:val="0"/>
          <w:color w:val="auto"/>
          <w:sz w:val="24"/>
          <w:highlight w:val="none"/>
          <w:lang w:val="en-US" w:eastAsia="zh-CN"/>
        </w:rPr>
        <w:t>1.4</w:t>
      </w:r>
      <w:r>
        <w:rPr>
          <w:rFonts w:hint="eastAsia" w:ascii="宋体" w:hAnsi="宋体" w:eastAsia="宋体" w:cs="宋体"/>
          <w:b w:val="0"/>
          <w:bCs w:val="0"/>
          <w:color w:val="auto"/>
          <w:sz w:val="24"/>
          <w:highlight w:val="none"/>
          <w:lang w:val="en-US" w:eastAsia="zh-CN"/>
        </w:rPr>
        <w:t>设备自带灭菌自净功能。</w:t>
      </w:r>
    </w:p>
    <w:p w14:paraId="670A9AE2">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2</w:t>
      </w:r>
      <w:r>
        <w:rPr>
          <w:rFonts w:hint="eastAsia" w:ascii="宋体" w:hAnsi="宋体" w:eastAsia="宋体" w:cs="宋体"/>
          <w:b/>
          <w:bCs/>
          <w:color w:val="auto"/>
          <w:sz w:val="24"/>
          <w:highlight w:val="none"/>
          <w:lang w:val="en-US" w:eastAsia="zh-CN"/>
        </w:rPr>
        <w:t>、售后服务与国内培训：</w:t>
      </w:r>
    </w:p>
    <w:p w14:paraId="1CE4B76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.1 设备安装、调试和验收：</w:t>
      </w:r>
    </w:p>
    <w:p w14:paraId="0D5DBCF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仪器到达最终用户现场并且实验室条件合格后，在接到用户通知后，中标商需安排有经验的工程技术人员到用户现场安装、调试仪器，按验收指标逐项测试，直至达到验收要求。</w:t>
      </w:r>
    </w:p>
    <w:p w14:paraId="3AB439C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.2 技术培训要求</w:t>
      </w:r>
      <w:r>
        <w:rPr>
          <w:rFonts w:hint="eastAsia" w:ascii="宋体" w:hAnsi="宋体" w:cs="宋体"/>
          <w:b w:val="0"/>
          <w:bCs w:val="0"/>
          <w:color w:val="auto"/>
          <w:sz w:val="24"/>
          <w:highlight w:val="none"/>
          <w:lang w:val="en-US" w:eastAsia="zh-CN"/>
        </w:rPr>
        <w:t>：</w:t>
      </w:r>
      <w:r>
        <w:rPr>
          <w:rFonts w:hint="eastAsia" w:ascii="宋体" w:hAnsi="宋体" w:eastAsia="宋体" w:cs="宋体"/>
          <w:b w:val="0"/>
          <w:bCs w:val="0"/>
          <w:color w:val="auto"/>
          <w:sz w:val="24"/>
          <w:highlight w:val="none"/>
          <w:lang w:val="en-US" w:eastAsia="zh-CN"/>
        </w:rPr>
        <w:t xml:space="preserve">安装验收期间，在用户所在地对用户进行仪器操作和日常维护的现场培训。 </w:t>
      </w:r>
    </w:p>
    <w:p w14:paraId="2F1A71D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lang w:val="en-US" w:eastAsia="zh-CN"/>
        </w:rPr>
        <w:t>.3 保修期：2年免费保修。自设备验收合格之日起计算。</w:t>
      </w:r>
    </w:p>
    <w:p w14:paraId="248F5047">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bCs/>
          <w:color w:val="auto"/>
          <w:sz w:val="24"/>
          <w:highlight w:val="none"/>
          <w:lang w:val="en-US" w:eastAsia="zh-CN"/>
        </w:rPr>
        <w:t>3</w:t>
      </w:r>
      <w:r>
        <w:rPr>
          <w:rFonts w:hint="eastAsia" w:ascii="宋体" w:hAnsi="宋体" w:eastAsia="宋体" w:cs="宋体"/>
          <w:b/>
          <w:bCs/>
          <w:color w:val="auto"/>
          <w:sz w:val="24"/>
          <w:highlight w:val="none"/>
          <w:lang w:val="en-US" w:eastAsia="zh-CN"/>
        </w:rPr>
        <w:t>、验收：</w:t>
      </w:r>
      <w:r>
        <w:rPr>
          <w:rFonts w:hint="eastAsia" w:ascii="宋体" w:hAnsi="宋体" w:eastAsia="宋体" w:cs="宋体"/>
          <w:b w:val="0"/>
          <w:bCs w:val="0"/>
          <w:color w:val="auto"/>
          <w:sz w:val="24"/>
          <w:highlight w:val="none"/>
          <w:lang w:val="en-US" w:eastAsia="zh-CN"/>
        </w:rPr>
        <w:t>仪器到货后一周内，由厂家工程师同用户共同开箱验货，并进行免费安装调试。安装调试结束，双方签字盖章确认。</w:t>
      </w:r>
    </w:p>
    <w:p w14:paraId="25B541DE">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p>
    <w:p w14:paraId="708A890F">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（十）</w:t>
      </w:r>
      <w:r>
        <w:rPr>
          <w:rFonts w:hint="eastAsia" w:ascii="宋体" w:hAnsi="宋体" w:eastAsia="宋体" w:cs="宋体"/>
          <w:b/>
          <w:bCs/>
          <w:color w:val="auto"/>
          <w:sz w:val="24"/>
          <w:highlight w:val="none"/>
          <w:lang w:val="en-US" w:eastAsia="zh-CN"/>
        </w:rPr>
        <w:t>高压灭菌锅</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7</w:t>
      </w:r>
      <w:r>
        <w:rPr>
          <w:rFonts w:hint="eastAsia" w:cs="宋体"/>
          <w:color w:val="auto"/>
          <w:sz w:val="24"/>
          <w:highlight w:val="none"/>
        </w:rPr>
        <w:t>项，主要配置</w:t>
      </w:r>
      <w:r>
        <w:rPr>
          <w:rFonts w:hint="eastAsia" w:cs="宋体"/>
          <w:color w:val="auto"/>
          <w:sz w:val="24"/>
          <w:highlight w:val="none"/>
          <w:lang w:val="en-US" w:eastAsia="zh-CN"/>
        </w:rPr>
        <w:t>6</w:t>
      </w:r>
      <w:r>
        <w:rPr>
          <w:rFonts w:hint="eastAsia" w:cs="宋体"/>
          <w:color w:val="auto"/>
          <w:sz w:val="24"/>
          <w:highlight w:val="none"/>
        </w:rPr>
        <w:t>项</w:t>
      </w:r>
      <w:r>
        <w:rPr>
          <w:rFonts w:hint="eastAsia" w:cs="宋体"/>
          <w:color w:val="auto"/>
          <w:sz w:val="24"/>
          <w:highlight w:val="none"/>
          <w:lang w:eastAsia="zh-CN"/>
        </w:rPr>
        <w:t>。</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项，“▲”</w:t>
      </w: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项。</w:t>
      </w:r>
    </w:p>
    <w:p w14:paraId="67968983">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1、主要用途：</w:t>
      </w:r>
      <w:r>
        <w:rPr>
          <w:rFonts w:hint="eastAsia" w:ascii="宋体" w:hAnsi="宋体" w:eastAsia="宋体" w:cs="宋体"/>
          <w:b w:val="0"/>
          <w:bCs w:val="0"/>
          <w:color w:val="auto"/>
          <w:sz w:val="24"/>
          <w:highlight w:val="none"/>
          <w:lang w:val="en-US" w:eastAsia="zh-CN"/>
        </w:rPr>
        <w:t>高压消毒灭菌处理</w:t>
      </w:r>
    </w:p>
    <w:p w14:paraId="3DFD762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highlight w:val="none"/>
          <w:lang w:val="en-US" w:eastAsia="zh-CN"/>
        </w:rPr>
        <w:t>2、特殊资质要求：</w:t>
      </w:r>
      <w:r>
        <w:rPr>
          <w:rFonts w:hint="eastAsia" w:ascii="宋体" w:hAnsi="宋体" w:eastAsia="宋体" w:cs="宋体"/>
          <w:b w:val="0"/>
          <w:bCs w:val="0"/>
          <w:color w:val="auto"/>
          <w:sz w:val="24"/>
          <w:highlight w:val="none"/>
          <w:lang w:val="en-US" w:eastAsia="zh-CN"/>
        </w:rPr>
        <w:t>提供制造商的有效特种设备制造许可证（压力容器制造）</w:t>
      </w:r>
    </w:p>
    <w:p w14:paraId="518A9681">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3、主要技术参数 </w:t>
      </w:r>
    </w:p>
    <w:p w14:paraId="2010EBA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3.1 容积≥80升，立式结构</w:t>
      </w:r>
    </w:p>
    <w:p w14:paraId="79912F5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3.2 腔体设计使用年限：20年</w:t>
      </w:r>
    </w:p>
    <w:p w14:paraId="1B4F45F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3.3 灭菌温度：最高灭菌温度可达135℃；安全阀起跳压力可达0.22Mpa以上；灭菌定时0-250分钟；保证仪器在边远高海拔地区灭菌工作温度能达到最高工作温度。</w:t>
      </w:r>
    </w:p>
    <w:p w14:paraId="6FD0BE7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3.4 压力盖机构：手动上下翻盖开启式（附有3重安全锁定装置）</w:t>
      </w:r>
    </w:p>
    <w:p w14:paraId="16FACBF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3.5 排汽系统：在保证液体培养基不暴沸的前提下，加速腔内排汽，使灭菌腔更快地冷却下来，</w:t>
      </w:r>
    </w:p>
    <w:p w14:paraId="6DB0E23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3.6 自动干燥：自动干燥功能，灭菌结束自动启动干燥</w:t>
      </w:r>
    </w:p>
    <w:p w14:paraId="6429ECB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3.7 灭菌选择模式：①固体灭菌②液体灭菌③灭菌保温④溶解保温⑤手动模式</w:t>
      </w:r>
    </w:p>
    <w:p w14:paraId="7759E97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3.8 具有安全装置/报警、双联锁盖系统、超温超压报警、锁盖检测、温敏探头断路检测、压力安全阀、灭菌时间读数定时器、加热故障检测、缺水保护装置、漏电断路器等功能。</w:t>
      </w:r>
    </w:p>
    <w:p w14:paraId="5514608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3.9 承压腔壁厚：≥3mm厚304不锈钢</w:t>
      </w:r>
    </w:p>
    <w:p w14:paraId="0FA5D27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3.10 设计压力：≥0.45Mpa</w:t>
      </w:r>
    </w:p>
    <w:p w14:paraId="7F02B87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3.11 设计温度：≥150℃</w:t>
      </w:r>
    </w:p>
    <w:p w14:paraId="04FA0288">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4、主要配置 </w:t>
      </w:r>
    </w:p>
    <w:p w14:paraId="7EAAD44B">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4.1</w:t>
      </w:r>
      <w:r>
        <w:rPr>
          <w:rFonts w:hint="eastAsia" w:ascii="宋体" w:hAnsi="宋体" w:eastAsia="宋体" w:cs="宋体"/>
          <w:b w:val="0"/>
          <w:bCs w:val="0"/>
          <w:color w:val="auto"/>
          <w:sz w:val="24"/>
          <w:highlight w:val="none"/>
          <w:lang w:val="en-US" w:eastAsia="zh-CN"/>
        </w:rPr>
        <w:t>主机1台</w:t>
      </w:r>
    </w:p>
    <w:p w14:paraId="390D872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4.2</w:t>
      </w:r>
      <w:r>
        <w:rPr>
          <w:rFonts w:hint="eastAsia" w:ascii="宋体" w:hAnsi="宋体" w:eastAsia="宋体" w:cs="宋体"/>
          <w:b w:val="0"/>
          <w:bCs w:val="0"/>
          <w:color w:val="auto"/>
          <w:sz w:val="24"/>
          <w:highlight w:val="none"/>
          <w:lang w:val="en-US" w:eastAsia="zh-CN"/>
        </w:rPr>
        <w:t>提框1套</w:t>
      </w:r>
    </w:p>
    <w:p w14:paraId="6A1F550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4.3</w:t>
      </w:r>
      <w:r>
        <w:rPr>
          <w:rFonts w:hint="eastAsia" w:ascii="宋体" w:hAnsi="宋体" w:eastAsia="宋体" w:cs="宋体"/>
          <w:b w:val="0"/>
          <w:bCs w:val="0"/>
          <w:color w:val="auto"/>
          <w:sz w:val="24"/>
          <w:highlight w:val="none"/>
          <w:lang w:val="en-US" w:eastAsia="zh-CN"/>
        </w:rPr>
        <w:t>冷却风扇</w:t>
      </w:r>
      <w:r>
        <w:rPr>
          <w:rFonts w:hint="eastAsia"/>
          <w:color w:val="auto"/>
          <w:highlight w:val="none"/>
          <w:lang w:val="en-US" w:eastAsia="zh-CN"/>
        </w:rPr>
        <w:t xml:space="preserve"> </w:t>
      </w:r>
      <w:r>
        <w:rPr>
          <w:rFonts w:hint="eastAsia" w:ascii="宋体" w:hAnsi="宋体" w:eastAsia="宋体" w:cs="宋体"/>
          <w:b w:val="0"/>
          <w:bCs w:val="0"/>
          <w:color w:val="auto"/>
          <w:sz w:val="24"/>
          <w:highlight w:val="none"/>
          <w:lang w:val="en-US" w:eastAsia="zh-CN"/>
        </w:rPr>
        <w:t>1套</w:t>
      </w:r>
    </w:p>
    <w:p w14:paraId="4C642EC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4.4</w:t>
      </w:r>
      <w:r>
        <w:rPr>
          <w:rFonts w:hint="eastAsia" w:ascii="宋体" w:hAnsi="宋体" w:eastAsia="宋体" w:cs="宋体"/>
          <w:b w:val="0"/>
          <w:bCs w:val="0"/>
          <w:color w:val="auto"/>
          <w:sz w:val="24"/>
          <w:highlight w:val="none"/>
          <w:lang w:val="en-US" w:eastAsia="zh-CN"/>
        </w:rPr>
        <w:t>灭菌指示卡1套</w:t>
      </w:r>
    </w:p>
    <w:p w14:paraId="384882E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4.5</w:t>
      </w:r>
      <w:r>
        <w:rPr>
          <w:rFonts w:hint="eastAsia" w:ascii="宋体" w:hAnsi="宋体" w:eastAsia="宋体" w:cs="宋体"/>
          <w:b w:val="0"/>
          <w:bCs w:val="0"/>
          <w:color w:val="auto"/>
          <w:sz w:val="24"/>
          <w:highlight w:val="none"/>
          <w:lang w:val="en-US" w:eastAsia="zh-CN"/>
        </w:rPr>
        <w:t>压力表、安全阀各2套</w:t>
      </w:r>
    </w:p>
    <w:p w14:paraId="58F9256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4.6</w:t>
      </w:r>
      <w:r>
        <w:rPr>
          <w:rFonts w:hint="eastAsia" w:ascii="宋体" w:hAnsi="宋体" w:eastAsia="宋体" w:cs="宋体"/>
          <w:b w:val="0"/>
          <w:bCs w:val="0"/>
          <w:color w:val="auto"/>
          <w:sz w:val="24"/>
          <w:highlight w:val="none"/>
          <w:lang w:val="en-US" w:eastAsia="zh-CN"/>
        </w:rPr>
        <w:t>出厂需带检定证书。</w:t>
      </w:r>
    </w:p>
    <w:p w14:paraId="706B5F93">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bCs/>
          <w:color w:val="auto"/>
          <w:sz w:val="24"/>
          <w:highlight w:val="none"/>
          <w:lang w:val="en-US" w:eastAsia="zh-CN"/>
        </w:rPr>
        <w:t>5</w:t>
      </w:r>
      <w:r>
        <w:rPr>
          <w:rFonts w:hint="eastAsia" w:ascii="宋体" w:hAnsi="宋体" w:cs="宋体"/>
          <w:b/>
          <w:bCs/>
          <w:color w:val="auto"/>
          <w:sz w:val="24"/>
          <w:highlight w:val="none"/>
          <w:lang w:val="en-US" w:eastAsia="zh-CN"/>
        </w:rPr>
        <w:t>、</w:t>
      </w:r>
      <w:r>
        <w:rPr>
          <w:rFonts w:hint="eastAsia" w:ascii="宋体" w:hAnsi="宋体" w:eastAsia="宋体" w:cs="宋体"/>
          <w:b/>
          <w:bCs/>
          <w:color w:val="auto"/>
          <w:sz w:val="24"/>
          <w:highlight w:val="none"/>
          <w:lang w:val="en-US" w:eastAsia="zh-CN"/>
        </w:rPr>
        <w:t>质保期：</w:t>
      </w:r>
      <w:r>
        <w:rPr>
          <w:rFonts w:hint="eastAsia" w:ascii="宋体" w:hAnsi="宋体" w:eastAsia="宋体" w:cs="宋体"/>
          <w:b w:val="0"/>
          <w:bCs w:val="0"/>
          <w:color w:val="auto"/>
          <w:sz w:val="24"/>
          <w:highlight w:val="none"/>
          <w:lang w:val="en-US" w:eastAsia="zh-CN"/>
        </w:rPr>
        <w:t>产品安装调试经用户验收合格当天起，质保期2年，并提供仪器终身维修服务。</w:t>
      </w:r>
    </w:p>
    <w:p w14:paraId="401D3403">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6、售后服务要求</w:t>
      </w:r>
    </w:p>
    <w:p w14:paraId="183081F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6.1 中标供应商应提供原产商质量保证和售后服务承诺书。在质量保证期内设备发生故障，中标供应商应免费提供原厂商售后维修和更换零件服务。合同签订后，在1周内中标供应商将仪器操作间的装修要求和水、电、气要求通知需求单位。</w:t>
      </w:r>
    </w:p>
    <w:p w14:paraId="3176719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6.2 中标供应商负责将设备运至采购方指定的地点，免费负责安装，免费现场培训及技术应用培训。中标价应包含产品的制造、材料费（主材及辅材）、运输、安装、验收、保修、税收、所有手续费等直至验收合格交付需求单位使用的所有相关费用。中标价格在中标后的合同实施期间应保持不变，即不因市场价格或政策性价格的调整而增减（若因中标人责任而导致的需方依据合同条款对中标人的扣款处罚除外）。</w:t>
      </w:r>
    </w:p>
    <w:p w14:paraId="0BBF21B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6.3 货到后，中标供应商负责派技术人员到现场进行安装、调试，直至验收合格，带“★”的项目必须符合其性能。</w:t>
      </w:r>
    </w:p>
    <w:p w14:paraId="53AC22C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6.4 验收：（1）中标供应商须提供产品的原厂技术文件以及验收要求的校准文件或计量证书。属于中华人民共和国强制检定计量器具，中标供应商须负责提供法定计量证书。所需费用由中标供应商承担。（2）中标供应商设备供货、安装施工、调试、工程验收、货物运输、售后服务等均应符合国家相关法律、法规以及国家标准、相关行业标准。中标供应商提供设备的制造标准、安装标准及技术规范等有关资料必须符合国家相应的有关标准、规范要求。（3）中标供应商应向需求单位提供完整的设备技术资料、货物制造商的出厂检验报告、合格证书、产品保证书、认证书、及政府许可证明、说明书等，保证产品和安装材料是新生产、未经过使用的原装原厂正品。如在交付使用前发生设备损坏和不合格，需求单位有权要求退货，因此造成的一切损失由供应商承担。（4）中标供应商根据合同要求进行系统安装、调试后，由需求单位进行使用性能方面的验收，确保在使用过程内具有满意的性能。如质量不符合要求，供应商应无条件及时更换并不得以任何原因拖延。（5）需求单位根据招标文件、中标供应商的竞标文件、合同、制造厂商的产品验收标准及中华人民共和国有关标准进行验收。需求单位有权委托中国具权威资质机构对设备的灵敏度、测量精度等技术性能进行验收。因中标供应商所提供的产品未达到招标文件中技术性能指标的，一律拒收，不予付款，需求单位有权因此终止合同的执行，中标商将自行承担所有经济损失；同时，需求单位将保留向中标供应商因设备延迟到位而造成对口岸检验业务的不良影响追索相应“违约”责任的权利。</w:t>
      </w:r>
    </w:p>
    <w:p w14:paraId="11B2F09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6.5 中标供应商能响应故障处理请求和电话咨询，提供5×8小时技术支持与售后服务，2小时内响应和24小时内派人到现场维修的售后服务。中标供应商应提供维保人员名单、联系电话等。</w:t>
      </w:r>
    </w:p>
    <w:p w14:paraId="55E0C34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6.6 现场培训：仪器在安装调试同时，中标供应商负责免费派工程师对用户开展不少于2人的现场培训，培训时间原则上不少于2天，内容包括但不限于仪器原理、基本操作、注意事项、事故处理、维护保养、安全防护等内容，使需求单位用户能正常操作。</w:t>
      </w:r>
    </w:p>
    <w:p w14:paraId="20D03C1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auto"/>
          <w:sz w:val="28"/>
          <w:szCs w:val="28"/>
          <w:highlight w:val="none"/>
        </w:rPr>
      </w:pPr>
      <w:r>
        <w:rPr>
          <w:rFonts w:hint="eastAsia" w:ascii="宋体" w:hAnsi="宋体" w:eastAsia="宋体" w:cs="宋体"/>
          <w:b w:val="0"/>
          <w:bCs w:val="0"/>
          <w:color w:val="auto"/>
          <w:sz w:val="24"/>
          <w:highlight w:val="none"/>
          <w:lang w:val="en-US" w:eastAsia="zh-CN"/>
        </w:rPr>
        <w:t>6.7 集中培训：如有需要中标单位免费提供需求采购方至少2名技术人员到厂家指定地点进行相同设备技能培训，培训时间原则上不少于2天。</w:t>
      </w:r>
    </w:p>
    <w:p w14:paraId="14E54999">
      <w:pPr>
        <w:keepNext w:val="0"/>
        <w:keepLines w:val="0"/>
        <w:pageBreakBefore w:val="0"/>
        <w:kinsoku/>
        <w:wordWrap/>
        <w:overflowPunct/>
        <w:topLinePunct w:val="0"/>
        <w:autoSpaceDE w:val="0"/>
        <w:autoSpaceDN w:val="0"/>
        <w:bidi w:val="0"/>
        <w:spacing w:line="360" w:lineRule="auto"/>
        <w:textAlignment w:val="auto"/>
        <w:rPr>
          <w:rFonts w:hint="eastAsia" w:ascii="宋体" w:hAnsi="宋体" w:eastAsia="宋体" w:cs="宋体"/>
          <w:b/>
          <w:bCs/>
          <w:color w:val="auto"/>
          <w:sz w:val="24"/>
          <w:highlight w:val="none"/>
          <w:lang w:eastAsia="zh-CN"/>
        </w:rPr>
      </w:pPr>
    </w:p>
    <w:p w14:paraId="731FA143">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（十一）</w:t>
      </w:r>
      <w:r>
        <w:rPr>
          <w:rFonts w:hint="eastAsia" w:ascii="宋体" w:hAnsi="宋体" w:eastAsia="宋体" w:cs="宋体"/>
          <w:b/>
          <w:bCs/>
          <w:color w:val="auto"/>
          <w:sz w:val="24"/>
          <w:highlight w:val="none"/>
          <w:lang w:val="en-US" w:eastAsia="zh-CN"/>
        </w:rPr>
        <w:t>实际胶质检测仪器</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11</w:t>
      </w:r>
      <w:r>
        <w:rPr>
          <w:rFonts w:hint="eastAsia" w:cs="宋体"/>
          <w:color w:val="auto"/>
          <w:sz w:val="24"/>
          <w:highlight w:val="none"/>
        </w:rPr>
        <w:t>项，主要配置</w:t>
      </w:r>
      <w:r>
        <w:rPr>
          <w:rFonts w:hint="eastAsia" w:cs="宋体"/>
          <w:color w:val="auto"/>
          <w:sz w:val="24"/>
          <w:highlight w:val="none"/>
          <w:lang w:val="en-US" w:eastAsia="zh-CN"/>
        </w:rPr>
        <w:t>9</w:t>
      </w:r>
      <w:r>
        <w:rPr>
          <w:rFonts w:hint="eastAsia" w:cs="宋体"/>
          <w:color w:val="auto"/>
          <w:sz w:val="24"/>
          <w:highlight w:val="none"/>
        </w:rPr>
        <w:t>项</w:t>
      </w:r>
      <w:r>
        <w:rPr>
          <w:rFonts w:hint="eastAsia" w:cs="宋体"/>
          <w:color w:val="auto"/>
          <w:sz w:val="24"/>
          <w:highlight w:val="none"/>
          <w:lang w:eastAsia="zh-CN"/>
        </w:rPr>
        <w:t>。</w:t>
      </w:r>
    </w:p>
    <w:p w14:paraId="68E54B20">
      <w:pPr>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1、主要用途：</w:t>
      </w:r>
      <w:r>
        <w:rPr>
          <w:rFonts w:hint="eastAsia" w:ascii="宋体" w:hAnsi="宋体" w:eastAsia="宋体" w:cs="宋体"/>
          <w:color w:val="auto"/>
          <w:sz w:val="24"/>
          <w:szCs w:val="24"/>
          <w:highlight w:val="none"/>
        </w:rPr>
        <w:t>用于航空燃料、车用汽油和柴油等胶质含量检测。</w:t>
      </w:r>
    </w:p>
    <w:p w14:paraId="2786B9AA">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工件条件：</w:t>
      </w:r>
    </w:p>
    <w:p w14:paraId="671FFA6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2.1电源电压：220V+10%, 50Hz〜60HZ</w:t>
      </w:r>
    </w:p>
    <w:p w14:paraId="634E5DB7">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2.2温度：15-40℃</w:t>
      </w:r>
    </w:p>
    <w:p w14:paraId="507C8CB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2.3工作湿度：相对湿度20-80%</w:t>
      </w:r>
    </w:p>
    <w:p w14:paraId="61F32CC0">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技术指标：</w:t>
      </w:r>
    </w:p>
    <w:p w14:paraId="467D47E8">
      <w:pPr>
        <w:keepNext w:val="0"/>
        <w:keepLines w:val="0"/>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3.1符合标准：GB/T 8019</w:t>
      </w:r>
    </w:p>
    <w:p w14:paraId="63D0132A">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3.2蒸发浴控温范围：232℃</w:t>
      </w:r>
      <w:r>
        <w:rPr>
          <w:rFonts w:hint="eastAsia" w:ascii="宋体" w:hAnsi="宋体" w:cs="宋体"/>
          <w:color w:val="auto"/>
          <w:kern w:val="16"/>
          <w:sz w:val="24"/>
          <w:szCs w:val="24"/>
          <w:highlight w:val="none"/>
          <w:lang w:eastAsia="zh-CN"/>
        </w:rPr>
        <w:t>-</w:t>
      </w:r>
      <w:r>
        <w:rPr>
          <w:rFonts w:hint="eastAsia" w:ascii="宋体" w:hAnsi="宋体" w:eastAsia="宋体" w:cs="宋体"/>
          <w:color w:val="auto"/>
          <w:kern w:val="16"/>
          <w:sz w:val="24"/>
          <w:szCs w:val="24"/>
          <w:highlight w:val="none"/>
        </w:rPr>
        <w:t>246℃</w:t>
      </w:r>
    </w:p>
    <w:p w14:paraId="0B565FCA">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3.3试验孔控温精度：232℃±3℃</w:t>
      </w:r>
    </w:p>
    <w:p w14:paraId="7667B9F7">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3.4装置产生的最大蒸汽量要大于所有浴孔在蒸发过程中需要的总蒸汽量, 输出的蒸汽要全程保证持续、平稳</w:t>
      </w:r>
    </w:p>
    <w:p w14:paraId="5F3A8D2B">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3.5蒸气流量：1000</w:t>
      </w:r>
      <w:r>
        <w:rPr>
          <w:rFonts w:hint="eastAsia" w:ascii="宋体" w:hAnsi="宋体" w:cs="宋体"/>
          <w:color w:val="auto"/>
          <w:kern w:val="16"/>
          <w:sz w:val="24"/>
          <w:szCs w:val="24"/>
          <w:highlight w:val="none"/>
          <w:lang w:eastAsia="zh-CN"/>
        </w:rPr>
        <w:t>mL</w:t>
      </w:r>
      <w:r>
        <w:rPr>
          <w:rFonts w:hint="eastAsia" w:ascii="宋体" w:hAnsi="宋体" w:eastAsia="宋体" w:cs="宋体"/>
          <w:color w:val="auto"/>
          <w:kern w:val="16"/>
          <w:sz w:val="24"/>
          <w:szCs w:val="24"/>
          <w:highlight w:val="none"/>
        </w:rPr>
        <w:t>/s±150</w:t>
      </w:r>
      <w:r>
        <w:rPr>
          <w:rFonts w:hint="eastAsia" w:ascii="宋体" w:hAnsi="宋体" w:cs="宋体"/>
          <w:color w:val="auto"/>
          <w:kern w:val="16"/>
          <w:sz w:val="24"/>
          <w:szCs w:val="24"/>
          <w:highlight w:val="none"/>
          <w:lang w:eastAsia="zh-CN"/>
        </w:rPr>
        <w:t>mL</w:t>
      </w:r>
      <w:r>
        <w:rPr>
          <w:rFonts w:hint="eastAsia" w:ascii="宋体" w:hAnsi="宋体" w:eastAsia="宋体" w:cs="宋体"/>
          <w:color w:val="auto"/>
          <w:kern w:val="16"/>
          <w:sz w:val="24"/>
          <w:szCs w:val="24"/>
          <w:highlight w:val="none"/>
        </w:rPr>
        <w:t>/s</w:t>
      </w:r>
    </w:p>
    <w:p w14:paraId="579C49F9">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3.6试验孔数：5孔</w:t>
      </w:r>
    </w:p>
    <w:p w14:paraId="35C1155D">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3.7加热浴为金属浴，升温速度快</w:t>
      </w:r>
    </w:p>
    <w:p w14:paraId="41369DCB">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sz w:val="24"/>
          <w:szCs w:val="24"/>
          <w:highlight w:val="none"/>
        </w:rPr>
        <w:t>3.8超温、过压、缺水三重保护的蒸汽发生器</w:t>
      </w:r>
    </w:p>
    <w:p w14:paraId="62F58977">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3.9数字显示温度，具有PID自整定功能、温度修正功能，控温精度高</w:t>
      </w:r>
    </w:p>
    <w:p w14:paraId="0D2D5803">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3.10数字显示时间，具有倒计时和正计时功能，并有报警音提醒</w:t>
      </w:r>
    </w:p>
    <w:p w14:paraId="0D630227">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sz w:val="24"/>
          <w:szCs w:val="24"/>
          <w:highlight w:val="none"/>
        </w:rPr>
        <w:t>3.11实验过程可自动补水。</w:t>
      </w:r>
    </w:p>
    <w:p w14:paraId="7F3D0701">
      <w:pPr>
        <w:keepNext w:val="0"/>
        <w:keepLines w:val="0"/>
        <w:pageBreakBefore w:val="0"/>
        <w:widowControl/>
        <w:kinsoku/>
        <w:wordWrap/>
        <w:overflowPunct/>
        <w:topLinePunct w:val="0"/>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4、主要配置：</w:t>
      </w:r>
    </w:p>
    <w:p w14:paraId="7CE59AB9">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主机 1台</w:t>
      </w:r>
    </w:p>
    <w:p w14:paraId="219E0F69">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蒸汽发生器 1台</w:t>
      </w:r>
    </w:p>
    <w:p w14:paraId="213182D1">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8019喷嘴 5个</w:t>
      </w:r>
    </w:p>
    <w:p w14:paraId="63D0D244">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校验喷嘴  5个</w:t>
      </w:r>
    </w:p>
    <w:p w14:paraId="00FE1E33">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白胶管（内径8mm，1.5米长）5根</w:t>
      </w:r>
    </w:p>
    <w:p w14:paraId="4079797B">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 8019胶质杯（100</w:t>
      </w:r>
      <w:r>
        <w:rPr>
          <w:rFonts w:hint="eastAsia" w:ascii="宋体" w:hAnsi="宋体" w:cs="宋体"/>
          <w:color w:val="auto"/>
          <w:sz w:val="24"/>
          <w:szCs w:val="24"/>
          <w:highlight w:val="none"/>
          <w:lang w:eastAsia="zh-CN"/>
        </w:rPr>
        <w:t>mL</w:t>
      </w:r>
      <w:r>
        <w:rPr>
          <w:rFonts w:hint="eastAsia" w:ascii="宋体" w:hAnsi="宋体" w:eastAsia="宋体" w:cs="宋体"/>
          <w:color w:val="auto"/>
          <w:sz w:val="24"/>
          <w:szCs w:val="24"/>
          <w:highlight w:val="none"/>
        </w:rPr>
        <w:t>）10个</w:t>
      </w:r>
    </w:p>
    <w:p w14:paraId="7C27F478">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 温度计（－5</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400℃）2支</w:t>
      </w:r>
    </w:p>
    <w:p w14:paraId="4BFDCD67">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 温度计支架 1套</w:t>
      </w:r>
    </w:p>
    <w:p w14:paraId="451D4A56">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4.9单独的流量计, 直接检测在常温常压下每个出口的流量，量程0-800 </w:t>
      </w:r>
      <w:r>
        <w:rPr>
          <w:rFonts w:hint="eastAsia" w:ascii="宋体" w:hAnsi="宋体" w:cs="宋体"/>
          <w:color w:val="auto"/>
          <w:sz w:val="24"/>
          <w:szCs w:val="24"/>
          <w:highlight w:val="none"/>
          <w:lang w:eastAsia="zh-CN"/>
        </w:rPr>
        <w:t>mL</w:t>
      </w:r>
      <w:r>
        <w:rPr>
          <w:rFonts w:hint="eastAsia" w:ascii="宋体" w:hAnsi="宋体" w:eastAsia="宋体" w:cs="宋体"/>
          <w:color w:val="auto"/>
          <w:sz w:val="24"/>
          <w:szCs w:val="24"/>
          <w:highlight w:val="none"/>
        </w:rPr>
        <w:t xml:space="preserve"> / s。</w:t>
      </w:r>
    </w:p>
    <w:p w14:paraId="068C2CEB">
      <w:pPr>
        <w:pStyle w:val="21"/>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、技术资料：</w:t>
      </w:r>
      <w:r>
        <w:rPr>
          <w:rFonts w:hint="eastAsia" w:ascii="宋体" w:hAnsi="宋体" w:eastAsia="宋体" w:cs="宋体"/>
          <w:color w:val="auto"/>
          <w:sz w:val="24"/>
          <w:szCs w:val="24"/>
          <w:highlight w:val="none"/>
        </w:rPr>
        <w:t>说明书、合格证1套</w:t>
      </w:r>
    </w:p>
    <w:p w14:paraId="1172432F">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6</w:t>
      </w:r>
      <w:r>
        <w:rPr>
          <w:rFonts w:hint="eastAsia" w:ascii="宋体" w:hAnsi="宋体" w:eastAsia="宋体" w:cs="宋体"/>
          <w:b/>
          <w:color w:val="auto"/>
          <w:sz w:val="24"/>
          <w:szCs w:val="24"/>
          <w:highlight w:val="none"/>
        </w:rPr>
        <w:t>、售后服务与国内培训：</w:t>
      </w:r>
    </w:p>
    <w:p w14:paraId="63E6077A">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 设备安装、调试和验收：</w:t>
      </w:r>
    </w:p>
    <w:p w14:paraId="13ACC465">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仪器到达最终用户现场并且实验室条件合格后，在接到用户通知后，中标商需安排有经验的工程技术人员到用户现场安装、调试仪器，按验收指标逐项测试，直至达到验收要求。</w:t>
      </w:r>
    </w:p>
    <w:p w14:paraId="295F891B">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 技术培训要求</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 安装验收期间，在用户所在地对用户进行仪器操作和日常维护的现场培训。 </w:t>
      </w:r>
    </w:p>
    <w:p w14:paraId="5196C9E8">
      <w:pPr>
        <w:pStyle w:val="81"/>
        <w:keepNext w:val="0"/>
        <w:keepLines w:val="0"/>
        <w:pageBreakBefore w:val="0"/>
        <w:kinsoku/>
        <w:wordWrap/>
        <w:overflowPunct/>
        <w:topLinePunct w:val="0"/>
        <w:bidi w:val="0"/>
        <w:spacing w:before="0" w:beforeAutospacing="0" w:after="0" w:afterAutospacing="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 保修期：2年免费保修。自设备验收合格之日起计算。</w:t>
      </w:r>
    </w:p>
    <w:p w14:paraId="722BE71D">
      <w:pPr>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、验收：</w:t>
      </w:r>
      <w:r>
        <w:rPr>
          <w:rFonts w:hint="eastAsia" w:ascii="宋体" w:hAnsi="宋体" w:eastAsia="宋体" w:cs="宋体"/>
          <w:color w:val="auto"/>
          <w:sz w:val="24"/>
          <w:szCs w:val="24"/>
          <w:highlight w:val="none"/>
        </w:rPr>
        <w:t>仪器到货后一周内，由厂家工程师同用户共同开箱验货，并进行免费安装调试。安装调试结束，双方签字盖章确认。</w:t>
      </w:r>
    </w:p>
    <w:p w14:paraId="231916F7">
      <w:pPr>
        <w:keepNext w:val="0"/>
        <w:keepLines w:val="0"/>
        <w:pageBreakBefore w:val="0"/>
        <w:kinsoku/>
        <w:wordWrap/>
        <w:overflowPunct/>
        <w:topLinePunct w:val="0"/>
        <w:bidi w:val="0"/>
        <w:spacing w:line="360" w:lineRule="auto"/>
        <w:ind w:firstLine="480" w:firstLineChars="200"/>
        <w:textAlignment w:val="auto"/>
        <w:rPr>
          <w:rFonts w:hint="eastAsia" w:hAnsi="宋体" w:eastAsia="宋体"/>
          <w:color w:val="auto"/>
          <w:sz w:val="24"/>
          <w:highlight w:val="none"/>
          <w:lang w:val="en-US" w:eastAsia="zh-CN"/>
        </w:rPr>
      </w:pPr>
    </w:p>
    <w:p w14:paraId="4EBA8F17">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（十二）</w:t>
      </w:r>
      <w:r>
        <w:rPr>
          <w:rFonts w:hint="eastAsia" w:ascii="宋体" w:hAnsi="宋体" w:eastAsia="宋体" w:cs="宋体"/>
          <w:b/>
          <w:bCs/>
          <w:color w:val="auto"/>
          <w:sz w:val="24"/>
          <w:highlight w:val="none"/>
          <w:lang w:val="en-US" w:eastAsia="zh-CN"/>
        </w:rPr>
        <w:t>喷气燃料电导率分析仪</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9</w:t>
      </w:r>
      <w:r>
        <w:rPr>
          <w:rFonts w:hint="eastAsia" w:cs="宋体"/>
          <w:color w:val="auto"/>
          <w:sz w:val="24"/>
          <w:highlight w:val="none"/>
        </w:rPr>
        <w:t>项，主要配置</w:t>
      </w:r>
      <w:r>
        <w:rPr>
          <w:rFonts w:hint="eastAsia" w:cs="宋体"/>
          <w:color w:val="auto"/>
          <w:sz w:val="24"/>
          <w:highlight w:val="none"/>
          <w:lang w:val="en-US" w:eastAsia="zh-CN"/>
        </w:rPr>
        <w:t>3</w:t>
      </w:r>
      <w:r>
        <w:rPr>
          <w:rFonts w:hint="eastAsia" w:cs="宋体"/>
          <w:color w:val="auto"/>
          <w:sz w:val="24"/>
          <w:highlight w:val="none"/>
        </w:rPr>
        <w:t>项</w:t>
      </w:r>
      <w:r>
        <w:rPr>
          <w:rFonts w:hint="eastAsia" w:cs="宋体"/>
          <w:color w:val="auto"/>
          <w:sz w:val="24"/>
          <w:highlight w:val="none"/>
          <w:lang w:eastAsia="zh-CN"/>
        </w:rPr>
        <w:t>。</w:t>
      </w:r>
    </w:p>
    <w:p w14:paraId="3C240259">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1、主要用途：</w:t>
      </w:r>
      <w:r>
        <w:rPr>
          <w:rFonts w:hint="eastAsia" w:ascii="宋体" w:hAnsi="宋体" w:eastAsia="宋体" w:cs="宋体"/>
          <w:color w:val="auto"/>
          <w:sz w:val="24"/>
          <w:szCs w:val="24"/>
          <w:highlight w:val="none"/>
        </w:rPr>
        <w:t>用于测定航空燃料油与馏分燃料电导率。</w:t>
      </w:r>
    </w:p>
    <w:p w14:paraId="5F4210E3">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工件条件：</w:t>
      </w:r>
    </w:p>
    <w:p w14:paraId="67F796D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2.1电源电压：220V+10%, 50Hz〜60HZ</w:t>
      </w:r>
    </w:p>
    <w:p w14:paraId="58DF6A10">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2.2温度：15-40℃</w:t>
      </w:r>
    </w:p>
    <w:p w14:paraId="6BEE7E68">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2.3工作湿度：相对湿度20-80%</w:t>
      </w:r>
    </w:p>
    <w:p w14:paraId="5FA1E28D">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技术指标：</w:t>
      </w:r>
    </w:p>
    <w:p w14:paraId="12FF57A6">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3.1符合标准：</w:t>
      </w:r>
      <w:bookmarkStart w:id="114" w:name="OLE_LINK6"/>
      <w:r>
        <w:rPr>
          <w:rFonts w:hint="eastAsia" w:ascii="宋体" w:hAnsi="宋体" w:eastAsia="宋体" w:cs="宋体"/>
          <w:color w:val="auto"/>
          <w:sz w:val="24"/>
          <w:szCs w:val="24"/>
          <w:highlight w:val="none"/>
        </w:rPr>
        <w:t>GB/T 6539</w:t>
      </w:r>
      <w:bookmarkEnd w:id="114"/>
      <w:r>
        <w:rPr>
          <w:rFonts w:hint="eastAsia" w:ascii="宋体" w:hAnsi="宋体" w:eastAsia="宋体" w:cs="宋体"/>
          <w:color w:val="auto"/>
          <w:sz w:val="24"/>
          <w:szCs w:val="24"/>
          <w:highlight w:val="none"/>
        </w:rPr>
        <w:t>\ ASTM D2624</w:t>
      </w:r>
    </w:p>
    <w:p w14:paraId="6090CDBD">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3.2电导率显示量程：（0</w:t>
      </w:r>
      <w:r>
        <w:rPr>
          <w:rFonts w:hint="eastAsia" w:ascii="宋体" w:hAnsi="宋体" w:cs="宋体"/>
          <w:color w:val="auto"/>
          <w:kern w:val="16"/>
          <w:sz w:val="24"/>
          <w:szCs w:val="24"/>
          <w:highlight w:val="none"/>
          <w:lang w:eastAsia="zh-CN"/>
        </w:rPr>
        <w:t>-</w:t>
      </w:r>
      <w:r>
        <w:rPr>
          <w:rFonts w:hint="eastAsia" w:ascii="宋体" w:hAnsi="宋体" w:eastAsia="宋体" w:cs="宋体"/>
          <w:color w:val="auto"/>
          <w:kern w:val="16"/>
          <w:sz w:val="24"/>
          <w:szCs w:val="24"/>
          <w:highlight w:val="none"/>
        </w:rPr>
        <w:t>1999）pS/m</w:t>
      </w:r>
    </w:p>
    <w:p w14:paraId="07D06CB3">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3.3电导率显示分辨率：1pS/m</w:t>
      </w:r>
    </w:p>
    <w:p w14:paraId="62924542">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sz w:val="24"/>
          <w:szCs w:val="24"/>
          <w:highlight w:val="none"/>
        </w:rPr>
        <w:t>3.4电子单元测量误差：≤±2%</w:t>
      </w:r>
    </w:p>
    <w:p w14:paraId="17BA7EF7">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sz w:val="24"/>
          <w:szCs w:val="24"/>
          <w:highlight w:val="none"/>
        </w:rPr>
        <w:t>3.5温度显示量程：</w:t>
      </w:r>
      <w:r>
        <w:rPr>
          <w:rFonts w:hint="eastAsia" w:ascii="宋体" w:hAnsi="宋体" w:eastAsia="宋体" w:cs="宋体"/>
          <w:color w:val="auto"/>
          <w:kern w:val="16"/>
          <w:sz w:val="24"/>
          <w:szCs w:val="24"/>
          <w:highlight w:val="none"/>
        </w:rPr>
        <w:t>5</w:t>
      </w:r>
      <w:r>
        <w:rPr>
          <w:rFonts w:hint="eastAsia" w:ascii="宋体" w:hAnsi="宋体" w:cs="宋体"/>
          <w:color w:val="auto"/>
          <w:kern w:val="16"/>
          <w:sz w:val="24"/>
          <w:szCs w:val="24"/>
          <w:highlight w:val="none"/>
          <w:lang w:eastAsia="zh-CN"/>
        </w:rPr>
        <w:t>-</w:t>
      </w:r>
      <w:r>
        <w:rPr>
          <w:rFonts w:hint="eastAsia" w:ascii="宋体" w:hAnsi="宋体" w:eastAsia="宋体" w:cs="宋体"/>
          <w:color w:val="auto"/>
          <w:kern w:val="16"/>
          <w:sz w:val="24"/>
          <w:szCs w:val="24"/>
          <w:highlight w:val="none"/>
        </w:rPr>
        <w:t>60℃</w:t>
      </w:r>
    </w:p>
    <w:p w14:paraId="7B38D7D3">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3.6防爆等级：</w:t>
      </w:r>
      <w:bookmarkStart w:id="115" w:name="OLE_LINK13"/>
      <w:r>
        <w:rPr>
          <w:rFonts w:hint="eastAsia" w:ascii="宋体" w:hAnsi="宋体" w:eastAsia="宋体" w:cs="宋体"/>
          <w:color w:val="auto"/>
          <w:sz w:val="24"/>
          <w:szCs w:val="24"/>
          <w:highlight w:val="none"/>
        </w:rPr>
        <w:t>Ex ia ⅡA T4</w:t>
      </w:r>
      <w:bookmarkEnd w:id="115"/>
    </w:p>
    <w:p w14:paraId="2409B63B">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3.7便携式手持仪器，体积小，便于携带使用。</w:t>
      </w:r>
    </w:p>
    <w:p w14:paraId="68F1347D">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sz w:val="24"/>
          <w:szCs w:val="24"/>
          <w:highlight w:val="none"/>
        </w:rPr>
        <w:t>3.8具备电导率测量、温度测量、自校准、清零等功能</w:t>
      </w:r>
      <w:r>
        <w:rPr>
          <w:rFonts w:hint="eastAsia" w:ascii="宋体" w:hAnsi="宋体" w:eastAsia="宋体" w:cs="宋体"/>
          <w:color w:val="auto"/>
          <w:kern w:val="16"/>
          <w:sz w:val="24"/>
          <w:szCs w:val="24"/>
          <w:highlight w:val="none"/>
        </w:rPr>
        <w:t>。</w:t>
      </w:r>
    </w:p>
    <w:p w14:paraId="3EE1446F">
      <w:pPr>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3.9电池供电，低功耗运行。</w:t>
      </w:r>
    </w:p>
    <w:p w14:paraId="35856592">
      <w:pPr>
        <w:keepNext w:val="0"/>
        <w:keepLines w:val="0"/>
        <w:pageBreakBefore w:val="0"/>
        <w:widowControl/>
        <w:kinsoku/>
        <w:wordWrap/>
        <w:overflowPunct/>
        <w:topLinePunct w:val="0"/>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主要配置：</w:t>
      </w:r>
    </w:p>
    <w:p w14:paraId="6F6684BE">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主机1台</w:t>
      </w:r>
    </w:p>
    <w:p w14:paraId="7CD1E9F0">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电池 2套</w:t>
      </w:r>
    </w:p>
    <w:p w14:paraId="12AC1EF2">
      <w:pPr>
        <w:keepNext w:val="0"/>
        <w:keepLines w:val="0"/>
        <w:pageBreakBefore w:val="0"/>
        <w:widowControl/>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专用测量容器2个（不小于1L）</w:t>
      </w:r>
    </w:p>
    <w:p w14:paraId="5EB7D342">
      <w:pPr>
        <w:pStyle w:val="21"/>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、技术资料：</w:t>
      </w:r>
      <w:r>
        <w:rPr>
          <w:rFonts w:hint="eastAsia" w:ascii="宋体" w:hAnsi="宋体" w:eastAsia="宋体" w:cs="宋体"/>
          <w:color w:val="auto"/>
          <w:sz w:val="24"/>
          <w:szCs w:val="24"/>
          <w:highlight w:val="none"/>
        </w:rPr>
        <w:t>说明书、合格证1套</w:t>
      </w:r>
    </w:p>
    <w:p w14:paraId="568853F4">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6</w:t>
      </w:r>
      <w:r>
        <w:rPr>
          <w:rFonts w:hint="eastAsia" w:ascii="宋体" w:hAnsi="宋体" w:eastAsia="宋体" w:cs="宋体"/>
          <w:b/>
          <w:color w:val="auto"/>
          <w:sz w:val="24"/>
          <w:szCs w:val="24"/>
          <w:highlight w:val="none"/>
        </w:rPr>
        <w:t>、售后服务与国内培训：</w:t>
      </w:r>
    </w:p>
    <w:p w14:paraId="28D9AA8B">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 设备安装、调试和验收：</w:t>
      </w:r>
    </w:p>
    <w:p w14:paraId="5B5248CD">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仪器到达最终用户现场并且实验室条件合格后，在接到用户通知后，中标商需安排有经验的工程技术人员到用户现场安装、调试仪器，按验收指标逐项测试，直至达到验收要求。</w:t>
      </w:r>
    </w:p>
    <w:p w14:paraId="0C3676A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 技术培训要求</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安装验收期间，在用户所在地对用户进行仪器操作和日常维护的现场培训。 </w:t>
      </w:r>
    </w:p>
    <w:p w14:paraId="1EAD7DEC">
      <w:pPr>
        <w:pStyle w:val="81"/>
        <w:keepNext w:val="0"/>
        <w:keepLines w:val="0"/>
        <w:pageBreakBefore w:val="0"/>
        <w:kinsoku/>
        <w:wordWrap/>
        <w:overflowPunct/>
        <w:topLinePunct w:val="0"/>
        <w:bidi w:val="0"/>
        <w:spacing w:before="0" w:beforeAutospacing="0" w:after="0" w:afterAutospacing="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 保修期：2年免费保修。自设备验收合格之日起计算。</w:t>
      </w:r>
    </w:p>
    <w:p w14:paraId="55FBF11F">
      <w:pPr>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、验收：</w:t>
      </w:r>
      <w:r>
        <w:rPr>
          <w:rFonts w:hint="eastAsia" w:ascii="宋体" w:hAnsi="宋体" w:eastAsia="宋体" w:cs="宋体"/>
          <w:color w:val="auto"/>
          <w:sz w:val="24"/>
          <w:szCs w:val="24"/>
          <w:highlight w:val="none"/>
        </w:rPr>
        <w:t>仪器到货后一周内，由厂家工程师同用户共同开箱验货，并进行免费安装调试。安装调试结束，双方签字盖章确认。</w:t>
      </w:r>
    </w:p>
    <w:p w14:paraId="4CED634A">
      <w:pPr>
        <w:keepNext w:val="0"/>
        <w:keepLines w:val="0"/>
        <w:pageBreakBefore w:val="0"/>
        <w:kinsoku/>
        <w:wordWrap/>
        <w:overflowPunct/>
        <w:topLinePunct w:val="0"/>
        <w:autoSpaceDE w:val="0"/>
        <w:autoSpaceDN w:val="0"/>
        <w:bidi w:val="0"/>
        <w:spacing w:line="360" w:lineRule="auto"/>
        <w:ind w:firstLine="480" w:firstLineChars="200"/>
        <w:textAlignment w:val="auto"/>
        <w:rPr>
          <w:rFonts w:hint="eastAsia" w:ascii="宋体" w:hAnsi="宋体" w:eastAsia="宋体" w:cs="宋体"/>
          <w:b w:val="0"/>
          <w:bCs/>
          <w:color w:val="auto"/>
          <w:kern w:val="0"/>
          <w:sz w:val="24"/>
          <w:szCs w:val="24"/>
          <w:highlight w:val="none"/>
          <w:lang w:val="en-US" w:eastAsia="zh-CN" w:bidi="ar-SA"/>
        </w:rPr>
      </w:pPr>
    </w:p>
    <w:p w14:paraId="5A431E26">
      <w:pPr>
        <w:keepNext w:val="0"/>
        <w:keepLines w:val="0"/>
        <w:pageBreakBefore w:val="0"/>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（十三）电子天平（规格二）</w:t>
      </w:r>
      <w:r>
        <w:rPr>
          <w:rFonts w:hint="eastAsia" w:ascii="宋体" w:hAnsi="宋体" w:cs="宋体"/>
          <w:b/>
          <w:bCs/>
          <w:color w:val="auto"/>
          <w:sz w:val="24"/>
          <w:highlight w:val="none"/>
          <w:lang w:eastAsia="zh-CN"/>
        </w:rPr>
        <w:t>，</w:t>
      </w:r>
      <w:r>
        <w:rPr>
          <w:rFonts w:hint="eastAsia" w:cs="宋体"/>
          <w:color w:val="auto"/>
          <w:sz w:val="24"/>
          <w:highlight w:val="none"/>
        </w:rPr>
        <w:t>非“★”、非“▲”项参数技术指标</w:t>
      </w:r>
      <w:r>
        <w:rPr>
          <w:rFonts w:hint="eastAsia" w:cs="宋体"/>
          <w:color w:val="auto"/>
          <w:sz w:val="24"/>
          <w:highlight w:val="none"/>
          <w:lang w:val="en-US" w:eastAsia="zh-CN"/>
        </w:rPr>
        <w:t>16</w:t>
      </w:r>
      <w:r>
        <w:rPr>
          <w:rFonts w:hint="eastAsia" w:cs="宋体"/>
          <w:color w:val="auto"/>
          <w:sz w:val="24"/>
          <w:highlight w:val="none"/>
        </w:rPr>
        <w:t>项，主要配置</w:t>
      </w:r>
      <w:r>
        <w:rPr>
          <w:rFonts w:hint="eastAsia" w:cs="宋体"/>
          <w:color w:val="auto"/>
          <w:sz w:val="24"/>
          <w:highlight w:val="none"/>
          <w:lang w:val="en-US" w:eastAsia="zh-CN"/>
        </w:rPr>
        <w:t>1</w:t>
      </w:r>
      <w:r>
        <w:rPr>
          <w:rFonts w:hint="eastAsia" w:cs="宋体"/>
          <w:color w:val="auto"/>
          <w:sz w:val="24"/>
          <w:highlight w:val="none"/>
        </w:rPr>
        <w:t>项</w:t>
      </w:r>
      <w:r>
        <w:rPr>
          <w:rFonts w:hint="eastAsia" w:cs="宋体"/>
          <w:color w:val="auto"/>
          <w:sz w:val="24"/>
          <w:highlight w:val="none"/>
          <w:lang w:eastAsia="zh-CN"/>
        </w:rPr>
        <w:t>。</w:t>
      </w:r>
    </w:p>
    <w:p w14:paraId="3A40DC2D">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1、主要用途：</w:t>
      </w:r>
      <w:r>
        <w:rPr>
          <w:rFonts w:hint="eastAsia" w:ascii="宋体" w:hAnsi="宋体" w:eastAsia="宋体" w:cs="宋体"/>
          <w:color w:val="auto"/>
          <w:sz w:val="24"/>
          <w:szCs w:val="24"/>
          <w:highlight w:val="none"/>
        </w:rPr>
        <w:t>用于样品称重。</w:t>
      </w:r>
    </w:p>
    <w:p w14:paraId="7063D84F">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cs="宋体"/>
          <w:b/>
          <w:color w:val="auto"/>
          <w:sz w:val="24"/>
          <w:szCs w:val="24"/>
          <w:highlight w:val="none"/>
          <w:lang w:eastAsia="zh-CN"/>
        </w:rPr>
        <w:t>、</w:t>
      </w:r>
      <w:r>
        <w:rPr>
          <w:rFonts w:hint="eastAsia" w:ascii="宋体" w:hAnsi="宋体" w:eastAsia="宋体" w:cs="宋体"/>
          <w:b/>
          <w:color w:val="auto"/>
          <w:sz w:val="24"/>
          <w:szCs w:val="24"/>
          <w:highlight w:val="none"/>
        </w:rPr>
        <w:t>工件条件：</w:t>
      </w:r>
    </w:p>
    <w:p w14:paraId="5121BAD0">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2.1电源电压：220V+10%, 50Hz</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60HZ</w:t>
      </w:r>
    </w:p>
    <w:p w14:paraId="4859C747">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2.2温度：0-40℃</w:t>
      </w:r>
    </w:p>
    <w:p w14:paraId="4A35D5E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2.3工作湿度：相对湿度20-80%</w:t>
      </w:r>
    </w:p>
    <w:p w14:paraId="5A372C13">
      <w:pPr>
        <w:pStyle w:val="28"/>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cs="宋体"/>
          <w:b/>
          <w:color w:val="auto"/>
          <w:sz w:val="24"/>
          <w:szCs w:val="24"/>
          <w:highlight w:val="none"/>
          <w:lang w:eastAsia="zh-CN"/>
        </w:rPr>
        <w:t>、</w:t>
      </w:r>
      <w:r>
        <w:rPr>
          <w:rFonts w:hint="eastAsia" w:ascii="宋体" w:hAnsi="宋体" w:eastAsia="宋体" w:cs="宋体"/>
          <w:b/>
          <w:color w:val="auto"/>
          <w:sz w:val="24"/>
          <w:szCs w:val="24"/>
          <w:highlight w:val="none"/>
        </w:rPr>
        <w:t>技术指标：</w:t>
      </w:r>
    </w:p>
    <w:p w14:paraId="0B58D76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3.1称重范围：≥200g</w:t>
      </w:r>
    </w:p>
    <w:p w14:paraId="7F246A94">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3.2可读性：0.1mg</w:t>
      </w:r>
    </w:p>
    <w:p w14:paraId="383E1F7F">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3.3响应时间(平均) ：≤1.5 S</w:t>
      </w:r>
    </w:p>
    <w:p w14:paraId="75213A97">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3.4重复性典型值（5%量程）±0.08mg</w:t>
      </w:r>
    </w:p>
    <w:p w14:paraId="259C45C3">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3.5线性（典型值）±0.06mg</w:t>
      </w:r>
    </w:p>
    <w:p w14:paraId="1D2CEF2D">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3.6称盘形状与尺寸：圆形，直径≥90mm</w:t>
      </w:r>
    </w:p>
    <w:p w14:paraId="7A3BF6FD">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3.7采用单体传感器，确保响应速度快。</w:t>
      </w:r>
    </w:p>
    <w:p w14:paraId="25F9C293">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3.8高分辨率全彩触摸屏（屏幕尺寸不小于7英寸）和流畅的内置软件，操作更方便。</w:t>
      </w:r>
    </w:p>
    <w:p w14:paraId="7C51D730">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3.9具有全自动内校功能，一键全自动调水平功能。</w:t>
      </w:r>
    </w:p>
    <w:p w14:paraId="3E62CB19">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3.10集成多个应用程序，包括称重、 配料、质量单位换算、计数、百分比称重、计算、混合、成分、密度测定、统计、检查称重、动物称重、峰值保持、移液器智能检查、差动称量、下吊钩称重等。</w:t>
      </w:r>
    </w:p>
    <w:p w14:paraId="48EC2DF9">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3.11天平外壳具有高度防腐蚀功能，更易于日常清洁与维护。</w:t>
      </w:r>
    </w:p>
    <w:p w14:paraId="66B0B919">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3.12天平内置了可自由配置的用户管理和角色权限功能，应对不同级别的实验室设备访问与管理要求的完整解决方案。</w:t>
      </w:r>
    </w:p>
    <w:p w14:paraId="3AFAFA88">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3.13多种语言选项，至少应包含简体中文、英语等，可灵活切换。</w:t>
      </w:r>
    </w:p>
    <w:p w14:paraId="0B313303">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3.14支持通过USB 、C型接口、RS232 9针接口、以太网接口等与外部设备进行多重连接。</w:t>
      </w:r>
    </w:p>
    <w:p w14:paraId="6B3C9F6D">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3.15样品标识功能允许根据具体需求定制打印输出信息。具有交互式触摸显示屏和字母数字输入功能，可简化输入复杂样品 ID、批次 ID 或项目 ID 的过程。</w:t>
      </w:r>
    </w:p>
    <w:p w14:paraId="54E993AA">
      <w:pPr>
        <w:pStyle w:val="28"/>
        <w:keepNext w:val="0"/>
        <w:keepLines w:val="0"/>
        <w:pageBreakBefore w:val="0"/>
        <w:kinsoku/>
        <w:wordWrap/>
        <w:overflowPunct/>
        <w:topLinePunct w:val="0"/>
        <w:bidi w:val="0"/>
        <w:spacing w:before="0" w:beforeAutospacing="0" w:after="0" w:afterAutospacing="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3.16全自动唤醒功能，无需人员手动操作，即可自动将天平唤醒，并自动完成内校和预热，并处于随时可用状态。</w:t>
      </w:r>
    </w:p>
    <w:p w14:paraId="2AF3AE4D">
      <w:pPr>
        <w:keepNext w:val="0"/>
        <w:keepLines w:val="0"/>
        <w:pageBreakBefore w:val="0"/>
        <w:widowControl/>
        <w:kinsoku/>
        <w:wordWrap/>
        <w:overflowPunct/>
        <w:topLinePunct w:val="0"/>
        <w:bidi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4、主要配置：</w:t>
      </w:r>
      <w:r>
        <w:rPr>
          <w:rFonts w:hint="eastAsia" w:ascii="宋体" w:hAnsi="宋体" w:eastAsia="宋体" w:cs="宋体"/>
          <w:color w:val="auto"/>
          <w:sz w:val="24"/>
          <w:szCs w:val="24"/>
          <w:highlight w:val="none"/>
        </w:rPr>
        <w:t>主机1台</w:t>
      </w:r>
    </w:p>
    <w:p w14:paraId="7906FED8">
      <w:pPr>
        <w:pStyle w:val="21"/>
        <w:keepNext w:val="0"/>
        <w:keepLines w:val="0"/>
        <w:pageBreakBefore w:val="0"/>
        <w:kinsoku/>
        <w:wordWrap/>
        <w:overflowPunct/>
        <w:topLinePunct w:val="0"/>
        <w:bidi w:val="0"/>
        <w:spacing w:before="0" w:beforeAutospacing="0" w:after="0" w:afterAutospacing="0"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、技术资料：</w:t>
      </w:r>
      <w:r>
        <w:rPr>
          <w:rFonts w:hint="eastAsia" w:ascii="宋体" w:hAnsi="宋体" w:eastAsia="宋体" w:cs="宋体"/>
          <w:color w:val="auto"/>
          <w:sz w:val="24"/>
          <w:szCs w:val="24"/>
          <w:highlight w:val="none"/>
        </w:rPr>
        <w:t>说明书、合格证1套</w:t>
      </w:r>
    </w:p>
    <w:p w14:paraId="58FAE41A">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6</w:t>
      </w:r>
      <w:r>
        <w:rPr>
          <w:rFonts w:hint="eastAsia" w:ascii="宋体" w:hAnsi="宋体" w:eastAsia="宋体" w:cs="宋体"/>
          <w:b/>
          <w:color w:val="auto"/>
          <w:sz w:val="24"/>
          <w:szCs w:val="24"/>
          <w:highlight w:val="none"/>
        </w:rPr>
        <w:t>、售后服务与国内培训：</w:t>
      </w:r>
    </w:p>
    <w:p w14:paraId="7F7CE56E">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.1 设备安装、调试和验收：</w:t>
      </w:r>
    </w:p>
    <w:p w14:paraId="7C508CFF">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仪器到达最终用户现场并且实验室条件合格后，在接到用户通知后，中标商需安排有经验的工程技术人员到用户现场安装、调试仪器，按验收指标逐项测试，直至达到验收要求。</w:t>
      </w:r>
    </w:p>
    <w:p w14:paraId="2E1854E5">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.2 技术培训要求</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安装验收期间，在用户所在地对用户进行仪器操作和日常维护的现场培训。 </w:t>
      </w:r>
    </w:p>
    <w:p w14:paraId="3195A747">
      <w:pPr>
        <w:pStyle w:val="81"/>
        <w:keepNext w:val="0"/>
        <w:keepLines w:val="0"/>
        <w:pageBreakBefore w:val="0"/>
        <w:kinsoku/>
        <w:wordWrap/>
        <w:overflowPunct/>
        <w:topLinePunct w:val="0"/>
        <w:bidi w:val="0"/>
        <w:spacing w:before="0" w:beforeAutospacing="0" w:after="0" w:afterAutospacing="0"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 保修期：</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年免费保修。自设备验收合格之日起计算。</w:t>
      </w:r>
    </w:p>
    <w:p w14:paraId="58637FC4">
      <w:pPr>
        <w:keepNext w:val="0"/>
        <w:keepLines w:val="0"/>
        <w:pageBreakBefore w:val="0"/>
        <w:kinsoku/>
        <w:wordWrap/>
        <w:overflowPunct/>
        <w:topLinePunct w:val="0"/>
        <w:bidi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rPr>
        <w:t>、验收：</w:t>
      </w:r>
      <w:r>
        <w:rPr>
          <w:rFonts w:hint="eastAsia" w:ascii="宋体" w:hAnsi="宋体" w:eastAsia="宋体" w:cs="宋体"/>
          <w:color w:val="auto"/>
          <w:sz w:val="24"/>
          <w:szCs w:val="24"/>
          <w:highlight w:val="none"/>
        </w:rPr>
        <w:t>仪器到货后一周内，由厂家工程师同用户共同开箱验货，并进行免费安装调试。安装调试结束，双方签字盖章确认。</w:t>
      </w:r>
    </w:p>
    <w:p w14:paraId="2929F437">
      <w:pPr>
        <w:widowControl/>
        <w:spacing w:line="360" w:lineRule="auto"/>
        <w:rPr>
          <w:rFonts w:hint="eastAsia" w:ascii="宋体" w:hAnsi="宋体" w:eastAsia="宋体" w:cs="宋体"/>
          <w:color w:val="auto"/>
          <w:sz w:val="24"/>
          <w:szCs w:val="24"/>
          <w:highlight w:val="none"/>
        </w:rPr>
      </w:pPr>
    </w:p>
    <w:p w14:paraId="54A20A8F">
      <w:pPr>
        <w:widowControl/>
        <w:spacing w:line="360" w:lineRule="auto"/>
        <w:rPr>
          <w:rFonts w:hint="eastAsia" w:ascii="宋体" w:hAnsi="宋体" w:eastAsia="宋体" w:cs="宋体"/>
          <w:color w:val="auto"/>
          <w:sz w:val="24"/>
          <w:szCs w:val="24"/>
          <w:highlight w:val="none"/>
        </w:rPr>
      </w:pPr>
    </w:p>
    <w:p w14:paraId="6DE295BB">
      <w:pPr>
        <w:widowControl/>
        <w:spacing w:line="360" w:lineRule="auto"/>
        <w:rPr>
          <w:rFonts w:hint="eastAsia" w:ascii="宋体" w:hAnsi="宋体"/>
          <w:b/>
          <w:bCs/>
          <w:color w:val="auto"/>
          <w:sz w:val="24"/>
          <w:highlight w:val="none"/>
        </w:rPr>
      </w:pPr>
      <w:r>
        <w:rPr>
          <w:rFonts w:hint="eastAsia" w:ascii="宋体" w:hAnsi="宋体"/>
          <w:b/>
          <w:bCs/>
          <w:color w:val="auto"/>
          <w:sz w:val="24"/>
          <w:highlight w:val="none"/>
          <w:lang w:val="en-US" w:eastAsia="zh-CN"/>
        </w:rPr>
        <w:t>四</w:t>
      </w:r>
      <w:r>
        <w:rPr>
          <w:rFonts w:hint="eastAsia" w:ascii="宋体" w:hAnsi="宋体"/>
          <w:b/>
          <w:bCs/>
          <w:color w:val="auto"/>
          <w:sz w:val="24"/>
          <w:highlight w:val="none"/>
        </w:rPr>
        <w:t>、</w:t>
      </w:r>
      <w:r>
        <w:rPr>
          <w:rFonts w:hint="eastAsia" w:ascii="宋体" w:hAnsi="宋体"/>
          <w:b/>
          <w:bCs/>
          <w:color w:val="auto"/>
          <w:sz w:val="24"/>
          <w:highlight w:val="none"/>
          <w:lang w:eastAsia="zh-CN"/>
        </w:rPr>
        <w:t>商务</w:t>
      </w:r>
      <w:r>
        <w:rPr>
          <w:rFonts w:hint="eastAsia" w:ascii="宋体" w:hAnsi="宋体"/>
          <w:b/>
          <w:bCs/>
          <w:color w:val="auto"/>
          <w:sz w:val="24"/>
          <w:highlight w:val="none"/>
        </w:rPr>
        <w:t>要求</w:t>
      </w:r>
    </w:p>
    <w:p w14:paraId="0920A759">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1、</w:t>
      </w:r>
      <w:r>
        <w:rPr>
          <w:rFonts w:hint="eastAsia" w:ascii="宋体" w:hAnsi="宋体"/>
          <w:color w:val="auto"/>
          <w:sz w:val="24"/>
          <w:highlight w:val="none"/>
        </w:rPr>
        <w:t>交货地点：大连海关技术中心指定地点。</w:t>
      </w:r>
    </w:p>
    <w:p w14:paraId="7C6890D2">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2、</w:t>
      </w:r>
      <w:r>
        <w:rPr>
          <w:rFonts w:hint="eastAsia" w:ascii="宋体" w:hAnsi="宋体"/>
          <w:color w:val="auto"/>
          <w:sz w:val="24"/>
          <w:highlight w:val="none"/>
        </w:rPr>
        <w:t>供货期：自签订合同之日起，</w:t>
      </w:r>
      <w:r>
        <w:rPr>
          <w:rFonts w:hint="eastAsia" w:ascii="宋体" w:hAnsi="宋体"/>
          <w:color w:val="auto"/>
          <w:sz w:val="24"/>
          <w:highlight w:val="none"/>
          <w:lang w:val="en-US" w:eastAsia="zh-CN"/>
        </w:rPr>
        <w:t>35</w:t>
      </w:r>
      <w:r>
        <w:rPr>
          <w:rFonts w:hint="eastAsia" w:ascii="宋体" w:hAnsi="宋体"/>
          <w:color w:val="auto"/>
          <w:sz w:val="24"/>
          <w:highlight w:val="none"/>
        </w:rPr>
        <w:t>个日历日内全部到货。</w:t>
      </w:r>
    </w:p>
    <w:p w14:paraId="08A12623">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3、</w:t>
      </w:r>
      <w:r>
        <w:rPr>
          <w:rFonts w:hint="eastAsia" w:ascii="宋体" w:hAnsi="宋体"/>
          <w:color w:val="auto"/>
          <w:sz w:val="24"/>
          <w:highlight w:val="none"/>
        </w:rPr>
        <w:t>本项目不接受进口产品投标。</w:t>
      </w:r>
    </w:p>
    <w:p w14:paraId="1B6943DE">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付款方式：</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color w:val="auto"/>
          <w:sz w:val="24"/>
          <w:highlight w:val="none"/>
        </w:rPr>
        <w:t>合同签订后，</w:t>
      </w:r>
      <w:r>
        <w:rPr>
          <w:rFonts w:hint="eastAsia" w:ascii="宋体" w:hAnsi="宋体"/>
          <w:color w:val="auto"/>
          <w:sz w:val="24"/>
          <w:highlight w:val="none"/>
          <w:lang w:eastAsia="zh-CN"/>
        </w:rPr>
        <w:t>中标人</w:t>
      </w:r>
      <w:r>
        <w:rPr>
          <w:rFonts w:hint="eastAsia" w:ascii="宋体" w:hAnsi="宋体"/>
          <w:color w:val="auto"/>
          <w:sz w:val="24"/>
          <w:highlight w:val="none"/>
        </w:rPr>
        <w:t>提交下述单据之日起10个工作日内，</w:t>
      </w:r>
      <w:r>
        <w:rPr>
          <w:rFonts w:hint="eastAsia" w:ascii="宋体" w:hAnsi="宋体"/>
          <w:color w:val="auto"/>
          <w:sz w:val="24"/>
          <w:highlight w:val="none"/>
          <w:lang w:eastAsia="zh-CN"/>
        </w:rPr>
        <w:t>招标人</w:t>
      </w:r>
      <w:r>
        <w:rPr>
          <w:rFonts w:hint="eastAsia" w:ascii="宋体" w:hAnsi="宋体"/>
          <w:color w:val="auto"/>
          <w:sz w:val="24"/>
          <w:highlight w:val="none"/>
        </w:rPr>
        <w:t>向</w:t>
      </w:r>
      <w:r>
        <w:rPr>
          <w:rFonts w:hint="eastAsia" w:ascii="宋体" w:hAnsi="宋体"/>
          <w:color w:val="auto"/>
          <w:sz w:val="24"/>
          <w:highlight w:val="none"/>
          <w:lang w:eastAsia="zh-CN"/>
        </w:rPr>
        <w:t>中标人</w:t>
      </w:r>
      <w:r>
        <w:rPr>
          <w:rFonts w:hint="eastAsia" w:ascii="宋体" w:hAnsi="宋体"/>
          <w:color w:val="auto"/>
          <w:sz w:val="24"/>
          <w:highlight w:val="none"/>
        </w:rPr>
        <w:t>支付合同总价70%款项。</w:t>
      </w:r>
    </w:p>
    <w:p w14:paraId="61100D9D">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中标人</w:t>
      </w:r>
      <w:r>
        <w:rPr>
          <w:rFonts w:hint="eastAsia" w:ascii="宋体" w:hAnsi="宋体"/>
          <w:color w:val="auto"/>
          <w:sz w:val="24"/>
          <w:highlight w:val="none"/>
        </w:rPr>
        <w:t>提交单据：合同（正文部分复印件）、中标通知书、单台/套设备对应款项发票（原件）、履约保证金单据。</w:t>
      </w:r>
    </w:p>
    <w:p w14:paraId="7D966EBF">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单台/套设备完成全部到货、安装调试，且经</w:t>
      </w:r>
      <w:r>
        <w:rPr>
          <w:rFonts w:hint="eastAsia" w:ascii="宋体" w:hAnsi="宋体"/>
          <w:color w:val="auto"/>
          <w:sz w:val="24"/>
          <w:highlight w:val="none"/>
          <w:lang w:eastAsia="zh-CN"/>
        </w:rPr>
        <w:t>招标人</w:t>
      </w:r>
      <w:r>
        <w:rPr>
          <w:rFonts w:hint="eastAsia" w:ascii="宋体" w:hAnsi="宋体"/>
          <w:color w:val="auto"/>
          <w:sz w:val="24"/>
          <w:highlight w:val="none"/>
        </w:rPr>
        <w:t>验收合格后，</w:t>
      </w:r>
      <w:r>
        <w:rPr>
          <w:rFonts w:hint="eastAsia" w:ascii="宋体" w:hAnsi="宋体"/>
          <w:color w:val="auto"/>
          <w:sz w:val="24"/>
          <w:highlight w:val="none"/>
          <w:lang w:eastAsia="zh-CN"/>
        </w:rPr>
        <w:t>中标人</w:t>
      </w:r>
      <w:r>
        <w:rPr>
          <w:rFonts w:hint="eastAsia" w:ascii="宋体" w:hAnsi="宋体"/>
          <w:color w:val="auto"/>
          <w:sz w:val="24"/>
          <w:highlight w:val="none"/>
        </w:rPr>
        <w:t>向</w:t>
      </w:r>
      <w:r>
        <w:rPr>
          <w:rFonts w:hint="eastAsia" w:ascii="宋体" w:hAnsi="宋体"/>
          <w:color w:val="auto"/>
          <w:sz w:val="24"/>
          <w:highlight w:val="none"/>
          <w:lang w:eastAsia="zh-CN"/>
        </w:rPr>
        <w:t>招标人</w:t>
      </w:r>
      <w:r>
        <w:rPr>
          <w:rFonts w:hint="eastAsia" w:ascii="宋体" w:hAnsi="宋体"/>
          <w:color w:val="auto"/>
          <w:sz w:val="24"/>
          <w:highlight w:val="none"/>
        </w:rPr>
        <w:t>提交下述单据之日起10个工作日内，</w:t>
      </w:r>
      <w:r>
        <w:rPr>
          <w:rFonts w:hint="eastAsia" w:ascii="宋体" w:hAnsi="宋体"/>
          <w:color w:val="auto"/>
          <w:sz w:val="24"/>
          <w:highlight w:val="none"/>
          <w:lang w:eastAsia="zh-CN"/>
        </w:rPr>
        <w:t>招标人</w:t>
      </w:r>
      <w:r>
        <w:rPr>
          <w:rFonts w:hint="eastAsia" w:ascii="宋体" w:hAnsi="宋体"/>
          <w:color w:val="auto"/>
          <w:sz w:val="24"/>
          <w:highlight w:val="none"/>
        </w:rPr>
        <w:t>向</w:t>
      </w:r>
      <w:r>
        <w:rPr>
          <w:rFonts w:hint="eastAsia" w:ascii="宋体" w:hAnsi="宋体"/>
          <w:color w:val="auto"/>
          <w:sz w:val="24"/>
          <w:highlight w:val="none"/>
          <w:lang w:eastAsia="zh-CN"/>
        </w:rPr>
        <w:t>中标人</w:t>
      </w:r>
      <w:r>
        <w:rPr>
          <w:rFonts w:hint="eastAsia" w:ascii="宋体" w:hAnsi="宋体"/>
          <w:color w:val="auto"/>
          <w:sz w:val="24"/>
          <w:highlight w:val="none"/>
        </w:rPr>
        <w:t>支付该单台/套设备价格30%款项。</w:t>
      </w:r>
    </w:p>
    <w:p w14:paraId="021FA65C">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中标人</w:t>
      </w:r>
      <w:r>
        <w:rPr>
          <w:rFonts w:hint="eastAsia" w:ascii="宋体" w:hAnsi="宋体"/>
          <w:color w:val="auto"/>
          <w:sz w:val="24"/>
          <w:highlight w:val="none"/>
        </w:rPr>
        <w:t>提交单据：单台/套设备对应款项发票（原件）、到货验收报告、安装调试验收合格报告（须装订成册）（复印件）。</w:t>
      </w:r>
    </w:p>
    <w:p w14:paraId="535E1207">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b/>
          <w:bCs/>
          <w:color w:val="auto"/>
          <w:sz w:val="24"/>
          <w:highlight w:val="none"/>
          <w:lang w:val="en-US" w:eastAsia="zh-CN"/>
        </w:rPr>
        <w:t>5.</w:t>
      </w:r>
      <w:r>
        <w:rPr>
          <w:rFonts w:hint="eastAsia" w:ascii="宋体" w:hAnsi="宋体"/>
          <w:b/>
          <w:bCs/>
          <w:color w:val="auto"/>
          <w:sz w:val="24"/>
          <w:highlight w:val="none"/>
        </w:rPr>
        <w:t>履约保证金</w:t>
      </w:r>
    </w:p>
    <w:p w14:paraId="64C97B9B">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（1）中标人在领取中标通知书后与采购人签订合同，并在合同签订后5个工作日内，向采购人提供合同金额5%履约保证金。</w:t>
      </w:r>
    </w:p>
    <w:p w14:paraId="2C6B6680">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（2）履约保证金可以是支票或银行汇票或银行出具的不可撤销的履约保函或有关单位或银行出具的履约担保函。</w:t>
      </w:r>
    </w:p>
    <w:p w14:paraId="17F53E9D">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（3）如果中标人未能履行合同并给采购人造成损失，履约保证金将作为对这一损失的补偿而付给采购人。</w:t>
      </w:r>
    </w:p>
    <w:p w14:paraId="020FC7F5">
      <w:pPr>
        <w:widowControl/>
        <w:spacing w:line="360" w:lineRule="auto"/>
        <w:ind w:firstLine="480" w:firstLineChars="200"/>
        <w:rPr>
          <w:rFonts w:hint="eastAsia" w:ascii="宋体" w:hAnsi="宋体"/>
          <w:color w:val="auto"/>
          <w:sz w:val="24"/>
          <w:highlight w:val="none"/>
        </w:rPr>
      </w:pPr>
    </w:p>
    <w:p w14:paraId="576ED27F">
      <w:pPr>
        <w:pStyle w:val="99"/>
        <w:numPr>
          <w:ilvl w:val="0"/>
          <w:numId w:val="0"/>
        </w:numPr>
        <w:ind w:left="432" w:hanging="432"/>
        <w:rPr>
          <w:rFonts w:ascii="宋体" w:hAnsi="宋体" w:cs="宋体"/>
          <w:b/>
          <w:color w:val="auto"/>
          <w:highlight w:val="none"/>
        </w:rPr>
      </w:pPr>
    </w:p>
    <w:p w14:paraId="4A09A694">
      <w:pPr>
        <w:pStyle w:val="99"/>
        <w:numPr>
          <w:ilvl w:val="0"/>
          <w:numId w:val="0"/>
        </w:numPr>
        <w:ind w:left="432" w:hanging="432"/>
        <w:rPr>
          <w:rFonts w:ascii="宋体" w:hAnsi="宋体" w:cs="宋体"/>
          <w:b/>
          <w:color w:val="auto"/>
          <w:highlight w:val="none"/>
        </w:rPr>
      </w:pPr>
      <w:r>
        <w:rPr>
          <w:rFonts w:hint="eastAsia" w:ascii="宋体" w:hAnsi="宋体" w:cs="宋体"/>
          <w:b/>
          <w:color w:val="auto"/>
          <w:highlight w:val="none"/>
          <w:lang w:val="en-US" w:eastAsia="zh-CN"/>
        </w:rPr>
        <w:t>五</w:t>
      </w:r>
      <w:r>
        <w:rPr>
          <w:rFonts w:hint="eastAsia" w:ascii="宋体" w:hAnsi="宋体" w:cs="宋体"/>
          <w:b/>
          <w:color w:val="auto"/>
          <w:highlight w:val="none"/>
        </w:rPr>
        <w:t>、对中标人的其他要求</w:t>
      </w:r>
    </w:p>
    <w:p w14:paraId="0C888BAD">
      <w:pPr>
        <w:pStyle w:val="99"/>
        <w:numPr>
          <w:ilvl w:val="0"/>
          <w:numId w:val="0"/>
        </w:numPr>
        <w:ind w:firstLine="480" w:firstLineChars="200"/>
        <w:rPr>
          <w:rFonts w:ascii="宋体" w:hAnsi="宋体" w:cs="宋体"/>
          <w:color w:val="auto"/>
          <w:kern w:val="0"/>
          <w:highlight w:val="none"/>
        </w:rPr>
      </w:pPr>
      <w:r>
        <w:rPr>
          <w:rFonts w:hint="eastAsia" w:ascii="宋体" w:hAnsi="宋体" w:cs="宋体"/>
          <w:color w:val="auto"/>
          <w:kern w:val="0"/>
          <w:highlight w:val="none"/>
        </w:rPr>
        <w:t>1、中标人不得将本项目转包给第三方，如发现转包，中标人应接受无条件退货承担相应的法律责任。</w:t>
      </w:r>
    </w:p>
    <w:p w14:paraId="0B69CFE7">
      <w:pPr>
        <w:pStyle w:val="99"/>
        <w:numPr>
          <w:ilvl w:val="0"/>
          <w:numId w:val="0"/>
        </w:numPr>
        <w:ind w:firstLine="480" w:firstLineChars="200"/>
        <w:rPr>
          <w:rFonts w:ascii="宋体" w:hAnsi="宋体" w:cs="宋体"/>
          <w:color w:val="auto"/>
          <w:kern w:val="0"/>
          <w:highlight w:val="none"/>
        </w:rPr>
      </w:pPr>
      <w:r>
        <w:rPr>
          <w:rFonts w:hint="eastAsia" w:ascii="宋体" w:hAnsi="宋体" w:cs="宋体"/>
          <w:color w:val="auto"/>
          <w:kern w:val="0"/>
          <w:highlight w:val="none"/>
        </w:rPr>
        <w:t>2、中标人投标报价为全包价格，无二次费用增加。</w:t>
      </w:r>
    </w:p>
    <w:p w14:paraId="10280F58">
      <w:pPr>
        <w:pStyle w:val="99"/>
        <w:numPr>
          <w:ilvl w:val="0"/>
          <w:numId w:val="0"/>
        </w:numPr>
        <w:ind w:firstLine="480" w:firstLineChars="200"/>
        <w:rPr>
          <w:color w:val="auto"/>
          <w:kern w:val="0"/>
          <w:highlight w:val="none"/>
        </w:rPr>
      </w:pPr>
      <w:r>
        <w:rPr>
          <w:rFonts w:hint="eastAsia" w:ascii="宋体" w:hAnsi="宋体" w:cs="宋体"/>
          <w:color w:val="auto"/>
          <w:kern w:val="0"/>
          <w:highlight w:val="none"/>
        </w:rPr>
        <w:t>3、因中标人原因未按时供货，造成采购人无法及时使用，由此为采购人造成的损失由中标人进行赔偿。</w:t>
      </w:r>
    </w:p>
    <w:p w14:paraId="42D9D873">
      <w:pPr>
        <w:pStyle w:val="99"/>
        <w:numPr>
          <w:ilvl w:val="0"/>
          <w:numId w:val="0"/>
        </w:numPr>
        <w:rPr>
          <w:b/>
          <w:color w:val="auto"/>
          <w:highlight w:val="none"/>
        </w:rPr>
      </w:pPr>
    </w:p>
    <w:p w14:paraId="647B5F67">
      <w:pPr>
        <w:pStyle w:val="99"/>
        <w:numPr>
          <w:ilvl w:val="0"/>
          <w:numId w:val="0"/>
        </w:numPr>
        <w:ind w:left="432" w:hanging="432"/>
        <w:rPr>
          <w:color w:val="auto"/>
          <w:highlight w:val="none"/>
        </w:rPr>
      </w:pPr>
    </w:p>
    <w:p w14:paraId="424E5801">
      <w:pPr>
        <w:snapToGrid w:val="0"/>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注：1.</w:t>
      </w:r>
      <w:r>
        <w:rPr>
          <w:rFonts w:hint="eastAsia" w:ascii="宋体" w:hAnsi="宋体" w:cs="宋体"/>
          <w:b/>
          <w:color w:val="auto"/>
          <w:kern w:val="0"/>
          <w:sz w:val="24"/>
          <w:highlight w:val="none"/>
          <w:lang w:eastAsia="zh-CN"/>
        </w:rPr>
        <w:t>需求书中</w:t>
      </w:r>
      <w:r>
        <w:rPr>
          <w:rFonts w:hint="eastAsia" w:ascii="宋体" w:hAnsi="宋体" w:cs="宋体"/>
          <w:b/>
          <w:color w:val="auto"/>
          <w:kern w:val="0"/>
          <w:sz w:val="24"/>
          <w:highlight w:val="none"/>
        </w:rPr>
        <w:t>★项不接受负偏离，如负偏离视为未实质性响应招标文件要求。非★项为可接受负偏离，但会影响综合得分。</w:t>
      </w:r>
    </w:p>
    <w:p w14:paraId="4DE261EA">
      <w:pPr>
        <w:pStyle w:val="99"/>
        <w:numPr>
          <w:ilvl w:val="0"/>
          <w:numId w:val="0"/>
        </w:numPr>
        <w:snapToGrid w:val="0"/>
        <w:ind w:firstLine="482" w:firstLineChars="200"/>
        <w:rPr>
          <w:rFonts w:ascii="宋体" w:hAnsi="宋体" w:cs="宋体"/>
          <w:b/>
          <w:color w:val="auto"/>
          <w:kern w:val="0"/>
          <w:highlight w:val="none"/>
        </w:rPr>
        <w:sectPr>
          <w:headerReference r:id="rId9" w:type="default"/>
          <w:footerReference r:id="rId10" w:type="default"/>
          <w:pgSz w:w="11905" w:h="16838"/>
          <w:pgMar w:top="1984" w:right="1417" w:bottom="1417" w:left="1417" w:header="1417" w:footer="850" w:gutter="0"/>
          <w:cols w:space="720" w:num="1"/>
          <w:titlePg/>
          <w:docGrid w:linePitch="312" w:charSpace="0"/>
        </w:sectPr>
      </w:pPr>
      <w:r>
        <w:rPr>
          <w:rFonts w:hint="eastAsia" w:ascii="宋体" w:hAnsi="宋体" w:cs="宋体"/>
          <w:b/>
          <w:color w:val="auto"/>
          <w:kern w:val="0"/>
          <w:highlight w:val="none"/>
        </w:rPr>
        <w:t>2.本章中提出的各项功能要求和技术指标是对设备的最基本要求，并未对一切细节做出全部详细规定，也并未充分引述有关标准和规范条文，供应商所有与本项设备有关的技术要求均应符合招标时已颁布的国家和行业标准或国际标准的有关条文。</w:t>
      </w:r>
    </w:p>
    <w:p w14:paraId="140546BD">
      <w:pPr>
        <w:pStyle w:val="3"/>
        <w:snapToGrid w:val="0"/>
        <w:spacing w:before="0" w:after="0" w:line="360" w:lineRule="auto"/>
        <w:ind w:firstLine="643"/>
        <w:jc w:val="center"/>
        <w:rPr>
          <w:rFonts w:ascii="宋体" w:hAnsi="宋体" w:cs="宋体"/>
          <w:color w:val="auto"/>
          <w:kern w:val="0"/>
          <w:sz w:val="32"/>
          <w:szCs w:val="32"/>
          <w:highlight w:val="none"/>
        </w:rPr>
      </w:pPr>
      <w:r>
        <w:rPr>
          <w:rFonts w:hint="eastAsia" w:ascii="宋体" w:hAnsi="宋体" w:cs="宋体"/>
          <w:color w:val="auto"/>
          <w:kern w:val="0"/>
          <w:sz w:val="32"/>
          <w:szCs w:val="32"/>
          <w:highlight w:val="none"/>
        </w:rPr>
        <w:t>第四章 投标文件</w:t>
      </w:r>
      <w:bookmarkEnd w:id="93"/>
      <w:bookmarkEnd w:id="94"/>
      <w:r>
        <w:rPr>
          <w:rFonts w:hint="eastAsia" w:ascii="宋体" w:hAnsi="宋体" w:cs="宋体"/>
          <w:color w:val="auto"/>
          <w:kern w:val="0"/>
          <w:sz w:val="32"/>
          <w:szCs w:val="32"/>
          <w:highlight w:val="none"/>
        </w:rPr>
        <w:t>格式</w:t>
      </w:r>
    </w:p>
    <w:p w14:paraId="19375E31">
      <w:pPr>
        <w:pStyle w:val="45"/>
        <w:snapToGrid w:val="0"/>
        <w:spacing w:line="360" w:lineRule="auto"/>
        <w:ind w:firstLine="482" w:firstLineChars="200"/>
        <w:rPr>
          <w:rFonts w:hAnsi="宋体" w:cs="宋体"/>
          <w:b/>
          <w:color w:val="auto"/>
          <w:kern w:val="0"/>
          <w:sz w:val="24"/>
          <w:szCs w:val="24"/>
          <w:highlight w:val="none"/>
        </w:rPr>
      </w:pPr>
      <w:r>
        <w:rPr>
          <w:rFonts w:hint="eastAsia" w:hAnsi="宋体" w:cs="宋体"/>
          <w:b/>
          <w:color w:val="auto"/>
          <w:kern w:val="0"/>
          <w:sz w:val="24"/>
          <w:szCs w:val="24"/>
          <w:highlight w:val="none"/>
        </w:rPr>
        <w:t>投标人必须按下述顺序和要求编写装订投标文件，并编排详细目录及准确页码。所有证明文件在投标时必须在有效期内，否则视为不具有该证明文件。</w:t>
      </w:r>
    </w:p>
    <w:p w14:paraId="4372A9C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一、投标函；</w:t>
      </w:r>
    </w:p>
    <w:p w14:paraId="7E41DA0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二、投标产品分项报价表；</w:t>
      </w:r>
    </w:p>
    <w:p w14:paraId="4F564F7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三、产品说明一览表（包括详细配置、技术参数、性能说明、产品说明书、图片、产品检验报告等）；</w:t>
      </w:r>
    </w:p>
    <w:p w14:paraId="5FB0F45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四、偏离表；</w:t>
      </w:r>
    </w:p>
    <w:p w14:paraId="5C8845B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五、投标人关于资格的声明函；</w:t>
      </w:r>
    </w:p>
    <w:p w14:paraId="4AA7454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六、法定代表人资格证明书；</w:t>
      </w:r>
    </w:p>
    <w:p w14:paraId="1F2E1FB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七、法定代表人授权委托书；</w:t>
      </w:r>
    </w:p>
    <w:p w14:paraId="4247479E">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八、资格证明文件；</w:t>
      </w:r>
    </w:p>
    <w:p w14:paraId="0A1EB3B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1.营业执照(或事业单位法人证书)副本复印件</w:t>
      </w:r>
    </w:p>
    <w:p w14:paraId="42992DA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2.202</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年度经过审计的财务报告，或202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年基本存款账户开户银行出具的资信证明及基本存款账户开户证明材料（复印件加盖公章）</w:t>
      </w:r>
    </w:p>
    <w:p w14:paraId="38F46B9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3.具备履行合同所必需的设备和专业技术能力声明函（格式自拟，原件）</w:t>
      </w:r>
    </w:p>
    <w:p w14:paraId="0BC85C7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4.开标时间前六个月内任一个月的依法缴纳税收的缴款凭据（复印件加盖公章）</w:t>
      </w:r>
    </w:p>
    <w:p w14:paraId="38A9329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5.开标时间前六个月内任一个月的依法缴纳社会保障资金的缴款凭据（复印件加盖公章）</w:t>
      </w:r>
    </w:p>
    <w:p w14:paraId="0AA9169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6.诚信投标承诺函（参加政府采购活动前三年内在经营活动中没有重大违法记录的书面声明函）（格式6）</w:t>
      </w:r>
    </w:p>
    <w:p w14:paraId="62E22B57">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8.投标人关联单位的说明（格式</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w:t>
      </w:r>
    </w:p>
    <w:p w14:paraId="315A196D">
      <w:pPr>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九、中小企业声明函、监狱企业证明、残疾人福利性单位声明函</w:t>
      </w:r>
    </w:p>
    <w:p w14:paraId="6C8A954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十、</w:t>
      </w:r>
      <w:r>
        <w:rPr>
          <w:rFonts w:hint="eastAsia" w:ascii="宋体" w:hAnsi="宋体" w:cs="宋体"/>
          <w:color w:val="auto"/>
          <w:kern w:val="0"/>
          <w:sz w:val="24"/>
          <w:highlight w:val="none"/>
        </w:rPr>
        <w:t>关于符合本国产品标准的声明函</w:t>
      </w:r>
    </w:p>
    <w:p w14:paraId="00F12FE1">
      <w:pPr>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十一、政府采购节能产品、环境标志产品声明函</w:t>
      </w:r>
    </w:p>
    <w:p w14:paraId="652C9E0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二</w:t>
      </w:r>
      <w:r>
        <w:rPr>
          <w:rFonts w:hint="eastAsia" w:ascii="宋体" w:hAnsi="宋体" w:cs="宋体"/>
          <w:color w:val="auto"/>
          <w:kern w:val="0"/>
          <w:sz w:val="24"/>
          <w:highlight w:val="none"/>
        </w:rPr>
        <w:t>、近三年（202</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年1月1日至投标文件递交截止时间）类似项目业绩</w:t>
      </w:r>
    </w:p>
    <w:p w14:paraId="063B192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三</w:t>
      </w:r>
      <w:r>
        <w:rPr>
          <w:rFonts w:hint="eastAsia" w:ascii="宋体" w:hAnsi="宋体" w:cs="宋体"/>
          <w:color w:val="auto"/>
          <w:kern w:val="0"/>
          <w:sz w:val="24"/>
          <w:highlight w:val="none"/>
        </w:rPr>
        <w:t>、供货及安装实施方案</w:t>
      </w:r>
    </w:p>
    <w:p w14:paraId="1A6A5ED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四</w:t>
      </w:r>
      <w:r>
        <w:rPr>
          <w:rFonts w:hint="eastAsia" w:ascii="宋体" w:hAnsi="宋体" w:cs="宋体"/>
          <w:color w:val="auto"/>
          <w:kern w:val="0"/>
          <w:sz w:val="24"/>
          <w:highlight w:val="none"/>
        </w:rPr>
        <w:t>、售后服务方案及技术支持</w:t>
      </w:r>
    </w:p>
    <w:p w14:paraId="2C4594D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五</w:t>
      </w:r>
      <w:r>
        <w:rPr>
          <w:rFonts w:hint="eastAsia" w:ascii="宋体" w:hAnsi="宋体" w:cs="宋体"/>
          <w:color w:val="auto"/>
          <w:kern w:val="0"/>
          <w:sz w:val="24"/>
          <w:highlight w:val="none"/>
        </w:rPr>
        <w:t>、技术培训方案</w:t>
      </w:r>
    </w:p>
    <w:p w14:paraId="725DBD7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六</w:t>
      </w:r>
      <w:r>
        <w:rPr>
          <w:rFonts w:hint="eastAsia" w:ascii="宋体" w:hAnsi="宋体" w:cs="宋体"/>
          <w:color w:val="auto"/>
          <w:kern w:val="0"/>
          <w:sz w:val="24"/>
          <w:highlight w:val="none"/>
        </w:rPr>
        <w:t>、投标人</w:t>
      </w:r>
      <w:r>
        <w:rPr>
          <w:rFonts w:hint="eastAsia" w:ascii="宋体" w:hAnsi="宋体" w:cs="宋体"/>
          <w:color w:val="auto"/>
          <w:kern w:val="0"/>
          <w:sz w:val="24"/>
          <w:highlight w:val="none"/>
          <w:lang w:eastAsia="zh-CN"/>
        </w:rPr>
        <w:t>认为</w:t>
      </w:r>
      <w:r>
        <w:rPr>
          <w:rFonts w:hint="eastAsia" w:ascii="宋体" w:hAnsi="宋体" w:cs="宋体"/>
          <w:color w:val="auto"/>
          <w:kern w:val="0"/>
          <w:sz w:val="24"/>
          <w:highlight w:val="none"/>
        </w:rPr>
        <w:t>需提交的其他文件</w:t>
      </w:r>
    </w:p>
    <w:p w14:paraId="3229EA6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十</w:t>
      </w:r>
      <w:r>
        <w:rPr>
          <w:rFonts w:hint="eastAsia" w:ascii="宋体" w:hAnsi="宋体" w:cs="宋体"/>
          <w:color w:val="auto"/>
          <w:kern w:val="0"/>
          <w:sz w:val="24"/>
          <w:highlight w:val="none"/>
          <w:lang w:eastAsia="zh-CN"/>
        </w:rPr>
        <w:t>七</w:t>
      </w:r>
      <w:r>
        <w:rPr>
          <w:rFonts w:hint="eastAsia" w:ascii="宋体" w:hAnsi="宋体" w:cs="宋体"/>
          <w:color w:val="auto"/>
          <w:kern w:val="0"/>
          <w:sz w:val="24"/>
          <w:highlight w:val="none"/>
        </w:rPr>
        <w:t>、投标人</w:t>
      </w:r>
      <w:r>
        <w:rPr>
          <w:rFonts w:hint="eastAsia" w:ascii="宋体" w:hAnsi="宋体" w:cs="宋体"/>
          <w:color w:val="auto"/>
          <w:kern w:val="0"/>
          <w:sz w:val="24"/>
          <w:highlight w:val="none"/>
          <w:lang w:eastAsia="zh-CN"/>
        </w:rPr>
        <w:t>认为</w:t>
      </w:r>
      <w:r>
        <w:rPr>
          <w:rFonts w:hint="eastAsia" w:ascii="宋体" w:hAnsi="宋体" w:cs="宋体"/>
          <w:color w:val="auto"/>
          <w:kern w:val="0"/>
          <w:sz w:val="24"/>
          <w:highlight w:val="none"/>
        </w:rPr>
        <w:t>需说明的其他问题</w:t>
      </w:r>
    </w:p>
    <w:p w14:paraId="39C9E3E3">
      <w:pPr>
        <w:widowControl/>
        <w:jc w:val="left"/>
        <w:rPr>
          <w:rFonts w:ascii="宋体" w:hAnsi="宋体" w:cs="宋体"/>
          <w:color w:val="auto"/>
          <w:kern w:val="0"/>
          <w:sz w:val="24"/>
          <w:highlight w:val="none"/>
        </w:rPr>
      </w:pPr>
      <w:r>
        <w:rPr>
          <w:rFonts w:hAnsi="宋体" w:cs="宋体"/>
          <w:color w:val="auto"/>
          <w:kern w:val="0"/>
          <w:sz w:val="24"/>
          <w:highlight w:val="none"/>
        </w:rPr>
        <w:br w:type="page"/>
      </w:r>
    </w:p>
    <w:p w14:paraId="25127DD7">
      <w:pPr>
        <w:pStyle w:val="45"/>
        <w:snapToGrid w:val="0"/>
        <w:spacing w:line="360" w:lineRule="auto"/>
        <w:jc w:val="center"/>
        <w:outlineLvl w:val="1"/>
        <w:rPr>
          <w:rFonts w:hAnsi="宋体" w:cs="宋体"/>
          <w:b/>
          <w:color w:val="auto"/>
          <w:kern w:val="0"/>
          <w:sz w:val="36"/>
          <w:szCs w:val="24"/>
          <w:highlight w:val="none"/>
        </w:rPr>
      </w:pPr>
      <w:bookmarkStart w:id="116" w:name="_Toc18189_WPSOffice_Level3"/>
      <w:r>
        <w:rPr>
          <w:rFonts w:hint="eastAsia" w:hAnsi="宋体" w:cs="宋体"/>
          <w:b/>
          <w:color w:val="auto"/>
          <w:kern w:val="0"/>
          <w:sz w:val="36"/>
          <w:szCs w:val="24"/>
          <w:highlight w:val="none"/>
        </w:rPr>
        <w:t>一、投标函</w:t>
      </w:r>
      <w:bookmarkEnd w:id="116"/>
    </w:p>
    <w:p w14:paraId="37A2E5D9">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致：</w:t>
      </w:r>
    </w:p>
    <w:p w14:paraId="005F043D">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根据贵方</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（招标项目名称、招标编号：）</w:t>
      </w:r>
      <w:r>
        <w:rPr>
          <w:rFonts w:hint="eastAsia" w:ascii="宋体" w:hAnsi="宋体" w:cs="宋体"/>
          <w:color w:val="auto"/>
          <w:kern w:val="0"/>
          <w:sz w:val="24"/>
          <w:highlight w:val="none"/>
        </w:rPr>
        <w:t>，投标人代表</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（姓名、职务）</w:t>
      </w:r>
      <w:r>
        <w:rPr>
          <w:rFonts w:hint="eastAsia" w:ascii="宋体" w:hAnsi="宋体" w:cs="宋体"/>
          <w:color w:val="auto"/>
          <w:kern w:val="0"/>
          <w:sz w:val="24"/>
          <w:highlight w:val="none"/>
        </w:rPr>
        <w:t>经正式授权并代表投标人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（投标人名称、地址）</w:t>
      </w:r>
      <w:r>
        <w:rPr>
          <w:rFonts w:hint="eastAsia" w:ascii="宋体" w:hAnsi="宋体" w:cs="宋体"/>
          <w:color w:val="auto"/>
          <w:kern w:val="0"/>
          <w:sz w:val="24"/>
          <w:highlight w:val="none"/>
        </w:rPr>
        <w:t>提交下述文件正本一份、副本</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份。</w:t>
      </w:r>
    </w:p>
    <w:p w14:paraId="5C947A75">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完全理解招标文件的内容，决定投标本项目，据此我方承诺如下：</w:t>
      </w:r>
    </w:p>
    <w:p w14:paraId="5E9D903E">
      <w:pPr>
        <w:pStyle w:val="27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我方承诺，我方完全具备《中华人民共和国政府采购法》第二十二条第一款规定的条件以及本项目招标文件规定的投标人须满足的特定条件。</w:t>
      </w:r>
    </w:p>
    <w:p w14:paraId="3D3F349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所附投标价格表中规定的应提交和交付的货物及服务投标报价为人民币</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元，金额数：</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（大写金额）。</w:t>
      </w:r>
    </w:p>
    <w:p w14:paraId="09366CD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我方已仔细研究并完全理解了全部招标文件（包括修改文件、附件等相关资料）规定的内容，并承诺在发生争议时，不会以对招标文件存在误解、不明为由，向采购人及采购代理机构行使任何法律上的抗辩权。</w:t>
      </w:r>
    </w:p>
    <w:p w14:paraId="5CE700C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本投标有效期为自开标日起</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个日历日。</w:t>
      </w:r>
    </w:p>
    <w:p w14:paraId="60BCD09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供货期：__________；质保期：_____________。</w:t>
      </w:r>
    </w:p>
    <w:p w14:paraId="597762B1">
      <w:pPr>
        <w:pStyle w:val="99"/>
        <w:keepNext w:val="0"/>
        <w:keepLines w:val="0"/>
        <w:pageBreakBefore w:val="0"/>
        <w:widowControl w:val="0"/>
        <w:numPr>
          <w:ilvl w:val="0"/>
          <w:numId w:val="0"/>
        </w:numPr>
        <w:kinsoku/>
        <w:wordWrap/>
        <w:overflowPunct/>
        <w:topLinePunct w:val="0"/>
        <w:autoSpaceDE/>
        <w:autoSpaceDN/>
        <w:bidi w:val="0"/>
        <w:adjustRightInd/>
        <w:snapToGrid w:val="0"/>
        <w:ind w:left="0" w:firstLine="480" w:firstLineChars="200"/>
        <w:textAlignment w:val="auto"/>
        <w:rPr>
          <w:rFonts w:ascii="宋体" w:hAnsi="宋体" w:cs="宋体"/>
          <w:color w:val="auto"/>
          <w:kern w:val="0"/>
          <w:highlight w:val="none"/>
        </w:rPr>
      </w:pPr>
      <w:r>
        <w:rPr>
          <w:rFonts w:hint="eastAsia" w:ascii="宋体" w:hAnsi="宋体" w:cs="宋体"/>
          <w:color w:val="auto"/>
          <w:kern w:val="0"/>
          <w:highlight w:val="none"/>
          <w:lang w:val="en-US" w:eastAsia="zh-CN"/>
        </w:rPr>
        <w:t>6</w:t>
      </w:r>
      <w:r>
        <w:rPr>
          <w:rFonts w:hint="eastAsia" w:ascii="宋体" w:hAnsi="宋体" w:cs="宋体"/>
          <w:color w:val="auto"/>
          <w:kern w:val="0"/>
          <w:highlight w:val="none"/>
        </w:rPr>
        <w:t>.如果我方中标，我方将按照规定提交上述总价</w:t>
      </w:r>
      <w:r>
        <w:rPr>
          <w:rFonts w:ascii="宋体" w:hAnsi="宋体" w:cs="宋体"/>
          <w:color w:val="auto"/>
          <w:kern w:val="0"/>
          <w:highlight w:val="none"/>
          <w:u w:val="single"/>
        </w:rPr>
        <w:t xml:space="preserve">     </w:t>
      </w:r>
      <w:r>
        <w:rPr>
          <w:rFonts w:ascii="宋体" w:hAnsi="宋体" w:cs="宋体"/>
          <w:color w:val="auto"/>
          <w:kern w:val="0"/>
          <w:highlight w:val="none"/>
        </w:rPr>
        <w:t>%</w:t>
      </w:r>
      <w:r>
        <w:rPr>
          <w:rFonts w:hint="eastAsia" w:ascii="宋体" w:hAnsi="宋体" w:cs="宋体"/>
          <w:color w:val="auto"/>
          <w:kern w:val="0"/>
          <w:highlight w:val="none"/>
        </w:rPr>
        <w:t>的履约保函。</w:t>
      </w:r>
    </w:p>
    <w:p w14:paraId="5114E1A4">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.依据</w:t>
      </w:r>
      <w:r>
        <w:rPr>
          <w:rFonts w:hint="eastAsia" w:ascii="宋体" w:hAnsi="宋体" w:cs="宋体"/>
          <w:color w:val="auto"/>
          <w:kern w:val="1"/>
          <w:sz w:val="24"/>
          <w:highlight w:val="none"/>
        </w:rPr>
        <w:t>《中小企业划型标准规定》（工信部联企业〔2011〕300号）、</w:t>
      </w:r>
      <w:r>
        <w:rPr>
          <w:rFonts w:hint="eastAsia" w:ascii="宋体" w:hAnsi="宋体" w:cs="宋体"/>
          <w:color w:val="auto"/>
          <w:kern w:val="0"/>
          <w:sz w:val="24"/>
          <w:highlight w:val="none"/>
        </w:rPr>
        <w:t>《统计上大中小微型企业划分办法（2017）》（国统字【2017】213号）和企业实际情况，我方企业为____（大、中、小、微）型企业。</w:t>
      </w:r>
    </w:p>
    <w:p w14:paraId="7E55C031">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.我方承诺投标文件及所有提供的一切数据或资料均真实、准确、合法、有效。由于我方提供的资料不实而导致中标结果无效，给其他投标人及采购人造成的全部损失，我方同意无条件予以赔偿。</w:t>
      </w:r>
    </w:p>
    <w:p w14:paraId="28EE129D">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我方投标文件、你方的中标通知书、招标文件将成为约束双方的合同文件组成部分，若招标文件存在要求，而投标文件没有拒绝亦没有涉及的情形下，我方接受招标文件的有关约束，并同意将招标文件对投标人的要求作为投标人合同义务的组成部分。</w:t>
      </w:r>
    </w:p>
    <w:p w14:paraId="20852F9D">
      <w:pPr>
        <w:pStyle w:val="99"/>
        <w:keepNext w:val="0"/>
        <w:keepLines w:val="0"/>
        <w:pageBreakBefore w:val="0"/>
        <w:widowControl w:val="0"/>
        <w:numPr>
          <w:ilvl w:val="0"/>
          <w:numId w:val="0"/>
        </w:numPr>
        <w:kinsoku/>
        <w:wordWrap/>
        <w:overflowPunct/>
        <w:topLinePunct w:val="0"/>
        <w:autoSpaceDE/>
        <w:autoSpaceDN/>
        <w:bidi w:val="0"/>
        <w:adjustRightInd/>
        <w:ind w:left="0" w:firstLine="480" w:firstLineChars="200"/>
        <w:textAlignment w:val="auto"/>
        <w:rPr>
          <w:rFonts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0</w:t>
      </w:r>
      <w:r>
        <w:rPr>
          <w:rFonts w:hint="eastAsia" w:ascii="宋体" w:hAnsi="宋体" w:cs="宋体"/>
          <w:color w:val="auto"/>
          <w:kern w:val="0"/>
          <w:highlight w:val="none"/>
        </w:rPr>
        <w:t>.我方绝对所有权拥有者性别为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（男、女）。</w:t>
      </w:r>
    </w:p>
    <w:p w14:paraId="74AF3C03">
      <w:pPr>
        <w:pStyle w:val="99"/>
        <w:keepNext w:val="0"/>
        <w:keepLines w:val="0"/>
        <w:pageBreakBefore w:val="0"/>
        <w:widowControl w:val="0"/>
        <w:numPr>
          <w:ilvl w:val="0"/>
          <w:numId w:val="0"/>
        </w:numPr>
        <w:kinsoku/>
        <w:wordWrap/>
        <w:overflowPunct/>
        <w:topLinePunct w:val="0"/>
        <w:autoSpaceDE/>
        <w:autoSpaceDN/>
        <w:bidi w:val="0"/>
        <w:adjustRightInd/>
        <w:ind w:left="0" w:firstLine="480" w:firstLineChars="200"/>
        <w:textAlignment w:val="auto"/>
        <w:rPr>
          <w:rFonts w:ascii="宋体" w:hAnsi="宋体" w:cs="宋体"/>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val="en-US" w:eastAsia="zh-CN"/>
        </w:rPr>
        <w:t>1</w:t>
      </w:r>
      <w:r>
        <w:rPr>
          <w:rFonts w:hint="eastAsia" w:ascii="宋体" w:hAnsi="宋体" w:cs="宋体"/>
          <w:color w:val="auto"/>
          <w:kern w:val="0"/>
          <w:highlight w:val="none"/>
        </w:rPr>
        <w:t>.我方</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（是、不是）外商投资企业。</w:t>
      </w:r>
    </w:p>
    <w:p w14:paraId="3EC64DC6">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.我方将严格遵守政府采购法律法规、规范性文件等的规定，若存在违法违规等行为，将承担相应的法律责任。</w:t>
      </w:r>
    </w:p>
    <w:p w14:paraId="2902660F">
      <w:pPr>
        <w:snapToGrid w:val="0"/>
        <w:spacing w:line="360" w:lineRule="auto"/>
        <w:ind w:firstLine="480"/>
        <w:rPr>
          <w:rFonts w:ascii="宋体" w:hAnsi="宋体" w:cs="宋体"/>
          <w:color w:val="auto"/>
          <w:kern w:val="0"/>
          <w:sz w:val="24"/>
          <w:highlight w:val="none"/>
        </w:rPr>
      </w:pPr>
    </w:p>
    <w:p w14:paraId="5A579F4D">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 xml:space="preserve">法定代表人或其委托代理人 (签字或盖章)： </w:t>
      </w:r>
    </w:p>
    <w:p w14:paraId="5750277F">
      <w:pPr>
        <w:snapToGrid w:val="0"/>
        <w:spacing w:line="360" w:lineRule="auto"/>
        <w:ind w:firstLine="480"/>
        <w:rPr>
          <w:rFonts w:ascii="宋体" w:hAnsi="宋体" w:cs="宋体"/>
          <w:color w:val="auto"/>
          <w:kern w:val="0"/>
          <w:sz w:val="24"/>
          <w:highlight w:val="none"/>
        </w:rPr>
      </w:pPr>
    </w:p>
    <w:p w14:paraId="15C893A4">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p w14:paraId="0858A53B">
      <w:pPr>
        <w:snapToGrid w:val="0"/>
        <w:spacing w:line="360" w:lineRule="auto"/>
        <w:ind w:firstLine="480"/>
        <w:rPr>
          <w:rFonts w:ascii="宋体" w:hAnsi="宋体" w:cs="宋体"/>
          <w:color w:val="auto"/>
          <w:kern w:val="0"/>
          <w:sz w:val="24"/>
          <w:highlight w:val="none"/>
        </w:rPr>
      </w:pPr>
    </w:p>
    <w:p w14:paraId="179628A2">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日期：</w:t>
      </w:r>
    </w:p>
    <w:p w14:paraId="743F4CDA">
      <w:pPr>
        <w:snapToGrid w:val="0"/>
        <w:spacing w:line="360" w:lineRule="auto"/>
        <w:ind w:firstLine="480"/>
        <w:rPr>
          <w:rFonts w:ascii="宋体" w:hAnsi="宋体" w:cs="宋体"/>
          <w:color w:val="auto"/>
          <w:kern w:val="0"/>
          <w:sz w:val="24"/>
          <w:highlight w:val="none"/>
        </w:rPr>
      </w:pPr>
    </w:p>
    <w:p w14:paraId="319F3BF0">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注：1.本格式文件内容不得擅自删改。</w:t>
      </w:r>
    </w:p>
    <w:p w14:paraId="26F58CF8">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2.投标人代表签字，必须是亲笔签名。</w:t>
      </w:r>
    </w:p>
    <w:p w14:paraId="1FD93C8B">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3.投标人公章必须是经公安部门备案的印章。</w:t>
      </w:r>
    </w:p>
    <w:p w14:paraId="55D530AA">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4.不得使用其他印章或电子制版签名。</w:t>
      </w:r>
    </w:p>
    <w:p w14:paraId="2227DF8B">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5.本文件应按规定签署，否则投标文件无效。</w:t>
      </w:r>
    </w:p>
    <w:p w14:paraId="6FD15D8E">
      <w:pPr>
        <w:widowControl/>
        <w:snapToGrid w:val="0"/>
        <w:spacing w:line="360" w:lineRule="auto"/>
        <w:ind w:firstLine="482"/>
        <w:jc w:val="left"/>
        <w:rPr>
          <w:rFonts w:ascii="宋体" w:hAnsi="宋体" w:cs="宋体"/>
          <w:b/>
          <w:color w:val="auto"/>
          <w:kern w:val="0"/>
          <w:szCs w:val="21"/>
          <w:highlight w:val="none"/>
        </w:rPr>
        <w:sectPr>
          <w:pgSz w:w="11905" w:h="16838"/>
          <w:pgMar w:top="1984" w:right="1417" w:bottom="1417" w:left="1361" w:header="1417" w:footer="850" w:gutter="0"/>
          <w:cols w:space="0" w:num="1"/>
          <w:titlePg/>
          <w:docGrid w:linePitch="286" w:charSpace="0"/>
        </w:sectPr>
      </w:pPr>
    </w:p>
    <w:p w14:paraId="2C9BE83D">
      <w:pPr>
        <w:pStyle w:val="45"/>
        <w:snapToGrid w:val="0"/>
        <w:spacing w:line="360" w:lineRule="auto"/>
        <w:jc w:val="center"/>
        <w:outlineLvl w:val="1"/>
        <w:rPr>
          <w:rFonts w:hAnsi="宋体" w:cs="宋体"/>
          <w:b/>
          <w:color w:val="auto"/>
          <w:kern w:val="0"/>
          <w:sz w:val="36"/>
          <w:szCs w:val="24"/>
          <w:highlight w:val="none"/>
        </w:rPr>
      </w:pPr>
      <w:bookmarkStart w:id="117" w:name="_Toc17155_WPSOffice_Level3"/>
      <w:bookmarkStart w:id="118" w:name="_Toc6653239"/>
      <w:r>
        <w:rPr>
          <w:rFonts w:hint="eastAsia" w:hAnsi="宋体" w:cs="宋体"/>
          <w:b/>
          <w:color w:val="auto"/>
          <w:kern w:val="0"/>
          <w:sz w:val="36"/>
          <w:szCs w:val="24"/>
          <w:highlight w:val="none"/>
        </w:rPr>
        <w:t>二、</w:t>
      </w:r>
      <w:bookmarkEnd w:id="117"/>
      <w:bookmarkEnd w:id="118"/>
      <w:r>
        <w:rPr>
          <w:rFonts w:hint="eastAsia" w:hAnsi="宋体" w:cs="宋体"/>
          <w:b/>
          <w:color w:val="auto"/>
          <w:kern w:val="0"/>
          <w:sz w:val="36"/>
          <w:szCs w:val="24"/>
          <w:highlight w:val="none"/>
        </w:rPr>
        <w:t>投标产品分项报价表</w:t>
      </w:r>
    </w:p>
    <w:p w14:paraId="4C29A312">
      <w:pPr>
        <w:snapToGrid w:val="0"/>
        <w:spacing w:line="360" w:lineRule="auto"/>
        <w:ind w:firstLine="482"/>
        <w:rPr>
          <w:rFonts w:ascii="宋体" w:hAnsi="宋体" w:cs="宋体"/>
          <w:b/>
          <w:color w:val="auto"/>
          <w:kern w:val="0"/>
          <w:sz w:val="24"/>
          <w:highlight w:val="none"/>
          <w:u w:val="single"/>
        </w:rPr>
      </w:pPr>
      <w:r>
        <w:rPr>
          <w:rFonts w:hint="eastAsia" w:ascii="宋体" w:hAnsi="宋体" w:cs="宋体"/>
          <w:b/>
          <w:color w:val="auto"/>
          <w:kern w:val="0"/>
          <w:sz w:val="24"/>
          <w:highlight w:val="none"/>
          <w:u w:val="single"/>
        </w:rPr>
        <w:t>（投标人必需按第三章中技术参数的顺序填写报价，不准调整顺序，如投标人需补充说明可附表解释。）</w:t>
      </w:r>
    </w:p>
    <w:tbl>
      <w:tblPr>
        <w:tblStyle w:val="88"/>
        <w:tblW w:w="13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992"/>
        <w:gridCol w:w="851"/>
        <w:gridCol w:w="850"/>
        <w:gridCol w:w="851"/>
        <w:gridCol w:w="992"/>
        <w:gridCol w:w="1843"/>
        <w:gridCol w:w="992"/>
        <w:gridCol w:w="992"/>
        <w:gridCol w:w="754"/>
        <w:gridCol w:w="1817"/>
        <w:gridCol w:w="1540"/>
      </w:tblGrid>
      <w:tr w14:paraId="11D4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36" w:type="dxa"/>
            <w:vAlign w:val="center"/>
          </w:tcPr>
          <w:p w14:paraId="1D31E1D8">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992" w:type="dxa"/>
            <w:vAlign w:val="center"/>
          </w:tcPr>
          <w:p w14:paraId="3D534671">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851" w:type="dxa"/>
            <w:vAlign w:val="center"/>
          </w:tcPr>
          <w:p w14:paraId="5C662307">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850" w:type="dxa"/>
            <w:vAlign w:val="center"/>
          </w:tcPr>
          <w:p w14:paraId="24404991">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851" w:type="dxa"/>
            <w:vAlign w:val="center"/>
          </w:tcPr>
          <w:p w14:paraId="49DC3F9F">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3827" w:type="dxa"/>
            <w:gridSpan w:val="3"/>
            <w:vAlign w:val="center"/>
          </w:tcPr>
          <w:p w14:paraId="1A78E866">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992" w:type="dxa"/>
            <w:vAlign w:val="center"/>
          </w:tcPr>
          <w:p w14:paraId="76C46D64">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754" w:type="dxa"/>
            <w:vAlign w:val="center"/>
          </w:tcPr>
          <w:p w14:paraId="2542095A">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817" w:type="dxa"/>
            <w:vAlign w:val="center"/>
          </w:tcPr>
          <w:p w14:paraId="65A97570">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1540" w:type="dxa"/>
            <w:vAlign w:val="center"/>
          </w:tcPr>
          <w:p w14:paraId="7F822DFD">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r>
      <w:tr w14:paraId="3F4A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36" w:type="dxa"/>
            <w:vMerge w:val="restart"/>
            <w:vAlign w:val="center"/>
          </w:tcPr>
          <w:p w14:paraId="25328D41">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992" w:type="dxa"/>
            <w:vMerge w:val="restart"/>
            <w:vAlign w:val="center"/>
          </w:tcPr>
          <w:p w14:paraId="0DFF19CE">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货物名称</w:t>
            </w:r>
          </w:p>
        </w:tc>
        <w:tc>
          <w:tcPr>
            <w:tcW w:w="851" w:type="dxa"/>
            <w:vMerge w:val="restart"/>
            <w:vAlign w:val="center"/>
          </w:tcPr>
          <w:p w14:paraId="1ED6C17D">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品牌型号</w:t>
            </w:r>
          </w:p>
        </w:tc>
        <w:tc>
          <w:tcPr>
            <w:tcW w:w="850" w:type="dxa"/>
            <w:vMerge w:val="restart"/>
            <w:vAlign w:val="center"/>
          </w:tcPr>
          <w:p w14:paraId="577155ED">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851" w:type="dxa"/>
            <w:vMerge w:val="restart"/>
            <w:vAlign w:val="center"/>
          </w:tcPr>
          <w:p w14:paraId="7773D0C0">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原产地</w:t>
            </w:r>
          </w:p>
        </w:tc>
        <w:tc>
          <w:tcPr>
            <w:tcW w:w="3827" w:type="dxa"/>
            <w:gridSpan w:val="3"/>
            <w:vAlign w:val="center"/>
          </w:tcPr>
          <w:p w14:paraId="17AE7065">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交货单价</w:t>
            </w:r>
          </w:p>
        </w:tc>
        <w:tc>
          <w:tcPr>
            <w:tcW w:w="992" w:type="dxa"/>
            <w:vMerge w:val="restart"/>
            <w:vAlign w:val="center"/>
          </w:tcPr>
          <w:p w14:paraId="1E5F4EDE">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运保费单价</w:t>
            </w:r>
          </w:p>
        </w:tc>
        <w:tc>
          <w:tcPr>
            <w:tcW w:w="754" w:type="dxa"/>
            <w:vMerge w:val="restart"/>
            <w:vAlign w:val="center"/>
          </w:tcPr>
          <w:p w14:paraId="2A5B8782">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其他单价</w:t>
            </w:r>
          </w:p>
        </w:tc>
        <w:tc>
          <w:tcPr>
            <w:tcW w:w="1817" w:type="dxa"/>
            <w:vMerge w:val="restart"/>
            <w:vAlign w:val="center"/>
          </w:tcPr>
          <w:p w14:paraId="5A23C19C">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综合单价（项6+项7+项8）</w:t>
            </w:r>
          </w:p>
        </w:tc>
        <w:tc>
          <w:tcPr>
            <w:tcW w:w="1540" w:type="dxa"/>
            <w:vMerge w:val="restart"/>
            <w:vAlign w:val="center"/>
          </w:tcPr>
          <w:p w14:paraId="32426959">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投标总价（项4×项9）</w:t>
            </w:r>
          </w:p>
        </w:tc>
      </w:tr>
      <w:tr w14:paraId="49B9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Merge w:val="continue"/>
          </w:tcPr>
          <w:p w14:paraId="2F4DB3C7">
            <w:pPr>
              <w:snapToGrid w:val="0"/>
              <w:spacing w:line="360" w:lineRule="auto"/>
              <w:ind w:firstLine="480"/>
              <w:jc w:val="center"/>
              <w:rPr>
                <w:rFonts w:ascii="宋体" w:hAnsi="宋体" w:cs="宋体"/>
                <w:color w:val="auto"/>
                <w:kern w:val="0"/>
                <w:sz w:val="24"/>
                <w:highlight w:val="none"/>
              </w:rPr>
            </w:pPr>
          </w:p>
        </w:tc>
        <w:tc>
          <w:tcPr>
            <w:tcW w:w="992" w:type="dxa"/>
            <w:vMerge w:val="continue"/>
          </w:tcPr>
          <w:p w14:paraId="1D8BF1D8">
            <w:pPr>
              <w:snapToGrid w:val="0"/>
              <w:spacing w:line="360" w:lineRule="auto"/>
              <w:ind w:firstLine="480"/>
              <w:jc w:val="center"/>
              <w:rPr>
                <w:rFonts w:ascii="宋体" w:hAnsi="宋体" w:cs="宋体"/>
                <w:color w:val="auto"/>
                <w:kern w:val="0"/>
                <w:sz w:val="24"/>
                <w:highlight w:val="none"/>
              </w:rPr>
            </w:pPr>
          </w:p>
        </w:tc>
        <w:tc>
          <w:tcPr>
            <w:tcW w:w="851" w:type="dxa"/>
            <w:vMerge w:val="continue"/>
          </w:tcPr>
          <w:p w14:paraId="0699931B">
            <w:pPr>
              <w:snapToGrid w:val="0"/>
              <w:spacing w:line="360" w:lineRule="auto"/>
              <w:ind w:firstLine="480"/>
              <w:jc w:val="center"/>
              <w:rPr>
                <w:rFonts w:ascii="宋体" w:hAnsi="宋体" w:cs="宋体"/>
                <w:color w:val="auto"/>
                <w:kern w:val="0"/>
                <w:sz w:val="24"/>
                <w:highlight w:val="none"/>
              </w:rPr>
            </w:pPr>
          </w:p>
        </w:tc>
        <w:tc>
          <w:tcPr>
            <w:tcW w:w="850" w:type="dxa"/>
            <w:vMerge w:val="continue"/>
          </w:tcPr>
          <w:p w14:paraId="3D5EF628">
            <w:pPr>
              <w:snapToGrid w:val="0"/>
              <w:spacing w:line="360" w:lineRule="auto"/>
              <w:ind w:firstLine="480"/>
              <w:jc w:val="center"/>
              <w:rPr>
                <w:rFonts w:ascii="宋体" w:hAnsi="宋体" w:cs="宋体"/>
                <w:color w:val="auto"/>
                <w:kern w:val="0"/>
                <w:sz w:val="24"/>
                <w:highlight w:val="none"/>
              </w:rPr>
            </w:pPr>
          </w:p>
        </w:tc>
        <w:tc>
          <w:tcPr>
            <w:tcW w:w="851" w:type="dxa"/>
            <w:vMerge w:val="continue"/>
          </w:tcPr>
          <w:p w14:paraId="720FB697">
            <w:pPr>
              <w:snapToGrid w:val="0"/>
              <w:spacing w:line="360" w:lineRule="auto"/>
              <w:ind w:firstLine="480"/>
              <w:jc w:val="center"/>
              <w:rPr>
                <w:rFonts w:ascii="宋体" w:hAnsi="宋体" w:cs="宋体"/>
                <w:color w:val="auto"/>
                <w:kern w:val="0"/>
                <w:sz w:val="24"/>
                <w:highlight w:val="none"/>
              </w:rPr>
            </w:pPr>
          </w:p>
        </w:tc>
        <w:tc>
          <w:tcPr>
            <w:tcW w:w="992" w:type="dxa"/>
          </w:tcPr>
          <w:p w14:paraId="67F49127">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货物单价6a</w:t>
            </w:r>
          </w:p>
        </w:tc>
        <w:tc>
          <w:tcPr>
            <w:tcW w:w="1843" w:type="dxa"/>
          </w:tcPr>
          <w:p w14:paraId="70FBBF5C">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安装调试、培训等技术服务费6b</w:t>
            </w:r>
          </w:p>
        </w:tc>
        <w:tc>
          <w:tcPr>
            <w:tcW w:w="992" w:type="dxa"/>
          </w:tcPr>
          <w:p w14:paraId="13303836">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合计</w:t>
            </w:r>
          </w:p>
          <w:p w14:paraId="17D4117F">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6c</w:t>
            </w:r>
          </w:p>
        </w:tc>
        <w:tc>
          <w:tcPr>
            <w:tcW w:w="992" w:type="dxa"/>
            <w:vMerge w:val="continue"/>
          </w:tcPr>
          <w:p w14:paraId="665D202C">
            <w:pPr>
              <w:snapToGrid w:val="0"/>
              <w:spacing w:line="360" w:lineRule="auto"/>
              <w:ind w:firstLine="480"/>
              <w:jc w:val="center"/>
              <w:rPr>
                <w:rFonts w:ascii="宋体" w:hAnsi="宋体" w:cs="宋体"/>
                <w:color w:val="auto"/>
                <w:kern w:val="0"/>
                <w:sz w:val="24"/>
                <w:highlight w:val="none"/>
              </w:rPr>
            </w:pPr>
          </w:p>
        </w:tc>
        <w:tc>
          <w:tcPr>
            <w:tcW w:w="754" w:type="dxa"/>
            <w:vMerge w:val="continue"/>
          </w:tcPr>
          <w:p w14:paraId="153A533E">
            <w:pPr>
              <w:snapToGrid w:val="0"/>
              <w:spacing w:line="360" w:lineRule="auto"/>
              <w:ind w:firstLine="480"/>
              <w:jc w:val="center"/>
              <w:rPr>
                <w:rFonts w:ascii="宋体" w:hAnsi="宋体" w:cs="宋体"/>
                <w:color w:val="auto"/>
                <w:kern w:val="0"/>
                <w:sz w:val="24"/>
                <w:highlight w:val="none"/>
              </w:rPr>
            </w:pPr>
          </w:p>
        </w:tc>
        <w:tc>
          <w:tcPr>
            <w:tcW w:w="1817" w:type="dxa"/>
            <w:vMerge w:val="continue"/>
          </w:tcPr>
          <w:p w14:paraId="4AB69DC5">
            <w:pPr>
              <w:snapToGrid w:val="0"/>
              <w:spacing w:line="360" w:lineRule="auto"/>
              <w:ind w:firstLine="480"/>
              <w:jc w:val="center"/>
              <w:rPr>
                <w:rFonts w:ascii="宋体" w:hAnsi="宋体" w:cs="宋体"/>
                <w:color w:val="auto"/>
                <w:kern w:val="0"/>
                <w:sz w:val="24"/>
                <w:highlight w:val="none"/>
              </w:rPr>
            </w:pPr>
          </w:p>
        </w:tc>
        <w:tc>
          <w:tcPr>
            <w:tcW w:w="1540" w:type="dxa"/>
            <w:vMerge w:val="continue"/>
          </w:tcPr>
          <w:p w14:paraId="5114B493">
            <w:pPr>
              <w:snapToGrid w:val="0"/>
              <w:spacing w:line="360" w:lineRule="auto"/>
              <w:ind w:firstLine="480"/>
              <w:jc w:val="center"/>
              <w:rPr>
                <w:rFonts w:ascii="宋体" w:hAnsi="宋体" w:cs="宋体"/>
                <w:color w:val="auto"/>
                <w:kern w:val="0"/>
                <w:sz w:val="24"/>
                <w:highlight w:val="none"/>
              </w:rPr>
            </w:pPr>
          </w:p>
        </w:tc>
      </w:tr>
      <w:tr w14:paraId="15B2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1B43319D">
            <w:pPr>
              <w:snapToGrid w:val="0"/>
              <w:spacing w:line="360" w:lineRule="auto"/>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992" w:type="dxa"/>
            <w:vAlign w:val="center"/>
          </w:tcPr>
          <w:p w14:paraId="76DAE264">
            <w:pPr>
              <w:snapToGrid w:val="0"/>
              <w:spacing w:line="360" w:lineRule="auto"/>
              <w:ind w:firstLine="480"/>
              <w:jc w:val="center"/>
              <w:rPr>
                <w:rFonts w:ascii="宋体" w:hAnsi="宋体" w:cs="宋体"/>
                <w:bCs/>
                <w:color w:val="auto"/>
                <w:kern w:val="0"/>
                <w:sz w:val="24"/>
                <w:highlight w:val="none"/>
              </w:rPr>
            </w:pPr>
          </w:p>
        </w:tc>
        <w:tc>
          <w:tcPr>
            <w:tcW w:w="851" w:type="dxa"/>
          </w:tcPr>
          <w:p w14:paraId="78BE224D">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480"/>
              <w:rPr>
                <w:rFonts w:hint="default" w:ascii="宋体" w:eastAsia="宋体" w:cs="宋体"/>
                <w:color w:val="auto"/>
                <w:highlight w:val="none"/>
              </w:rPr>
            </w:pPr>
          </w:p>
        </w:tc>
        <w:tc>
          <w:tcPr>
            <w:tcW w:w="850" w:type="dxa"/>
          </w:tcPr>
          <w:p w14:paraId="5DAF67F8">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480"/>
              <w:rPr>
                <w:rFonts w:hint="default" w:ascii="宋体" w:eastAsia="宋体" w:cs="宋体"/>
                <w:color w:val="auto"/>
                <w:highlight w:val="none"/>
              </w:rPr>
            </w:pPr>
          </w:p>
        </w:tc>
        <w:tc>
          <w:tcPr>
            <w:tcW w:w="851" w:type="dxa"/>
          </w:tcPr>
          <w:p w14:paraId="50A01A52">
            <w:pPr>
              <w:snapToGrid w:val="0"/>
              <w:spacing w:line="360" w:lineRule="auto"/>
              <w:ind w:firstLine="480"/>
              <w:jc w:val="center"/>
              <w:rPr>
                <w:rFonts w:ascii="宋体" w:hAnsi="宋体" w:cs="宋体"/>
                <w:color w:val="auto"/>
                <w:kern w:val="0"/>
                <w:sz w:val="24"/>
                <w:highlight w:val="none"/>
              </w:rPr>
            </w:pPr>
          </w:p>
        </w:tc>
        <w:tc>
          <w:tcPr>
            <w:tcW w:w="992" w:type="dxa"/>
          </w:tcPr>
          <w:p w14:paraId="17176317">
            <w:pPr>
              <w:snapToGrid w:val="0"/>
              <w:spacing w:line="360" w:lineRule="auto"/>
              <w:ind w:firstLine="480"/>
              <w:jc w:val="center"/>
              <w:rPr>
                <w:rFonts w:ascii="宋体" w:hAnsi="宋体" w:cs="宋体"/>
                <w:color w:val="auto"/>
                <w:kern w:val="0"/>
                <w:sz w:val="24"/>
                <w:highlight w:val="none"/>
              </w:rPr>
            </w:pPr>
          </w:p>
        </w:tc>
        <w:tc>
          <w:tcPr>
            <w:tcW w:w="1843" w:type="dxa"/>
          </w:tcPr>
          <w:p w14:paraId="70098DAE">
            <w:pPr>
              <w:snapToGrid w:val="0"/>
              <w:spacing w:line="360" w:lineRule="auto"/>
              <w:ind w:firstLine="480"/>
              <w:rPr>
                <w:rFonts w:ascii="宋体" w:hAnsi="宋体" w:cs="宋体"/>
                <w:color w:val="auto"/>
                <w:kern w:val="0"/>
                <w:sz w:val="24"/>
                <w:highlight w:val="none"/>
              </w:rPr>
            </w:pPr>
          </w:p>
        </w:tc>
        <w:tc>
          <w:tcPr>
            <w:tcW w:w="992" w:type="dxa"/>
          </w:tcPr>
          <w:p w14:paraId="69D47712">
            <w:pPr>
              <w:snapToGrid w:val="0"/>
              <w:spacing w:line="360" w:lineRule="auto"/>
              <w:ind w:firstLine="480"/>
              <w:rPr>
                <w:rFonts w:ascii="宋体" w:hAnsi="宋体" w:cs="宋体"/>
                <w:color w:val="auto"/>
                <w:kern w:val="0"/>
                <w:sz w:val="24"/>
                <w:highlight w:val="none"/>
              </w:rPr>
            </w:pPr>
          </w:p>
        </w:tc>
        <w:tc>
          <w:tcPr>
            <w:tcW w:w="992" w:type="dxa"/>
          </w:tcPr>
          <w:p w14:paraId="18BB5A76">
            <w:pPr>
              <w:snapToGrid w:val="0"/>
              <w:spacing w:line="360" w:lineRule="auto"/>
              <w:ind w:firstLine="480"/>
              <w:jc w:val="center"/>
              <w:rPr>
                <w:rFonts w:ascii="宋体" w:hAnsi="宋体" w:cs="宋体"/>
                <w:color w:val="auto"/>
                <w:kern w:val="0"/>
                <w:sz w:val="24"/>
                <w:highlight w:val="none"/>
              </w:rPr>
            </w:pPr>
          </w:p>
        </w:tc>
        <w:tc>
          <w:tcPr>
            <w:tcW w:w="754" w:type="dxa"/>
          </w:tcPr>
          <w:p w14:paraId="026DD188">
            <w:pPr>
              <w:snapToGrid w:val="0"/>
              <w:spacing w:line="360" w:lineRule="auto"/>
              <w:ind w:firstLine="480"/>
              <w:jc w:val="center"/>
              <w:rPr>
                <w:rFonts w:ascii="宋体" w:hAnsi="宋体" w:cs="宋体"/>
                <w:color w:val="auto"/>
                <w:kern w:val="0"/>
                <w:sz w:val="24"/>
                <w:highlight w:val="none"/>
              </w:rPr>
            </w:pPr>
          </w:p>
        </w:tc>
        <w:tc>
          <w:tcPr>
            <w:tcW w:w="1817" w:type="dxa"/>
          </w:tcPr>
          <w:p w14:paraId="24B66CB1">
            <w:pPr>
              <w:snapToGrid w:val="0"/>
              <w:spacing w:line="360" w:lineRule="auto"/>
              <w:ind w:firstLine="480"/>
              <w:jc w:val="center"/>
              <w:rPr>
                <w:rFonts w:ascii="宋体" w:hAnsi="宋体" w:cs="宋体"/>
                <w:color w:val="auto"/>
                <w:kern w:val="0"/>
                <w:sz w:val="24"/>
                <w:highlight w:val="none"/>
              </w:rPr>
            </w:pPr>
          </w:p>
        </w:tc>
        <w:tc>
          <w:tcPr>
            <w:tcW w:w="1540" w:type="dxa"/>
          </w:tcPr>
          <w:p w14:paraId="360013E7">
            <w:pPr>
              <w:snapToGrid w:val="0"/>
              <w:spacing w:line="360" w:lineRule="auto"/>
              <w:ind w:firstLine="480"/>
              <w:jc w:val="center"/>
              <w:rPr>
                <w:rFonts w:ascii="宋体" w:hAnsi="宋体" w:cs="宋体"/>
                <w:color w:val="auto"/>
                <w:kern w:val="0"/>
                <w:sz w:val="24"/>
                <w:highlight w:val="none"/>
              </w:rPr>
            </w:pPr>
          </w:p>
        </w:tc>
      </w:tr>
      <w:tr w14:paraId="291B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5EB1D391">
            <w:pPr>
              <w:snapToGrid w:val="0"/>
              <w:spacing w:line="360" w:lineRule="auto"/>
              <w:ind w:firstLine="480"/>
              <w:jc w:val="center"/>
              <w:rPr>
                <w:rFonts w:ascii="宋体" w:hAnsi="宋体" w:cs="宋体"/>
                <w:bCs/>
                <w:color w:val="auto"/>
                <w:kern w:val="0"/>
                <w:sz w:val="18"/>
                <w:szCs w:val="18"/>
                <w:highlight w:val="none"/>
              </w:rPr>
            </w:pPr>
            <w:r>
              <w:rPr>
                <w:rFonts w:hint="eastAsia" w:ascii="宋体" w:hAnsi="宋体" w:cs="宋体"/>
                <w:color w:val="auto"/>
                <w:kern w:val="0"/>
                <w:szCs w:val="21"/>
                <w:highlight w:val="none"/>
              </w:rPr>
              <w:t>2</w:t>
            </w:r>
          </w:p>
        </w:tc>
        <w:tc>
          <w:tcPr>
            <w:tcW w:w="992" w:type="dxa"/>
            <w:vAlign w:val="center"/>
          </w:tcPr>
          <w:p w14:paraId="6D53E215">
            <w:pPr>
              <w:snapToGrid w:val="0"/>
              <w:spacing w:line="360" w:lineRule="auto"/>
              <w:ind w:firstLine="480"/>
              <w:jc w:val="center"/>
              <w:rPr>
                <w:rFonts w:ascii="宋体" w:hAnsi="宋体" w:cs="宋体"/>
                <w:bCs/>
                <w:color w:val="auto"/>
                <w:kern w:val="0"/>
                <w:sz w:val="24"/>
                <w:highlight w:val="none"/>
              </w:rPr>
            </w:pPr>
          </w:p>
        </w:tc>
        <w:tc>
          <w:tcPr>
            <w:tcW w:w="851" w:type="dxa"/>
          </w:tcPr>
          <w:p w14:paraId="596FB11C">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0" w:type="dxa"/>
          </w:tcPr>
          <w:p w14:paraId="7FB6BF03">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1" w:type="dxa"/>
          </w:tcPr>
          <w:p w14:paraId="71A09A97">
            <w:pPr>
              <w:snapToGrid w:val="0"/>
              <w:spacing w:line="360" w:lineRule="auto"/>
              <w:ind w:firstLine="480"/>
              <w:jc w:val="center"/>
              <w:rPr>
                <w:rFonts w:ascii="宋体" w:hAnsi="宋体" w:cs="宋体"/>
                <w:color w:val="auto"/>
                <w:kern w:val="0"/>
                <w:sz w:val="24"/>
                <w:highlight w:val="none"/>
              </w:rPr>
            </w:pPr>
          </w:p>
        </w:tc>
        <w:tc>
          <w:tcPr>
            <w:tcW w:w="992" w:type="dxa"/>
          </w:tcPr>
          <w:p w14:paraId="3767BCAE">
            <w:pPr>
              <w:snapToGrid w:val="0"/>
              <w:spacing w:line="360" w:lineRule="auto"/>
              <w:ind w:firstLine="480"/>
              <w:jc w:val="center"/>
              <w:rPr>
                <w:rFonts w:ascii="宋体" w:hAnsi="宋体" w:cs="宋体"/>
                <w:color w:val="auto"/>
                <w:kern w:val="0"/>
                <w:sz w:val="24"/>
                <w:highlight w:val="none"/>
              </w:rPr>
            </w:pPr>
          </w:p>
        </w:tc>
        <w:tc>
          <w:tcPr>
            <w:tcW w:w="1843" w:type="dxa"/>
          </w:tcPr>
          <w:p w14:paraId="31603EB9">
            <w:pPr>
              <w:snapToGrid w:val="0"/>
              <w:spacing w:line="360" w:lineRule="auto"/>
              <w:ind w:firstLine="480"/>
              <w:rPr>
                <w:rFonts w:ascii="宋体" w:hAnsi="宋体" w:cs="宋体"/>
                <w:color w:val="auto"/>
                <w:kern w:val="0"/>
                <w:sz w:val="24"/>
                <w:highlight w:val="none"/>
              </w:rPr>
            </w:pPr>
          </w:p>
        </w:tc>
        <w:tc>
          <w:tcPr>
            <w:tcW w:w="992" w:type="dxa"/>
          </w:tcPr>
          <w:p w14:paraId="3BB56B8F">
            <w:pPr>
              <w:snapToGrid w:val="0"/>
              <w:spacing w:line="360" w:lineRule="auto"/>
              <w:ind w:firstLine="480"/>
              <w:rPr>
                <w:rFonts w:ascii="宋体" w:hAnsi="宋体" w:cs="宋体"/>
                <w:color w:val="auto"/>
                <w:kern w:val="0"/>
                <w:sz w:val="24"/>
                <w:highlight w:val="none"/>
              </w:rPr>
            </w:pPr>
          </w:p>
        </w:tc>
        <w:tc>
          <w:tcPr>
            <w:tcW w:w="992" w:type="dxa"/>
          </w:tcPr>
          <w:p w14:paraId="1F993F4F">
            <w:pPr>
              <w:snapToGrid w:val="0"/>
              <w:spacing w:line="360" w:lineRule="auto"/>
              <w:ind w:firstLine="480"/>
              <w:jc w:val="center"/>
              <w:rPr>
                <w:rFonts w:ascii="宋体" w:hAnsi="宋体" w:cs="宋体"/>
                <w:color w:val="auto"/>
                <w:kern w:val="0"/>
                <w:sz w:val="24"/>
                <w:highlight w:val="none"/>
              </w:rPr>
            </w:pPr>
          </w:p>
        </w:tc>
        <w:tc>
          <w:tcPr>
            <w:tcW w:w="754" w:type="dxa"/>
          </w:tcPr>
          <w:p w14:paraId="3F4DE837">
            <w:pPr>
              <w:snapToGrid w:val="0"/>
              <w:spacing w:line="360" w:lineRule="auto"/>
              <w:ind w:firstLine="480"/>
              <w:jc w:val="center"/>
              <w:rPr>
                <w:rFonts w:ascii="宋体" w:hAnsi="宋体" w:cs="宋体"/>
                <w:color w:val="auto"/>
                <w:kern w:val="0"/>
                <w:sz w:val="24"/>
                <w:highlight w:val="none"/>
              </w:rPr>
            </w:pPr>
          </w:p>
        </w:tc>
        <w:tc>
          <w:tcPr>
            <w:tcW w:w="1817" w:type="dxa"/>
          </w:tcPr>
          <w:p w14:paraId="4E185BEB">
            <w:pPr>
              <w:snapToGrid w:val="0"/>
              <w:spacing w:line="360" w:lineRule="auto"/>
              <w:ind w:firstLine="480"/>
              <w:jc w:val="center"/>
              <w:rPr>
                <w:rFonts w:ascii="宋体" w:hAnsi="宋体" w:cs="宋体"/>
                <w:color w:val="auto"/>
                <w:kern w:val="0"/>
                <w:sz w:val="24"/>
                <w:highlight w:val="none"/>
              </w:rPr>
            </w:pPr>
          </w:p>
        </w:tc>
        <w:tc>
          <w:tcPr>
            <w:tcW w:w="1540" w:type="dxa"/>
          </w:tcPr>
          <w:p w14:paraId="3B327302">
            <w:pPr>
              <w:snapToGrid w:val="0"/>
              <w:spacing w:line="360" w:lineRule="auto"/>
              <w:ind w:firstLine="480"/>
              <w:jc w:val="center"/>
              <w:rPr>
                <w:rFonts w:ascii="宋体" w:hAnsi="宋体" w:cs="宋体"/>
                <w:color w:val="auto"/>
                <w:kern w:val="0"/>
                <w:sz w:val="24"/>
                <w:highlight w:val="none"/>
              </w:rPr>
            </w:pPr>
          </w:p>
        </w:tc>
      </w:tr>
      <w:tr w14:paraId="6B27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2A361DAD">
            <w:pPr>
              <w:snapToGrid w:val="0"/>
              <w:spacing w:line="360" w:lineRule="auto"/>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992" w:type="dxa"/>
            <w:vAlign w:val="center"/>
          </w:tcPr>
          <w:p w14:paraId="334C6DE3">
            <w:pPr>
              <w:snapToGrid w:val="0"/>
              <w:spacing w:line="360" w:lineRule="auto"/>
              <w:ind w:firstLine="480"/>
              <w:jc w:val="center"/>
              <w:rPr>
                <w:rFonts w:ascii="宋体" w:hAnsi="宋体" w:cs="宋体"/>
                <w:bCs/>
                <w:color w:val="auto"/>
                <w:kern w:val="0"/>
                <w:sz w:val="24"/>
                <w:highlight w:val="none"/>
              </w:rPr>
            </w:pPr>
          </w:p>
        </w:tc>
        <w:tc>
          <w:tcPr>
            <w:tcW w:w="851" w:type="dxa"/>
          </w:tcPr>
          <w:p w14:paraId="08D21E62">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0" w:type="dxa"/>
          </w:tcPr>
          <w:p w14:paraId="7C7C60F4">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1" w:type="dxa"/>
          </w:tcPr>
          <w:p w14:paraId="67E95E76">
            <w:pPr>
              <w:snapToGrid w:val="0"/>
              <w:spacing w:line="360" w:lineRule="auto"/>
              <w:ind w:firstLine="480"/>
              <w:jc w:val="center"/>
              <w:rPr>
                <w:rFonts w:ascii="宋体" w:hAnsi="宋体" w:cs="宋体"/>
                <w:color w:val="auto"/>
                <w:kern w:val="0"/>
                <w:sz w:val="24"/>
                <w:highlight w:val="none"/>
              </w:rPr>
            </w:pPr>
          </w:p>
        </w:tc>
        <w:tc>
          <w:tcPr>
            <w:tcW w:w="992" w:type="dxa"/>
          </w:tcPr>
          <w:p w14:paraId="57234061">
            <w:pPr>
              <w:snapToGrid w:val="0"/>
              <w:spacing w:line="360" w:lineRule="auto"/>
              <w:ind w:firstLine="480"/>
              <w:jc w:val="center"/>
              <w:rPr>
                <w:rFonts w:ascii="宋体" w:hAnsi="宋体" w:cs="宋体"/>
                <w:color w:val="auto"/>
                <w:kern w:val="0"/>
                <w:sz w:val="24"/>
                <w:highlight w:val="none"/>
              </w:rPr>
            </w:pPr>
          </w:p>
        </w:tc>
        <w:tc>
          <w:tcPr>
            <w:tcW w:w="1843" w:type="dxa"/>
          </w:tcPr>
          <w:p w14:paraId="76864B84">
            <w:pPr>
              <w:snapToGrid w:val="0"/>
              <w:spacing w:line="360" w:lineRule="auto"/>
              <w:ind w:firstLine="480"/>
              <w:rPr>
                <w:rFonts w:ascii="宋体" w:hAnsi="宋体" w:cs="宋体"/>
                <w:color w:val="auto"/>
                <w:kern w:val="0"/>
                <w:sz w:val="24"/>
                <w:highlight w:val="none"/>
              </w:rPr>
            </w:pPr>
          </w:p>
        </w:tc>
        <w:tc>
          <w:tcPr>
            <w:tcW w:w="992" w:type="dxa"/>
          </w:tcPr>
          <w:p w14:paraId="1474B181">
            <w:pPr>
              <w:snapToGrid w:val="0"/>
              <w:spacing w:line="360" w:lineRule="auto"/>
              <w:ind w:firstLine="480"/>
              <w:rPr>
                <w:rFonts w:ascii="宋体" w:hAnsi="宋体" w:cs="宋体"/>
                <w:color w:val="auto"/>
                <w:kern w:val="0"/>
                <w:sz w:val="24"/>
                <w:highlight w:val="none"/>
              </w:rPr>
            </w:pPr>
          </w:p>
        </w:tc>
        <w:tc>
          <w:tcPr>
            <w:tcW w:w="992" w:type="dxa"/>
          </w:tcPr>
          <w:p w14:paraId="6501F591">
            <w:pPr>
              <w:snapToGrid w:val="0"/>
              <w:spacing w:line="360" w:lineRule="auto"/>
              <w:ind w:firstLine="480"/>
              <w:jc w:val="center"/>
              <w:rPr>
                <w:rFonts w:ascii="宋体" w:hAnsi="宋体" w:cs="宋体"/>
                <w:color w:val="auto"/>
                <w:kern w:val="0"/>
                <w:sz w:val="24"/>
                <w:highlight w:val="none"/>
              </w:rPr>
            </w:pPr>
          </w:p>
        </w:tc>
        <w:tc>
          <w:tcPr>
            <w:tcW w:w="754" w:type="dxa"/>
          </w:tcPr>
          <w:p w14:paraId="15478F09">
            <w:pPr>
              <w:snapToGrid w:val="0"/>
              <w:spacing w:line="360" w:lineRule="auto"/>
              <w:ind w:firstLine="480"/>
              <w:jc w:val="center"/>
              <w:rPr>
                <w:rFonts w:ascii="宋体" w:hAnsi="宋体" w:cs="宋体"/>
                <w:color w:val="auto"/>
                <w:kern w:val="0"/>
                <w:sz w:val="24"/>
                <w:highlight w:val="none"/>
              </w:rPr>
            </w:pPr>
          </w:p>
        </w:tc>
        <w:tc>
          <w:tcPr>
            <w:tcW w:w="1817" w:type="dxa"/>
          </w:tcPr>
          <w:p w14:paraId="436AC602">
            <w:pPr>
              <w:snapToGrid w:val="0"/>
              <w:spacing w:line="360" w:lineRule="auto"/>
              <w:ind w:firstLine="480"/>
              <w:jc w:val="center"/>
              <w:rPr>
                <w:rFonts w:ascii="宋体" w:hAnsi="宋体" w:cs="宋体"/>
                <w:color w:val="auto"/>
                <w:kern w:val="0"/>
                <w:sz w:val="24"/>
                <w:highlight w:val="none"/>
              </w:rPr>
            </w:pPr>
          </w:p>
        </w:tc>
        <w:tc>
          <w:tcPr>
            <w:tcW w:w="1540" w:type="dxa"/>
          </w:tcPr>
          <w:p w14:paraId="521483C8">
            <w:pPr>
              <w:snapToGrid w:val="0"/>
              <w:spacing w:line="360" w:lineRule="auto"/>
              <w:ind w:firstLine="480"/>
              <w:jc w:val="center"/>
              <w:rPr>
                <w:rFonts w:ascii="宋体" w:hAnsi="宋体" w:cs="宋体"/>
                <w:color w:val="auto"/>
                <w:kern w:val="0"/>
                <w:sz w:val="24"/>
                <w:highlight w:val="none"/>
              </w:rPr>
            </w:pPr>
          </w:p>
        </w:tc>
      </w:tr>
      <w:tr w14:paraId="4FF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4CCB9299">
            <w:pPr>
              <w:snapToGrid w:val="0"/>
              <w:spacing w:line="360" w:lineRule="auto"/>
              <w:ind w:firstLine="360"/>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w:t>
            </w:r>
          </w:p>
        </w:tc>
        <w:tc>
          <w:tcPr>
            <w:tcW w:w="992" w:type="dxa"/>
            <w:vAlign w:val="center"/>
          </w:tcPr>
          <w:p w14:paraId="3C36BBA2">
            <w:pPr>
              <w:snapToGrid w:val="0"/>
              <w:spacing w:line="360" w:lineRule="auto"/>
              <w:ind w:firstLine="480"/>
              <w:jc w:val="center"/>
              <w:rPr>
                <w:rFonts w:ascii="宋体" w:hAnsi="宋体" w:cs="宋体"/>
                <w:bCs/>
                <w:color w:val="auto"/>
                <w:kern w:val="0"/>
                <w:sz w:val="24"/>
                <w:highlight w:val="none"/>
              </w:rPr>
            </w:pPr>
          </w:p>
        </w:tc>
        <w:tc>
          <w:tcPr>
            <w:tcW w:w="851" w:type="dxa"/>
          </w:tcPr>
          <w:p w14:paraId="219861E5">
            <w:pPr>
              <w:snapToGrid w:val="0"/>
              <w:spacing w:line="360" w:lineRule="auto"/>
              <w:ind w:firstLine="480"/>
              <w:jc w:val="center"/>
              <w:rPr>
                <w:rFonts w:ascii="宋体" w:hAnsi="宋体" w:cs="宋体"/>
                <w:color w:val="auto"/>
                <w:kern w:val="0"/>
                <w:szCs w:val="21"/>
                <w:highlight w:val="none"/>
              </w:rPr>
            </w:pPr>
          </w:p>
        </w:tc>
        <w:tc>
          <w:tcPr>
            <w:tcW w:w="850" w:type="dxa"/>
            <w:vAlign w:val="center"/>
          </w:tcPr>
          <w:p w14:paraId="381D3162">
            <w:pPr>
              <w:snapToGrid w:val="0"/>
              <w:spacing w:line="360" w:lineRule="auto"/>
              <w:ind w:firstLine="480"/>
              <w:jc w:val="center"/>
              <w:rPr>
                <w:rFonts w:ascii="宋体" w:hAnsi="宋体" w:cs="宋体"/>
                <w:color w:val="auto"/>
                <w:kern w:val="0"/>
                <w:szCs w:val="21"/>
                <w:highlight w:val="none"/>
              </w:rPr>
            </w:pPr>
          </w:p>
        </w:tc>
        <w:tc>
          <w:tcPr>
            <w:tcW w:w="851" w:type="dxa"/>
          </w:tcPr>
          <w:p w14:paraId="1B0B9086">
            <w:pPr>
              <w:snapToGrid w:val="0"/>
              <w:spacing w:line="360" w:lineRule="auto"/>
              <w:ind w:firstLine="480"/>
              <w:jc w:val="center"/>
              <w:rPr>
                <w:rFonts w:ascii="宋体" w:hAnsi="宋体" w:cs="宋体"/>
                <w:color w:val="auto"/>
                <w:kern w:val="0"/>
                <w:sz w:val="24"/>
                <w:highlight w:val="none"/>
              </w:rPr>
            </w:pPr>
          </w:p>
        </w:tc>
        <w:tc>
          <w:tcPr>
            <w:tcW w:w="992" w:type="dxa"/>
          </w:tcPr>
          <w:p w14:paraId="516F5601">
            <w:pPr>
              <w:snapToGrid w:val="0"/>
              <w:spacing w:line="360" w:lineRule="auto"/>
              <w:ind w:firstLine="480"/>
              <w:jc w:val="center"/>
              <w:rPr>
                <w:rFonts w:ascii="宋体" w:hAnsi="宋体" w:cs="宋体"/>
                <w:color w:val="auto"/>
                <w:kern w:val="0"/>
                <w:sz w:val="24"/>
                <w:highlight w:val="none"/>
              </w:rPr>
            </w:pPr>
          </w:p>
        </w:tc>
        <w:tc>
          <w:tcPr>
            <w:tcW w:w="1843" w:type="dxa"/>
          </w:tcPr>
          <w:p w14:paraId="2F5D6831">
            <w:pPr>
              <w:snapToGrid w:val="0"/>
              <w:spacing w:line="360" w:lineRule="auto"/>
              <w:ind w:firstLine="480"/>
              <w:rPr>
                <w:rFonts w:ascii="宋体" w:hAnsi="宋体" w:cs="宋体"/>
                <w:color w:val="auto"/>
                <w:kern w:val="0"/>
                <w:sz w:val="24"/>
                <w:highlight w:val="none"/>
              </w:rPr>
            </w:pPr>
          </w:p>
        </w:tc>
        <w:tc>
          <w:tcPr>
            <w:tcW w:w="992" w:type="dxa"/>
          </w:tcPr>
          <w:p w14:paraId="11303C31">
            <w:pPr>
              <w:snapToGrid w:val="0"/>
              <w:spacing w:line="360" w:lineRule="auto"/>
              <w:ind w:firstLine="480"/>
              <w:rPr>
                <w:rFonts w:ascii="宋体" w:hAnsi="宋体" w:cs="宋体"/>
                <w:color w:val="auto"/>
                <w:kern w:val="0"/>
                <w:sz w:val="24"/>
                <w:highlight w:val="none"/>
              </w:rPr>
            </w:pPr>
          </w:p>
        </w:tc>
        <w:tc>
          <w:tcPr>
            <w:tcW w:w="992" w:type="dxa"/>
          </w:tcPr>
          <w:p w14:paraId="0F0C318A">
            <w:pPr>
              <w:snapToGrid w:val="0"/>
              <w:spacing w:line="360" w:lineRule="auto"/>
              <w:ind w:firstLine="480"/>
              <w:jc w:val="center"/>
              <w:rPr>
                <w:rFonts w:ascii="宋体" w:hAnsi="宋体" w:cs="宋体"/>
                <w:color w:val="auto"/>
                <w:kern w:val="0"/>
                <w:sz w:val="24"/>
                <w:highlight w:val="none"/>
              </w:rPr>
            </w:pPr>
          </w:p>
        </w:tc>
        <w:tc>
          <w:tcPr>
            <w:tcW w:w="754" w:type="dxa"/>
          </w:tcPr>
          <w:p w14:paraId="53A3DD31">
            <w:pPr>
              <w:snapToGrid w:val="0"/>
              <w:spacing w:line="360" w:lineRule="auto"/>
              <w:ind w:firstLine="480"/>
              <w:jc w:val="center"/>
              <w:rPr>
                <w:rFonts w:ascii="宋体" w:hAnsi="宋体" w:cs="宋体"/>
                <w:color w:val="auto"/>
                <w:kern w:val="0"/>
                <w:sz w:val="24"/>
                <w:highlight w:val="none"/>
              </w:rPr>
            </w:pPr>
          </w:p>
        </w:tc>
        <w:tc>
          <w:tcPr>
            <w:tcW w:w="1817" w:type="dxa"/>
          </w:tcPr>
          <w:p w14:paraId="3A35BF94">
            <w:pPr>
              <w:snapToGrid w:val="0"/>
              <w:spacing w:line="360" w:lineRule="auto"/>
              <w:ind w:firstLine="480"/>
              <w:jc w:val="center"/>
              <w:rPr>
                <w:rFonts w:ascii="宋体" w:hAnsi="宋体" w:cs="宋体"/>
                <w:color w:val="auto"/>
                <w:kern w:val="0"/>
                <w:sz w:val="24"/>
                <w:highlight w:val="none"/>
              </w:rPr>
            </w:pPr>
          </w:p>
        </w:tc>
        <w:tc>
          <w:tcPr>
            <w:tcW w:w="1540" w:type="dxa"/>
          </w:tcPr>
          <w:p w14:paraId="1606FCD9">
            <w:pPr>
              <w:snapToGrid w:val="0"/>
              <w:spacing w:line="360" w:lineRule="auto"/>
              <w:ind w:firstLine="480"/>
              <w:jc w:val="center"/>
              <w:rPr>
                <w:rFonts w:ascii="宋体" w:hAnsi="宋体" w:cs="宋体"/>
                <w:color w:val="auto"/>
                <w:kern w:val="0"/>
                <w:sz w:val="24"/>
                <w:highlight w:val="none"/>
              </w:rPr>
            </w:pPr>
          </w:p>
        </w:tc>
      </w:tr>
      <w:tr w14:paraId="38B6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7E8D687">
            <w:pPr>
              <w:snapToGrid w:val="0"/>
              <w:spacing w:line="360" w:lineRule="auto"/>
              <w:ind w:firstLine="480"/>
              <w:jc w:val="center"/>
              <w:rPr>
                <w:rFonts w:ascii="宋体" w:hAnsi="宋体" w:cs="宋体"/>
                <w:color w:val="auto"/>
                <w:kern w:val="0"/>
                <w:szCs w:val="21"/>
                <w:highlight w:val="none"/>
              </w:rPr>
            </w:pPr>
          </w:p>
        </w:tc>
        <w:tc>
          <w:tcPr>
            <w:tcW w:w="992" w:type="dxa"/>
            <w:vAlign w:val="center"/>
          </w:tcPr>
          <w:p w14:paraId="2D94230E">
            <w:pPr>
              <w:snapToGrid w:val="0"/>
              <w:spacing w:line="360" w:lineRule="auto"/>
              <w:ind w:firstLine="480"/>
              <w:jc w:val="center"/>
              <w:rPr>
                <w:rFonts w:ascii="宋体" w:hAnsi="宋体" w:cs="宋体"/>
                <w:bCs/>
                <w:color w:val="auto"/>
                <w:kern w:val="0"/>
                <w:sz w:val="24"/>
                <w:highlight w:val="none"/>
              </w:rPr>
            </w:pPr>
          </w:p>
        </w:tc>
        <w:tc>
          <w:tcPr>
            <w:tcW w:w="851" w:type="dxa"/>
          </w:tcPr>
          <w:p w14:paraId="04DE8ED3">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0" w:type="dxa"/>
          </w:tcPr>
          <w:p w14:paraId="2E73A07B">
            <w:pPr>
              <w:pStyle w:val="297"/>
              <w:widowControl w:val="0"/>
              <w:pBdr>
                <w:left w:val="none" w:color="auto" w:sz="0" w:space="0"/>
                <w:bottom w:val="none" w:color="auto" w:sz="0" w:space="0"/>
                <w:right w:val="none" w:color="auto" w:sz="0" w:space="0"/>
              </w:pBdr>
              <w:snapToGrid w:val="0"/>
              <w:spacing w:before="0" w:beforeAutospacing="0" w:after="0" w:afterAutospacing="0" w:line="360" w:lineRule="auto"/>
              <w:ind w:firstLine="360"/>
              <w:rPr>
                <w:rFonts w:hint="default" w:ascii="宋体" w:eastAsia="宋体" w:cs="宋体"/>
                <w:bCs/>
                <w:color w:val="auto"/>
                <w:sz w:val="18"/>
                <w:szCs w:val="18"/>
                <w:highlight w:val="none"/>
              </w:rPr>
            </w:pPr>
          </w:p>
        </w:tc>
        <w:tc>
          <w:tcPr>
            <w:tcW w:w="851" w:type="dxa"/>
          </w:tcPr>
          <w:p w14:paraId="05FC2208">
            <w:pPr>
              <w:snapToGrid w:val="0"/>
              <w:spacing w:line="360" w:lineRule="auto"/>
              <w:ind w:firstLine="480"/>
              <w:jc w:val="center"/>
              <w:rPr>
                <w:rFonts w:ascii="宋体" w:hAnsi="宋体" w:cs="宋体"/>
                <w:color w:val="auto"/>
                <w:kern w:val="0"/>
                <w:sz w:val="24"/>
                <w:highlight w:val="none"/>
              </w:rPr>
            </w:pPr>
          </w:p>
        </w:tc>
        <w:tc>
          <w:tcPr>
            <w:tcW w:w="992" w:type="dxa"/>
          </w:tcPr>
          <w:p w14:paraId="40338F39">
            <w:pPr>
              <w:snapToGrid w:val="0"/>
              <w:spacing w:line="360" w:lineRule="auto"/>
              <w:ind w:firstLine="480"/>
              <w:jc w:val="center"/>
              <w:rPr>
                <w:rFonts w:ascii="宋体" w:hAnsi="宋体" w:cs="宋体"/>
                <w:color w:val="auto"/>
                <w:kern w:val="0"/>
                <w:sz w:val="24"/>
                <w:highlight w:val="none"/>
              </w:rPr>
            </w:pPr>
          </w:p>
        </w:tc>
        <w:tc>
          <w:tcPr>
            <w:tcW w:w="1843" w:type="dxa"/>
          </w:tcPr>
          <w:p w14:paraId="59154E94">
            <w:pPr>
              <w:snapToGrid w:val="0"/>
              <w:spacing w:line="360" w:lineRule="auto"/>
              <w:ind w:firstLine="480"/>
              <w:rPr>
                <w:rFonts w:ascii="宋体" w:hAnsi="宋体" w:cs="宋体"/>
                <w:color w:val="auto"/>
                <w:kern w:val="0"/>
                <w:sz w:val="24"/>
                <w:highlight w:val="none"/>
              </w:rPr>
            </w:pPr>
          </w:p>
        </w:tc>
        <w:tc>
          <w:tcPr>
            <w:tcW w:w="992" w:type="dxa"/>
          </w:tcPr>
          <w:p w14:paraId="15AD9F7F">
            <w:pPr>
              <w:snapToGrid w:val="0"/>
              <w:spacing w:line="360" w:lineRule="auto"/>
              <w:ind w:firstLine="480"/>
              <w:rPr>
                <w:rFonts w:ascii="宋体" w:hAnsi="宋体" w:cs="宋体"/>
                <w:color w:val="auto"/>
                <w:kern w:val="0"/>
                <w:sz w:val="24"/>
                <w:highlight w:val="none"/>
              </w:rPr>
            </w:pPr>
          </w:p>
        </w:tc>
        <w:tc>
          <w:tcPr>
            <w:tcW w:w="992" w:type="dxa"/>
          </w:tcPr>
          <w:p w14:paraId="1611A923">
            <w:pPr>
              <w:snapToGrid w:val="0"/>
              <w:spacing w:line="360" w:lineRule="auto"/>
              <w:ind w:firstLine="480"/>
              <w:jc w:val="center"/>
              <w:rPr>
                <w:rFonts w:ascii="宋体" w:hAnsi="宋体" w:cs="宋体"/>
                <w:color w:val="auto"/>
                <w:kern w:val="0"/>
                <w:sz w:val="24"/>
                <w:highlight w:val="none"/>
              </w:rPr>
            </w:pPr>
          </w:p>
        </w:tc>
        <w:tc>
          <w:tcPr>
            <w:tcW w:w="754" w:type="dxa"/>
          </w:tcPr>
          <w:p w14:paraId="1525C0FF">
            <w:pPr>
              <w:snapToGrid w:val="0"/>
              <w:spacing w:line="360" w:lineRule="auto"/>
              <w:ind w:firstLine="480"/>
              <w:jc w:val="center"/>
              <w:rPr>
                <w:rFonts w:ascii="宋体" w:hAnsi="宋体" w:cs="宋体"/>
                <w:color w:val="auto"/>
                <w:kern w:val="0"/>
                <w:sz w:val="24"/>
                <w:highlight w:val="none"/>
              </w:rPr>
            </w:pPr>
          </w:p>
        </w:tc>
        <w:tc>
          <w:tcPr>
            <w:tcW w:w="1817" w:type="dxa"/>
          </w:tcPr>
          <w:p w14:paraId="7B328606">
            <w:pPr>
              <w:snapToGrid w:val="0"/>
              <w:spacing w:line="360" w:lineRule="auto"/>
              <w:ind w:firstLine="480"/>
              <w:jc w:val="center"/>
              <w:rPr>
                <w:rFonts w:ascii="宋体" w:hAnsi="宋体" w:cs="宋体"/>
                <w:color w:val="auto"/>
                <w:kern w:val="0"/>
                <w:sz w:val="24"/>
                <w:highlight w:val="none"/>
              </w:rPr>
            </w:pPr>
          </w:p>
        </w:tc>
        <w:tc>
          <w:tcPr>
            <w:tcW w:w="1540" w:type="dxa"/>
          </w:tcPr>
          <w:p w14:paraId="2E79E860">
            <w:pPr>
              <w:snapToGrid w:val="0"/>
              <w:spacing w:line="360" w:lineRule="auto"/>
              <w:ind w:firstLine="480"/>
              <w:jc w:val="center"/>
              <w:rPr>
                <w:rFonts w:ascii="宋体" w:hAnsi="宋体" w:cs="宋体"/>
                <w:color w:val="auto"/>
                <w:kern w:val="0"/>
                <w:sz w:val="24"/>
                <w:highlight w:val="none"/>
              </w:rPr>
            </w:pPr>
          </w:p>
        </w:tc>
      </w:tr>
      <w:tr w14:paraId="6C8E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70" w:type="dxa"/>
            <w:gridSpan w:val="11"/>
          </w:tcPr>
          <w:p w14:paraId="0BF92120">
            <w:pPr>
              <w:snapToGrid w:val="0"/>
              <w:spacing w:line="360" w:lineRule="auto"/>
              <w:ind w:firstLine="482"/>
              <w:jc w:val="right"/>
              <w:rPr>
                <w:rFonts w:ascii="宋体" w:hAnsi="宋体" w:cs="宋体"/>
                <w:b/>
                <w:bCs/>
                <w:color w:val="auto"/>
                <w:kern w:val="0"/>
                <w:sz w:val="24"/>
                <w:highlight w:val="none"/>
              </w:rPr>
            </w:pPr>
            <w:r>
              <w:rPr>
                <w:rFonts w:hint="eastAsia" w:ascii="宋体" w:hAnsi="宋体" w:cs="宋体"/>
                <w:b/>
                <w:bCs/>
                <w:color w:val="auto"/>
                <w:kern w:val="0"/>
                <w:sz w:val="24"/>
                <w:highlight w:val="none"/>
              </w:rPr>
              <w:t>合计：</w:t>
            </w:r>
          </w:p>
        </w:tc>
        <w:tc>
          <w:tcPr>
            <w:tcW w:w="1540" w:type="dxa"/>
          </w:tcPr>
          <w:p w14:paraId="5ACD3408">
            <w:pPr>
              <w:snapToGrid w:val="0"/>
              <w:spacing w:line="360" w:lineRule="auto"/>
              <w:ind w:firstLine="482"/>
              <w:jc w:val="center"/>
              <w:rPr>
                <w:rFonts w:ascii="宋体" w:hAnsi="宋体" w:cs="宋体"/>
                <w:b/>
                <w:bCs/>
                <w:color w:val="auto"/>
                <w:kern w:val="0"/>
                <w:sz w:val="24"/>
                <w:highlight w:val="none"/>
              </w:rPr>
            </w:pPr>
          </w:p>
        </w:tc>
      </w:tr>
    </w:tbl>
    <w:p w14:paraId="6DB1BC5E">
      <w:pPr>
        <w:snapToGrid w:val="0"/>
        <w:spacing w:line="360" w:lineRule="auto"/>
        <w:ind w:firstLine="482"/>
        <w:rPr>
          <w:rFonts w:ascii="宋体" w:hAnsi="宋体" w:cs="宋体"/>
          <w:b/>
          <w:color w:val="auto"/>
          <w:kern w:val="0"/>
          <w:highlight w:val="none"/>
        </w:rPr>
      </w:pPr>
    </w:p>
    <w:p w14:paraId="5CE08D30">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供应商（加盖公章）：</w:t>
      </w:r>
    </w:p>
    <w:p w14:paraId="5660886D">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法定代表人或授权委托代理人（签字或盖章）：</w:t>
      </w:r>
    </w:p>
    <w:p w14:paraId="48FA9EF6">
      <w:pPr>
        <w:snapToGrid w:val="0"/>
        <w:spacing w:line="360" w:lineRule="auto"/>
        <w:ind w:firstLine="480"/>
        <w:rPr>
          <w:rFonts w:ascii="宋体" w:hAnsi="宋体" w:cs="宋体"/>
          <w:b/>
          <w:bCs/>
          <w:color w:val="auto"/>
          <w:kern w:val="0"/>
          <w:sz w:val="36"/>
          <w:highlight w:val="none"/>
        </w:rPr>
      </w:pPr>
      <w:r>
        <w:rPr>
          <w:rFonts w:hint="eastAsia" w:ascii="宋体" w:hAnsi="宋体" w:cs="宋体"/>
          <w:color w:val="auto"/>
          <w:kern w:val="0"/>
          <w:sz w:val="24"/>
          <w:highlight w:val="none"/>
        </w:rPr>
        <w:t>日期：       年   月  日</w:t>
      </w:r>
    </w:p>
    <w:p w14:paraId="6F4C9C92">
      <w:pPr>
        <w:snapToGrid w:val="0"/>
        <w:spacing w:line="360" w:lineRule="auto"/>
        <w:ind w:firstLine="482"/>
        <w:rPr>
          <w:rFonts w:ascii="宋体" w:hAnsi="宋体" w:cs="宋体"/>
          <w:b/>
          <w:color w:val="auto"/>
          <w:kern w:val="0"/>
          <w:sz w:val="24"/>
          <w:highlight w:val="none"/>
        </w:rPr>
      </w:pPr>
    </w:p>
    <w:p w14:paraId="612F6EF5">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注：</w:t>
      </w:r>
    </w:p>
    <w:p w14:paraId="0BE6F260">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须包含供应商须投标报价条款规定的全部费用；</w:t>
      </w:r>
    </w:p>
    <w:p w14:paraId="17A0F93C">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所有价格系用人民币表示，单位：元；</w:t>
      </w:r>
    </w:p>
    <w:p w14:paraId="12487E20">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如果单价和总价不符时，以单价为准；</w:t>
      </w:r>
    </w:p>
    <w:p w14:paraId="2552C4FF">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项6c是6a、6b之和；</w:t>
      </w:r>
    </w:p>
    <w:p w14:paraId="306D7D2E">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项10的合计为投标总价；</w:t>
      </w:r>
    </w:p>
    <w:p w14:paraId="2301B76D">
      <w:pPr>
        <w:numPr>
          <w:ilvl w:val="0"/>
          <w:numId w:val="4"/>
        </w:num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供应商须按规定签署，否则投标文件无效。</w:t>
      </w:r>
    </w:p>
    <w:p w14:paraId="4DF394DF">
      <w:pPr>
        <w:numPr>
          <w:ilvl w:val="0"/>
          <w:numId w:val="4"/>
        </w:numPr>
        <w:snapToGrid w:val="0"/>
        <w:spacing w:line="360" w:lineRule="auto"/>
        <w:ind w:firstLine="480"/>
        <w:rPr>
          <w:rFonts w:ascii="宋体" w:hAnsi="宋体" w:cs="宋体"/>
          <w:color w:val="auto"/>
          <w:kern w:val="0"/>
          <w:sz w:val="24"/>
          <w:highlight w:val="none"/>
        </w:rPr>
      </w:pPr>
      <w:r>
        <w:rPr>
          <w:rFonts w:hint="eastAsia" w:cs="宋体"/>
          <w:color w:val="auto"/>
          <w:sz w:val="24"/>
          <w:highlight w:val="none"/>
        </w:rPr>
        <w:t>如发现有进口或从其他渠道购入进口产品的情况，视为虚假竞标，将依法追究违约责任</w:t>
      </w:r>
      <w:r>
        <w:rPr>
          <w:rFonts w:hint="eastAsia" w:ascii="宋体" w:hAnsi="宋体" w:cs="宋体"/>
          <w:color w:val="auto"/>
          <w:kern w:val="0"/>
          <w:sz w:val="24"/>
          <w:highlight w:val="none"/>
        </w:rPr>
        <w:t>。</w:t>
      </w:r>
    </w:p>
    <w:p w14:paraId="5C69B33B">
      <w:pPr>
        <w:numPr>
          <w:ilvl w:val="0"/>
          <w:numId w:val="4"/>
        </w:numPr>
        <w:snapToGrid w:val="0"/>
        <w:spacing w:line="360" w:lineRule="auto"/>
        <w:ind w:firstLine="480"/>
        <w:rPr>
          <w:rFonts w:hint="default" w:ascii="宋体" w:hAnsi="宋体" w:cs="宋体"/>
          <w:color w:val="auto"/>
          <w:kern w:val="0"/>
          <w:sz w:val="24"/>
          <w:highlight w:val="none"/>
          <w:lang w:val="en-US" w:eastAsia="zh-CN"/>
        </w:rPr>
        <w:sectPr>
          <w:headerReference r:id="rId12" w:type="first"/>
          <w:headerReference r:id="rId11" w:type="default"/>
          <w:pgSz w:w="16838" w:h="11905" w:orient="landscape"/>
          <w:pgMar w:top="1417" w:right="1984" w:bottom="1417" w:left="1417" w:header="1417" w:footer="850" w:gutter="0"/>
          <w:cols w:space="720" w:num="1"/>
          <w:titlePg/>
          <w:docGrid w:linePitch="286" w:charSpace="0"/>
        </w:sectPr>
      </w:pPr>
      <w:r>
        <w:rPr>
          <w:rFonts w:hint="eastAsia" w:ascii="宋体" w:hAnsi="宋体" w:cs="宋体"/>
          <w:color w:val="auto"/>
          <w:kern w:val="0"/>
          <w:sz w:val="24"/>
          <w:highlight w:val="none"/>
          <w:lang w:val="en-US" w:eastAsia="zh-CN"/>
        </w:rPr>
        <w:t>如单台投标报价超出最高限价为无效投标。</w:t>
      </w:r>
    </w:p>
    <w:p w14:paraId="716E29AE">
      <w:pPr>
        <w:pStyle w:val="45"/>
        <w:snapToGrid w:val="0"/>
        <w:spacing w:line="360" w:lineRule="auto"/>
        <w:jc w:val="center"/>
        <w:outlineLvl w:val="1"/>
        <w:rPr>
          <w:rFonts w:hAnsi="宋体" w:cs="宋体"/>
          <w:b/>
          <w:color w:val="auto"/>
          <w:kern w:val="0"/>
          <w:sz w:val="36"/>
          <w:szCs w:val="24"/>
          <w:highlight w:val="none"/>
        </w:rPr>
      </w:pPr>
      <w:bookmarkStart w:id="119" w:name="_Toc529515607"/>
      <w:bookmarkEnd w:id="119"/>
      <w:bookmarkStart w:id="120" w:name="_Toc23619_WPSOffice_Level3"/>
      <w:r>
        <w:rPr>
          <w:rFonts w:hint="eastAsia" w:hAnsi="宋体" w:cs="宋体"/>
          <w:b/>
          <w:color w:val="auto"/>
          <w:kern w:val="0"/>
          <w:sz w:val="36"/>
          <w:szCs w:val="24"/>
          <w:highlight w:val="none"/>
        </w:rPr>
        <w:t>三、产品说明一览表</w:t>
      </w:r>
      <w:bookmarkEnd w:id="120"/>
    </w:p>
    <w:p w14:paraId="4FE823A9">
      <w:pPr>
        <w:snapToGrid w:val="0"/>
        <w:spacing w:line="360" w:lineRule="auto"/>
        <w:ind w:firstLine="480"/>
        <w:jc w:val="center"/>
        <w:rPr>
          <w:rFonts w:ascii="宋体" w:hAnsi="宋体" w:cs="宋体"/>
          <w:color w:val="auto"/>
          <w:kern w:val="0"/>
          <w:highlight w:val="none"/>
        </w:rPr>
      </w:pPr>
      <w:r>
        <w:rPr>
          <w:rFonts w:hint="eastAsia" w:ascii="宋体" w:hAnsi="宋体" w:cs="宋体"/>
          <w:color w:val="auto"/>
          <w:kern w:val="0"/>
          <w:sz w:val="24"/>
          <w:highlight w:val="none"/>
        </w:rPr>
        <w:t>(按第三章中所附</w:t>
      </w:r>
      <w:r>
        <w:rPr>
          <w:rFonts w:hint="eastAsia" w:ascii="宋体" w:hAnsi="宋体" w:cs="宋体"/>
          <w:b/>
          <w:color w:val="auto"/>
          <w:kern w:val="0"/>
          <w:sz w:val="24"/>
          <w:highlight w:val="none"/>
        </w:rPr>
        <w:t>用户需求书</w:t>
      </w:r>
      <w:r>
        <w:rPr>
          <w:rFonts w:hint="eastAsia" w:ascii="宋体" w:hAnsi="宋体" w:cs="宋体"/>
          <w:color w:val="auto"/>
          <w:kern w:val="0"/>
          <w:sz w:val="24"/>
          <w:highlight w:val="none"/>
        </w:rPr>
        <w:t>顺序分别填写)</w:t>
      </w:r>
    </w:p>
    <w:p w14:paraId="109EA448">
      <w:pPr>
        <w:snapToGrid w:val="0"/>
        <w:spacing w:line="360" w:lineRule="auto"/>
        <w:ind w:firstLine="480"/>
        <w:rPr>
          <w:rFonts w:ascii="宋体" w:hAnsi="宋体" w:cs="宋体"/>
          <w:color w:val="auto"/>
          <w:kern w:val="0"/>
          <w:sz w:val="24"/>
          <w:highlight w:val="none"/>
        </w:rPr>
      </w:pPr>
    </w:p>
    <w:tbl>
      <w:tblPr>
        <w:tblStyle w:val="88"/>
        <w:tblW w:w="9747" w:type="dxa"/>
        <w:jc w:val="center"/>
        <w:tblLayout w:type="fixed"/>
        <w:tblCellMar>
          <w:top w:w="0" w:type="dxa"/>
          <w:left w:w="108" w:type="dxa"/>
          <w:bottom w:w="0" w:type="dxa"/>
          <w:right w:w="108" w:type="dxa"/>
        </w:tblCellMar>
      </w:tblPr>
      <w:tblGrid>
        <w:gridCol w:w="823"/>
        <w:gridCol w:w="1170"/>
        <w:gridCol w:w="1418"/>
        <w:gridCol w:w="3543"/>
        <w:gridCol w:w="862"/>
        <w:gridCol w:w="1931"/>
      </w:tblGrid>
      <w:tr w14:paraId="5E3EF0D4">
        <w:tblPrEx>
          <w:tblCellMar>
            <w:top w:w="0" w:type="dxa"/>
            <w:left w:w="108" w:type="dxa"/>
            <w:bottom w:w="0" w:type="dxa"/>
            <w:right w:w="108" w:type="dxa"/>
          </w:tblCellMar>
        </w:tblPrEx>
        <w:trPr>
          <w:trHeight w:val="886" w:hRule="atLeast"/>
          <w:jc w:val="center"/>
        </w:trPr>
        <w:tc>
          <w:tcPr>
            <w:tcW w:w="823" w:type="dxa"/>
            <w:tcBorders>
              <w:top w:val="single" w:color="000000" w:sz="18" w:space="0"/>
              <w:left w:val="single" w:color="000000" w:sz="18" w:space="0"/>
              <w:bottom w:val="single" w:color="000000" w:sz="6" w:space="0"/>
              <w:right w:val="single" w:color="000000" w:sz="6" w:space="0"/>
            </w:tcBorders>
            <w:vAlign w:val="center"/>
          </w:tcPr>
          <w:p w14:paraId="3E029A18">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170" w:type="dxa"/>
            <w:tcBorders>
              <w:top w:val="single" w:color="000000" w:sz="18" w:space="0"/>
              <w:left w:val="single" w:color="000000" w:sz="6" w:space="0"/>
              <w:bottom w:val="single" w:color="000000" w:sz="6" w:space="0"/>
              <w:right w:val="single" w:color="000000" w:sz="6" w:space="0"/>
            </w:tcBorders>
            <w:vAlign w:val="center"/>
          </w:tcPr>
          <w:p w14:paraId="14A73ADD">
            <w:pPr>
              <w:snapToGrid w:val="0"/>
              <w:spacing w:line="360" w:lineRule="auto"/>
              <w:jc w:val="center"/>
              <w:rPr>
                <w:rFonts w:ascii="宋体" w:hAnsi="宋体" w:cs="宋体"/>
                <w:color w:val="auto"/>
                <w:kern w:val="0"/>
                <w:sz w:val="24"/>
                <w:highlight w:val="none"/>
              </w:rPr>
            </w:pPr>
          </w:p>
        </w:tc>
        <w:tc>
          <w:tcPr>
            <w:tcW w:w="1418" w:type="dxa"/>
            <w:tcBorders>
              <w:top w:val="single" w:color="000000" w:sz="18" w:space="0"/>
              <w:left w:val="single" w:color="000000" w:sz="6" w:space="0"/>
              <w:bottom w:val="single" w:color="000000" w:sz="6" w:space="0"/>
              <w:right w:val="single" w:color="000000" w:sz="6" w:space="0"/>
            </w:tcBorders>
            <w:vAlign w:val="center"/>
          </w:tcPr>
          <w:p w14:paraId="26D7337C">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产品名称</w:t>
            </w:r>
          </w:p>
        </w:tc>
        <w:tc>
          <w:tcPr>
            <w:tcW w:w="3543" w:type="dxa"/>
            <w:tcBorders>
              <w:top w:val="single" w:color="000000" w:sz="18" w:space="0"/>
              <w:left w:val="single" w:color="000000" w:sz="6" w:space="0"/>
              <w:bottom w:val="single" w:color="000000" w:sz="6" w:space="0"/>
              <w:right w:val="single" w:color="000000" w:sz="6" w:space="0"/>
            </w:tcBorders>
            <w:vAlign w:val="center"/>
          </w:tcPr>
          <w:p w14:paraId="11146D0A">
            <w:pPr>
              <w:snapToGrid w:val="0"/>
              <w:spacing w:line="360" w:lineRule="auto"/>
              <w:jc w:val="center"/>
              <w:rPr>
                <w:rFonts w:ascii="宋体" w:hAnsi="宋体" w:cs="宋体"/>
                <w:color w:val="auto"/>
                <w:kern w:val="0"/>
                <w:sz w:val="24"/>
                <w:highlight w:val="none"/>
              </w:rPr>
            </w:pPr>
          </w:p>
        </w:tc>
        <w:tc>
          <w:tcPr>
            <w:tcW w:w="862" w:type="dxa"/>
            <w:tcBorders>
              <w:top w:val="single" w:color="000000" w:sz="18" w:space="0"/>
              <w:left w:val="single" w:color="000000" w:sz="6" w:space="0"/>
              <w:bottom w:val="single" w:color="000000" w:sz="6" w:space="0"/>
              <w:right w:val="single" w:color="000000" w:sz="6" w:space="0"/>
            </w:tcBorders>
            <w:vAlign w:val="center"/>
          </w:tcPr>
          <w:p w14:paraId="04979B41">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931" w:type="dxa"/>
            <w:tcBorders>
              <w:top w:val="single" w:color="000000" w:sz="18" w:space="0"/>
              <w:left w:val="single" w:color="000000" w:sz="6" w:space="0"/>
              <w:bottom w:val="single" w:color="000000" w:sz="6" w:space="0"/>
              <w:right w:val="single" w:color="000000" w:sz="18" w:space="0"/>
            </w:tcBorders>
            <w:vAlign w:val="center"/>
          </w:tcPr>
          <w:p w14:paraId="4A55BFA0">
            <w:pPr>
              <w:snapToGrid w:val="0"/>
              <w:spacing w:line="360" w:lineRule="auto"/>
              <w:jc w:val="center"/>
              <w:rPr>
                <w:rFonts w:ascii="宋体" w:hAnsi="宋体" w:cs="宋体"/>
                <w:color w:val="auto"/>
                <w:kern w:val="0"/>
                <w:sz w:val="24"/>
                <w:highlight w:val="none"/>
              </w:rPr>
            </w:pPr>
          </w:p>
        </w:tc>
      </w:tr>
      <w:tr w14:paraId="2D4F0C63">
        <w:tblPrEx>
          <w:tblCellMar>
            <w:top w:w="0" w:type="dxa"/>
            <w:left w:w="108" w:type="dxa"/>
            <w:bottom w:w="0" w:type="dxa"/>
            <w:right w:w="108" w:type="dxa"/>
          </w:tblCellMar>
        </w:tblPrEx>
        <w:trPr>
          <w:cantSplit/>
          <w:trHeight w:val="4648" w:hRule="atLeast"/>
          <w:jc w:val="center"/>
        </w:trPr>
        <w:tc>
          <w:tcPr>
            <w:tcW w:w="9747" w:type="dxa"/>
            <w:gridSpan w:val="6"/>
            <w:tcBorders>
              <w:top w:val="single" w:color="000000" w:sz="6" w:space="0"/>
              <w:left w:val="single" w:color="000000" w:sz="18" w:space="0"/>
              <w:bottom w:val="single" w:color="000000" w:sz="18" w:space="0"/>
              <w:right w:val="single" w:color="000000" w:sz="18" w:space="0"/>
            </w:tcBorders>
          </w:tcPr>
          <w:p w14:paraId="2601C0CB">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不限于详细配置、技术参数、性能说明、产品说明书、图片、产品检验报告（如有）等：</w:t>
            </w:r>
          </w:p>
          <w:p w14:paraId="4C19093A">
            <w:pPr>
              <w:snapToGrid w:val="0"/>
              <w:spacing w:line="360" w:lineRule="auto"/>
              <w:ind w:firstLine="480"/>
              <w:rPr>
                <w:rFonts w:ascii="宋体" w:hAnsi="宋体" w:cs="宋体"/>
                <w:color w:val="auto"/>
                <w:kern w:val="0"/>
                <w:sz w:val="24"/>
                <w:highlight w:val="none"/>
              </w:rPr>
            </w:pPr>
          </w:p>
          <w:p w14:paraId="7E91E943">
            <w:pPr>
              <w:snapToGrid w:val="0"/>
              <w:spacing w:line="360" w:lineRule="auto"/>
              <w:ind w:firstLine="480"/>
              <w:rPr>
                <w:rFonts w:ascii="宋体" w:hAnsi="宋体" w:cs="宋体"/>
                <w:color w:val="auto"/>
                <w:kern w:val="0"/>
                <w:sz w:val="24"/>
                <w:highlight w:val="none"/>
              </w:rPr>
            </w:pPr>
          </w:p>
          <w:p w14:paraId="6A1C5279">
            <w:pPr>
              <w:snapToGrid w:val="0"/>
              <w:spacing w:line="360" w:lineRule="auto"/>
              <w:ind w:firstLine="480"/>
              <w:rPr>
                <w:rFonts w:ascii="宋体" w:hAnsi="宋体" w:cs="宋体"/>
                <w:color w:val="auto"/>
                <w:kern w:val="0"/>
                <w:sz w:val="24"/>
                <w:highlight w:val="none"/>
              </w:rPr>
            </w:pPr>
          </w:p>
          <w:p w14:paraId="07D5C4AE">
            <w:pPr>
              <w:snapToGrid w:val="0"/>
              <w:spacing w:line="360" w:lineRule="auto"/>
              <w:ind w:firstLine="480"/>
              <w:rPr>
                <w:rFonts w:ascii="宋体" w:hAnsi="宋体" w:cs="宋体"/>
                <w:color w:val="auto"/>
                <w:kern w:val="0"/>
                <w:sz w:val="24"/>
                <w:highlight w:val="none"/>
              </w:rPr>
            </w:pPr>
          </w:p>
          <w:p w14:paraId="593F8B11">
            <w:pPr>
              <w:snapToGrid w:val="0"/>
              <w:spacing w:line="360" w:lineRule="auto"/>
              <w:ind w:firstLine="480"/>
              <w:rPr>
                <w:rFonts w:ascii="宋体" w:hAnsi="宋体" w:cs="宋体"/>
                <w:color w:val="auto"/>
                <w:kern w:val="0"/>
                <w:sz w:val="24"/>
                <w:highlight w:val="none"/>
              </w:rPr>
            </w:pPr>
          </w:p>
          <w:p w14:paraId="1470BB5D">
            <w:pPr>
              <w:snapToGrid w:val="0"/>
              <w:spacing w:line="360" w:lineRule="auto"/>
              <w:ind w:firstLine="480"/>
              <w:rPr>
                <w:rFonts w:ascii="宋体" w:hAnsi="宋体" w:cs="宋体"/>
                <w:color w:val="auto"/>
                <w:kern w:val="0"/>
                <w:sz w:val="24"/>
                <w:highlight w:val="none"/>
              </w:rPr>
            </w:pPr>
          </w:p>
          <w:p w14:paraId="6C960ECF">
            <w:pPr>
              <w:snapToGrid w:val="0"/>
              <w:spacing w:line="360" w:lineRule="auto"/>
              <w:ind w:firstLine="480"/>
              <w:rPr>
                <w:rFonts w:ascii="宋体" w:hAnsi="宋体" w:cs="宋体"/>
                <w:color w:val="auto"/>
                <w:kern w:val="0"/>
                <w:sz w:val="24"/>
                <w:highlight w:val="none"/>
              </w:rPr>
            </w:pPr>
          </w:p>
          <w:p w14:paraId="2D447573">
            <w:pPr>
              <w:snapToGrid w:val="0"/>
              <w:spacing w:line="360" w:lineRule="auto"/>
              <w:ind w:firstLine="480"/>
              <w:rPr>
                <w:rFonts w:ascii="宋体" w:hAnsi="宋体" w:cs="宋体"/>
                <w:color w:val="auto"/>
                <w:kern w:val="0"/>
                <w:sz w:val="24"/>
                <w:highlight w:val="none"/>
              </w:rPr>
            </w:pPr>
          </w:p>
          <w:p w14:paraId="356C7E12">
            <w:pPr>
              <w:snapToGrid w:val="0"/>
              <w:spacing w:line="360" w:lineRule="auto"/>
              <w:ind w:firstLine="480"/>
              <w:rPr>
                <w:rFonts w:ascii="宋体" w:hAnsi="宋体" w:cs="宋体"/>
                <w:color w:val="auto"/>
                <w:kern w:val="0"/>
                <w:sz w:val="24"/>
                <w:highlight w:val="none"/>
              </w:rPr>
            </w:pPr>
          </w:p>
          <w:p w14:paraId="64E407D2">
            <w:pPr>
              <w:snapToGrid w:val="0"/>
              <w:spacing w:line="360" w:lineRule="auto"/>
              <w:ind w:firstLine="480"/>
              <w:rPr>
                <w:rFonts w:ascii="宋体" w:hAnsi="宋体" w:cs="宋体"/>
                <w:color w:val="auto"/>
                <w:kern w:val="0"/>
                <w:sz w:val="24"/>
                <w:highlight w:val="none"/>
              </w:rPr>
            </w:pPr>
          </w:p>
          <w:p w14:paraId="3F081230">
            <w:pPr>
              <w:snapToGrid w:val="0"/>
              <w:spacing w:line="360" w:lineRule="auto"/>
              <w:ind w:firstLine="480"/>
              <w:rPr>
                <w:rFonts w:ascii="宋体" w:hAnsi="宋体" w:cs="宋体"/>
                <w:color w:val="auto"/>
                <w:kern w:val="0"/>
                <w:sz w:val="24"/>
                <w:highlight w:val="none"/>
              </w:rPr>
            </w:pPr>
          </w:p>
          <w:p w14:paraId="3F1A50ED">
            <w:pPr>
              <w:snapToGrid w:val="0"/>
              <w:spacing w:line="360" w:lineRule="auto"/>
              <w:ind w:firstLine="480"/>
              <w:rPr>
                <w:rFonts w:ascii="宋体" w:hAnsi="宋体" w:cs="宋体"/>
                <w:color w:val="auto"/>
                <w:kern w:val="0"/>
                <w:sz w:val="24"/>
                <w:highlight w:val="none"/>
              </w:rPr>
            </w:pPr>
          </w:p>
        </w:tc>
      </w:tr>
    </w:tbl>
    <w:p w14:paraId="0A328D12">
      <w:pPr>
        <w:snapToGrid w:val="0"/>
        <w:spacing w:line="360" w:lineRule="auto"/>
        <w:ind w:firstLine="562"/>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附：第三章用户需求书中如要求投标人提供证明文件，投标人必须按要求提供，如未提供或提供的证明材料无法证明该项参数符合或正偏离招标文件要求，则按负偏离处理。</w:t>
      </w:r>
    </w:p>
    <w:p w14:paraId="641638D8">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投标人（加盖公章）：</w:t>
      </w:r>
    </w:p>
    <w:p w14:paraId="3C56ECDE">
      <w:pPr>
        <w:snapToGrid w:val="0"/>
        <w:spacing w:line="360" w:lineRule="auto"/>
        <w:ind w:firstLine="480"/>
        <w:rPr>
          <w:rFonts w:ascii="宋体" w:hAnsi="宋体" w:cs="宋体"/>
          <w:color w:val="auto"/>
          <w:kern w:val="0"/>
          <w:sz w:val="24"/>
          <w:highlight w:val="none"/>
        </w:rPr>
      </w:pPr>
    </w:p>
    <w:p w14:paraId="72D03C04">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法定代表人或授权委托代理人（签字或盖章）：</w:t>
      </w:r>
    </w:p>
    <w:p w14:paraId="0BB40FF7">
      <w:pPr>
        <w:snapToGrid w:val="0"/>
        <w:spacing w:line="360" w:lineRule="auto"/>
        <w:ind w:firstLine="480"/>
        <w:rPr>
          <w:rFonts w:ascii="宋体" w:hAnsi="宋体" w:cs="宋体"/>
          <w:color w:val="auto"/>
          <w:kern w:val="0"/>
          <w:sz w:val="24"/>
          <w:highlight w:val="none"/>
        </w:rPr>
      </w:pPr>
    </w:p>
    <w:p w14:paraId="7C51C431">
      <w:pPr>
        <w:snapToGrid w:val="0"/>
        <w:spacing w:line="360" w:lineRule="auto"/>
        <w:ind w:firstLine="480"/>
        <w:rPr>
          <w:rFonts w:hAnsi="宋体" w:cs="宋体"/>
          <w:b/>
          <w:color w:val="auto"/>
          <w:kern w:val="0"/>
          <w:sz w:val="36"/>
          <w:highlight w:val="none"/>
        </w:rPr>
      </w:pPr>
      <w:r>
        <w:rPr>
          <w:rFonts w:hint="eastAsia" w:ascii="宋体" w:hAnsi="宋体" w:cs="宋体"/>
          <w:color w:val="auto"/>
          <w:kern w:val="0"/>
          <w:sz w:val="24"/>
          <w:highlight w:val="none"/>
        </w:rPr>
        <w:t>日期：  年  月  日</w:t>
      </w:r>
    </w:p>
    <w:p w14:paraId="215A1618">
      <w:pPr>
        <w:pStyle w:val="45"/>
        <w:snapToGrid w:val="0"/>
        <w:spacing w:line="360" w:lineRule="auto"/>
        <w:jc w:val="center"/>
        <w:outlineLvl w:val="1"/>
        <w:rPr>
          <w:rFonts w:hAnsi="宋体" w:cs="宋体"/>
          <w:b/>
          <w:color w:val="auto"/>
          <w:kern w:val="0"/>
          <w:sz w:val="36"/>
          <w:szCs w:val="24"/>
          <w:highlight w:val="none"/>
        </w:rPr>
      </w:pPr>
      <w:bookmarkStart w:id="121" w:name="_Toc6220_WPSOffice_Level1"/>
      <w:bookmarkStart w:id="122" w:name="_Toc3351_WPSOffice_Level1"/>
      <w:r>
        <w:rPr>
          <w:rFonts w:hint="eastAsia" w:hAnsi="宋体" w:cs="宋体"/>
          <w:b/>
          <w:color w:val="auto"/>
          <w:kern w:val="0"/>
          <w:sz w:val="36"/>
          <w:highlight w:val="none"/>
        </w:rPr>
        <w:br w:type="page"/>
      </w:r>
      <w:r>
        <w:rPr>
          <w:rFonts w:hint="eastAsia" w:hAnsi="宋体" w:cs="宋体"/>
          <w:b/>
          <w:color w:val="auto"/>
          <w:kern w:val="0"/>
          <w:sz w:val="36"/>
          <w:szCs w:val="24"/>
          <w:highlight w:val="none"/>
        </w:rPr>
        <w:t>四、偏离表</w:t>
      </w:r>
      <w:bookmarkEnd w:id="121"/>
      <w:bookmarkEnd w:id="122"/>
    </w:p>
    <w:p w14:paraId="56E66938">
      <w:pPr>
        <w:pStyle w:val="45"/>
        <w:snapToGrid w:val="0"/>
        <w:spacing w:line="360" w:lineRule="auto"/>
        <w:jc w:val="center"/>
        <w:rPr>
          <w:rFonts w:hAnsi="宋体" w:cs="宋体"/>
          <w:b/>
          <w:color w:val="auto"/>
          <w:kern w:val="0"/>
          <w:sz w:val="36"/>
          <w:szCs w:val="24"/>
          <w:highlight w:val="none"/>
        </w:rPr>
      </w:pPr>
      <w:bookmarkStart w:id="123" w:name="_Toc25204_WPSOffice_Level1"/>
      <w:bookmarkStart w:id="124" w:name="_Toc31142_WPSOffice_Level1"/>
      <w:r>
        <w:rPr>
          <w:rFonts w:hint="eastAsia" w:hAnsi="宋体" w:cs="宋体"/>
          <w:b/>
          <w:color w:val="auto"/>
          <w:kern w:val="0"/>
          <w:sz w:val="36"/>
          <w:szCs w:val="24"/>
          <w:highlight w:val="none"/>
        </w:rPr>
        <w:t>（一）技术参数偏离表</w:t>
      </w:r>
    </w:p>
    <w:tbl>
      <w:tblPr>
        <w:tblStyle w:val="88"/>
        <w:tblW w:w="8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000"/>
        <w:gridCol w:w="3885"/>
        <w:gridCol w:w="760"/>
        <w:gridCol w:w="1276"/>
        <w:gridCol w:w="1134"/>
      </w:tblGrid>
      <w:tr w14:paraId="211A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51" w:type="dxa"/>
            <w:vAlign w:val="center"/>
          </w:tcPr>
          <w:p w14:paraId="46A30CCC">
            <w:pPr>
              <w:snapToGrid w:val="0"/>
              <w:spacing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序号</w:t>
            </w:r>
          </w:p>
        </w:tc>
        <w:tc>
          <w:tcPr>
            <w:tcW w:w="1000" w:type="dxa"/>
            <w:vAlign w:val="center"/>
          </w:tcPr>
          <w:p w14:paraId="02C6D6BF">
            <w:pPr>
              <w:snapToGrid w:val="0"/>
              <w:spacing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产品名称</w:t>
            </w:r>
          </w:p>
        </w:tc>
        <w:tc>
          <w:tcPr>
            <w:tcW w:w="3885" w:type="dxa"/>
            <w:vAlign w:val="center"/>
          </w:tcPr>
          <w:p w14:paraId="1DC4414E">
            <w:pPr>
              <w:snapToGrid w:val="0"/>
              <w:spacing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技术指标</w:t>
            </w:r>
          </w:p>
        </w:tc>
        <w:tc>
          <w:tcPr>
            <w:tcW w:w="760" w:type="dxa"/>
            <w:vAlign w:val="center"/>
          </w:tcPr>
          <w:p w14:paraId="6877085C">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响应情况</w:t>
            </w:r>
          </w:p>
        </w:tc>
        <w:tc>
          <w:tcPr>
            <w:tcW w:w="1276" w:type="dxa"/>
            <w:vAlign w:val="center"/>
          </w:tcPr>
          <w:p w14:paraId="53586BE4">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偏离情况</w:t>
            </w:r>
          </w:p>
          <w:p w14:paraId="048A3230">
            <w:pPr>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（正/负/无偏离）</w:t>
            </w:r>
          </w:p>
        </w:tc>
        <w:tc>
          <w:tcPr>
            <w:tcW w:w="1134" w:type="dxa"/>
            <w:vAlign w:val="center"/>
          </w:tcPr>
          <w:p w14:paraId="5B67EB93">
            <w:pPr>
              <w:widowControl/>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证明材料位置（页码）</w:t>
            </w:r>
          </w:p>
        </w:tc>
      </w:tr>
      <w:tr w14:paraId="602F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exact"/>
          <w:jc w:val="center"/>
        </w:trPr>
        <w:tc>
          <w:tcPr>
            <w:tcW w:w="851" w:type="dxa"/>
            <w:vMerge w:val="restart"/>
            <w:vAlign w:val="center"/>
          </w:tcPr>
          <w:p w14:paraId="070017EC">
            <w:pPr>
              <w:snapToGrid w:val="0"/>
              <w:spacing w:line="360" w:lineRule="auto"/>
              <w:jc w:val="center"/>
              <w:rPr>
                <w:rFonts w:ascii="宋体" w:hAnsi="宋体" w:cs="宋体"/>
                <w:color w:val="auto"/>
                <w:kern w:val="0"/>
                <w:sz w:val="24"/>
                <w:highlight w:val="none"/>
              </w:rPr>
            </w:pPr>
          </w:p>
        </w:tc>
        <w:tc>
          <w:tcPr>
            <w:tcW w:w="1000" w:type="dxa"/>
            <w:vMerge w:val="restart"/>
            <w:vAlign w:val="center"/>
          </w:tcPr>
          <w:p w14:paraId="656AD5B6">
            <w:pPr>
              <w:snapToGrid w:val="0"/>
              <w:spacing w:line="360" w:lineRule="auto"/>
              <w:jc w:val="center"/>
              <w:rPr>
                <w:rFonts w:ascii="宋体" w:hAnsi="宋体" w:cs="宋体"/>
                <w:color w:val="auto"/>
                <w:kern w:val="0"/>
                <w:sz w:val="24"/>
                <w:highlight w:val="none"/>
              </w:rPr>
            </w:pPr>
          </w:p>
        </w:tc>
        <w:tc>
          <w:tcPr>
            <w:tcW w:w="3885" w:type="dxa"/>
            <w:vAlign w:val="center"/>
          </w:tcPr>
          <w:p w14:paraId="57B4B8E3">
            <w:pPr>
              <w:snapToGrid w:val="0"/>
              <w:spacing w:line="360" w:lineRule="auto"/>
              <w:ind w:firstLine="480" w:firstLineChars="200"/>
              <w:rPr>
                <w:rFonts w:ascii="宋体" w:hAnsi="宋体" w:cs="宋体"/>
                <w:color w:val="auto"/>
                <w:kern w:val="0"/>
                <w:sz w:val="24"/>
                <w:highlight w:val="none"/>
              </w:rPr>
            </w:pPr>
          </w:p>
        </w:tc>
        <w:tc>
          <w:tcPr>
            <w:tcW w:w="760" w:type="dxa"/>
            <w:vAlign w:val="center"/>
          </w:tcPr>
          <w:p w14:paraId="099CB1AD">
            <w:pPr>
              <w:snapToGrid w:val="0"/>
              <w:spacing w:line="360" w:lineRule="auto"/>
              <w:jc w:val="center"/>
              <w:rPr>
                <w:rFonts w:ascii="宋体" w:hAnsi="宋体" w:cs="宋体"/>
                <w:color w:val="auto"/>
                <w:kern w:val="0"/>
                <w:sz w:val="24"/>
                <w:highlight w:val="none"/>
              </w:rPr>
            </w:pPr>
          </w:p>
        </w:tc>
        <w:tc>
          <w:tcPr>
            <w:tcW w:w="1276" w:type="dxa"/>
          </w:tcPr>
          <w:p w14:paraId="59859693">
            <w:pPr>
              <w:snapToGrid w:val="0"/>
              <w:spacing w:line="360" w:lineRule="auto"/>
              <w:jc w:val="center"/>
              <w:rPr>
                <w:rFonts w:ascii="宋体" w:hAnsi="宋体" w:cs="宋体"/>
                <w:color w:val="auto"/>
                <w:kern w:val="0"/>
                <w:sz w:val="24"/>
                <w:highlight w:val="none"/>
              </w:rPr>
            </w:pPr>
          </w:p>
        </w:tc>
        <w:tc>
          <w:tcPr>
            <w:tcW w:w="1134" w:type="dxa"/>
          </w:tcPr>
          <w:p w14:paraId="2B1D02CD">
            <w:pPr>
              <w:snapToGrid w:val="0"/>
              <w:spacing w:line="360" w:lineRule="auto"/>
              <w:jc w:val="center"/>
              <w:rPr>
                <w:rFonts w:ascii="宋体" w:hAnsi="宋体" w:cs="宋体"/>
                <w:color w:val="auto"/>
                <w:kern w:val="0"/>
                <w:sz w:val="24"/>
                <w:highlight w:val="none"/>
              </w:rPr>
            </w:pPr>
          </w:p>
        </w:tc>
      </w:tr>
      <w:tr w14:paraId="4411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51" w:type="dxa"/>
            <w:vMerge w:val="continue"/>
            <w:vAlign w:val="center"/>
          </w:tcPr>
          <w:p w14:paraId="2CD8F2D0">
            <w:pPr>
              <w:snapToGrid w:val="0"/>
              <w:spacing w:line="360" w:lineRule="auto"/>
              <w:jc w:val="center"/>
              <w:rPr>
                <w:rFonts w:ascii="宋体" w:hAnsi="宋体" w:cs="宋体"/>
                <w:color w:val="auto"/>
                <w:kern w:val="0"/>
                <w:sz w:val="24"/>
                <w:highlight w:val="none"/>
              </w:rPr>
            </w:pPr>
          </w:p>
        </w:tc>
        <w:tc>
          <w:tcPr>
            <w:tcW w:w="1000" w:type="dxa"/>
            <w:vMerge w:val="continue"/>
            <w:vAlign w:val="center"/>
          </w:tcPr>
          <w:p w14:paraId="371F8D32">
            <w:pPr>
              <w:snapToGrid w:val="0"/>
              <w:spacing w:line="360" w:lineRule="auto"/>
              <w:jc w:val="center"/>
              <w:rPr>
                <w:rFonts w:ascii="宋体" w:hAnsi="宋体" w:cs="宋体"/>
                <w:color w:val="auto"/>
                <w:kern w:val="0"/>
                <w:sz w:val="24"/>
                <w:highlight w:val="none"/>
              </w:rPr>
            </w:pPr>
          </w:p>
        </w:tc>
        <w:tc>
          <w:tcPr>
            <w:tcW w:w="3885" w:type="dxa"/>
            <w:vAlign w:val="center"/>
          </w:tcPr>
          <w:p w14:paraId="0240F7E2">
            <w:pPr>
              <w:snapToGrid w:val="0"/>
              <w:spacing w:line="360" w:lineRule="auto"/>
              <w:ind w:firstLine="480" w:firstLineChars="200"/>
              <w:rPr>
                <w:rFonts w:ascii="宋体" w:hAnsi="宋体" w:cs="宋体"/>
                <w:color w:val="auto"/>
                <w:kern w:val="0"/>
                <w:sz w:val="24"/>
                <w:highlight w:val="none"/>
              </w:rPr>
            </w:pPr>
          </w:p>
          <w:p w14:paraId="71A1B0F5">
            <w:pPr>
              <w:snapToGrid w:val="0"/>
              <w:spacing w:line="360" w:lineRule="auto"/>
              <w:ind w:firstLine="480" w:firstLineChars="200"/>
              <w:rPr>
                <w:rFonts w:ascii="宋体" w:hAnsi="宋体" w:cs="宋体"/>
                <w:color w:val="auto"/>
                <w:kern w:val="0"/>
                <w:sz w:val="24"/>
                <w:highlight w:val="none"/>
              </w:rPr>
            </w:pPr>
          </w:p>
        </w:tc>
        <w:tc>
          <w:tcPr>
            <w:tcW w:w="760" w:type="dxa"/>
            <w:vAlign w:val="center"/>
          </w:tcPr>
          <w:p w14:paraId="28903D94">
            <w:pPr>
              <w:snapToGrid w:val="0"/>
              <w:spacing w:line="360" w:lineRule="auto"/>
              <w:jc w:val="center"/>
              <w:rPr>
                <w:rFonts w:ascii="宋体" w:hAnsi="宋体" w:cs="宋体"/>
                <w:color w:val="auto"/>
                <w:kern w:val="0"/>
                <w:sz w:val="24"/>
                <w:highlight w:val="none"/>
              </w:rPr>
            </w:pPr>
          </w:p>
        </w:tc>
        <w:tc>
          <w:tcPr>
            <w:tcW w:w="1276" w:type="dxa"/>
          </w:tcPr>
          <w:p w14:paraId="2A4F1C6F">
            <w:pPr>
              <w:snapToGrid w:val="0"/>
              <w:spacing w:line="360" w:lineRule="auto"/>
              <w:jc w:val="center"/>
              <w:rPr>
                <w:rFonts w:ascii="宋体" w:hAnsi="宋体" w:cs="宋体"/>
                <w:color w:val="auto"/>
                <w:kern w:val="0"/>
                <w:sz w:val="24"/>
                <w:highlight w:val="none"/>
              </w:rPr>
            </w:pPr>
          </w:p>
        </w:tc>
        <w:tc>
          <w:tcPr>
            <w:tcW w:w="1134" w:type="dxa"/>
          </w:tcPr>
          <w:p w14:paraId="3620D16A">
            <w:pPr>
              <w:snapToGrid w:val="0"/>
              <w:spacing w:line="360" w:lineRule="auto"/>
              <w:jc w:val="center"/>
              <w:rPr>
                <w:rFonts w:ascii="宋体" w:hAnsi="宋体" w:cs="宋体"/>
                <w:color w:val="auto"/>
                <w:kern w:val="0"/>
                <w:sz w:val="24"/>
                <w:highlight w:val="none"/>
              </w:rPr>
            </w:pPr>
          </w:p>
        </w:tc>
      </w:tr>
      <w:tr w14:paraId="7D25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51" w:type="dxa"/>
            <w:vMerge w:val="continue"/>
            <w:vAlign w:val="center"/>
          </w:tcPr>
          <w:p w14:paraId="728BA16C">
            <w:pPr>
              <w:snapToGrid w:val="0"/>
              <w:spacing w:line="360" w:lineRule="auto"/>
              <w:jc w:val="center"/>
              <w:rPr>
                <w:rFonts w:ascii="宋体" w:hAnsi="宋体" w:cs="宋体"/>
                <w:color w:val="auto"/>
                <w:kern w:val="0"/>
                <w:sz w:val="24"/>
                <w:highlight w:val="none"/>
              </w:rPr>
            </w:pPr>
          </w:p>
        </w:tc>
        <w:tc>
          <w:tcPr>
            <w:tcW w:w="1000" w:type="dxa"/>
            <w:vMerge w:val="continue"/>
            <w:vAlign w:val="center"/>
          </w:tcPr>
          <w:p w14:paraId="5D6A28C7">
            <w:pPr>
              <w:snapToGrid w:val="0"/>
              <w:spacing w:line="360" w:lineRule="auto"/>
              <w:jc w:val="center"/>
              <w:rPr>
                <w:rFonts w:ascii="宋体" w:hAnsi="宋体" w:cs="宋体"/>
                <w:color w:val="auto"/>
                <w:kern w:val="0"/>
                <w:sz w:val="24"/>
                <w:highlight w:val="none"/>
              </w:rPr>
            </w:pPr>
          </w:p>
        </w:tc>
        <w:tc>
          <w:tcPr>
            <w:tcW w:w="3885" w:type="dxa"/>
            <w:vAlign w:val="center"/>
          </w:tcPr>
          <w:p w14:paraId="0D2ECE3A">
            <w:pPr>
              <w:snapToGrid w:val="0"/>
              <w:spacing w:line="360" w:lineRule="auto"/>
              <w:ind w:firstLine="480" w:firstLineChars="200"/>
              <w:rPr>
                <w:rFonts w:ascii="宋体" w:hAnsi="宋体" w:cs="宋体"/>
                <w:color w:val="auto"/>
                <w:kern w:val="0"/>
                <w:sz w:val="24"/>
                <w:highlight w:val="none"/>
              </w:rPr>
            </w:pPr>
          </w:p>
          <w:p w14:paraId="6D889B84">
            <w:pPr>
              <w:snapToGrid w:val="0"/>
              <w:spacing w:line="360" w:lineRule="auto"/>
              <w:ind w:firstLine="480" w:firstLineChars="200"/>
              <w:rPr>
                <w:rFonts w:ascii="宋体" w:hAnsi="宋体" w:cs="宋体"/>
                <w:color w:val="auto"/>
                <w:kern w:val="0"/>
                <w:sz w:val="24"/>
                <w:highlight w:val="none"/>
              </w:rPr>
            </w:pPr>
          </w:p>
        </w:tc>
        <w:tc>
          <w:tcPr>
            <w:tcW w:w="760" w:type="dxa"/>
            <w:vAlign w:val="center"/>
          </w:tcPr>
          <w:p w14:paraId="69674170">
            <w:pPr>
              <w:snapToGrid w:val="0"/>
              <w:spacing w:line="360" w:lineRule="auto"/>
              <w:jc w:val="center"/>
              <w:rPr>
                <w:rFonts w:ascii="宋体" w:hAnsi="宋体" w:cs="宋体"/>
                <w:color w:val="auto"/>
                <w:kern w:val="0"/>
                <w:sz w:val="24"/>
                <w:highlight w:val="none"/>
              </w:rPr>
            </w:pPr>
          </w:p>
        </w:tc>
        <w:tc>
          <w:tcPr>
            <w:tcW w:w="1276" w:type="dxa"/>
          </w:tcPr>
          <w:p w14:paraId="17163331">
            <w:pPr>
              <w:snapToGrid w:val="0"/>
              <w:spacing w:line="360" w:lineRule="auto"/>
              <w:jc w:val="center"/>
              <w:rPr>
                <w:rFonts w:ascii="宋体" w:hAnsi="宋体" w:cs="宋体"/>
                <w:color w:val="auto"/>
                <w:kern w:val="0"/>
                <w:sz w:val="24"/>
                <w:highlight w:val="none"/>
              </w:rPr>
            </w:pPr>
          </w:p>
        </w:tc>
        <w:tc>
          <w:tcPr>
            <w:tcW w:w="1134" w:type="dxa"/>
          </w:tcPr>
          <w:p w14:paraId="69AB78F1">
            <w:pPr>
              <w:snapToGrid w:val="0"/>
              <w:spacing w:line="360" w:lineRule="auto"/>
              <w:jc w:val="center"/>
              <w:rPr>
                <w:rFonts w:ascii="宋体" w:hAnsi="宋体" w:cs="宋体"/>
                <w:color w:val="auto"/>
                <w:kern w:val="0"/>
                <w:sz w:val="24"/>
                <w:highlight w:val="none"/>
              </w:rPr>
            </w:pPr>
          </w:p>
        </w:tc>
      </w:tr>
      <w:tr w14:paraId="35A3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51" w:type="dxa"/>
            <w:vMerge w:val="continue"/>
            <w:vAlign w:val="center"/>
          </w:tcPr>
          <w:p w14:paraId="2B6FC518">
            <w:pPr>
              <w:snapToGrid w:val="0"/>
              <w:spacing w:line="360" w:lineRule="auto"/>
              <w:jc w:val="center"/>
              <w:rPr>
                <w:rFonts w:ascii="宋体" w:hAnsi="宋体" w:cs="宋体"/>
                <w:color w:val="auto"/>
                <w:kern w:val="0"/>
                <w:sz w:val="24"/>
                <w:highlight w:val="none"/>
              </w:rPr>
            </w:pPr>
          </w:p>
        </w:tc>
        <w:tc>
          <w:tcPr>
            <w:tcW w:w="1000" w:type="dxa"/>
            <w:vMerge w:val="continue"/>
            <w:vAlign w:val="center"/>
          </w:tcPr>
          <w:p w14:paraId="6F83C856">
            <w:pPr>
              <w:snapToGrid w:val="0"/>
              <w:spacing w:line="360" w:lineRule="auto"/>
              <w:jc w:val="center"/>
              <w:rPr>
                <w:rFonts w:ascii="宋体" w:hAnsi="宋体" w:cs="宋体"/>
                <w:color w:val="auto"/>
                <w:kern w:val="0"/>
                <w:sz w:val="24"/>
                <w:highlight w:val="none"/>
              </w:rPr>
            </w:pPr>
          </w:p>
        </w:tc>
        <w:tc>
          <w:tcPr>
            <w:tcW w:w="3885" w:type="dxa"/>
            <w:vAlign w:val="center"/>
          </w:tcPr>
          <w:p w14:paraId="29317878">
            <w:pPr>
              <w:snapToGrid w:val="0"/>
              <w:spacing w:line="360" w:lineRule="auto"/>
              <w:ind w:firstLine="480" w:firstLineChars="200"/>
              <w:rPr>
                <w:rFonts w:ascii="宋体" w:hAnsi="宋体" w:cs="宋体"/>
                <w:color w:val="auto"/>
                <w:kern w:val="0"/>
                <w:sz w:val="24"/>
                <w:highlight w:val="none"/>
              </w:rPr>
            </w:pPr>
          </w:p>
        </w:tc>
        <w:tc>
          <w:tcPr>
            <w:tcW w:w="760" w:type="dxa"/>
            <w:vAlign w:val="center"/>
          </w:tcPr>
          <w:p w14:paraId="6A89960E">
            <w:pPr>
              <w:snapToGrid w:val="0"/>
              <w:spacing w:line="360" w:lineRule="auto"/>
              <w:jc w:val="center"/>
              <w:rPr>
                <w:rFonts w:ascii="宋体" w:hAnsi="宋体" w:cs="宋体"/>
                <w:color w:val="auto"/>
                <w:kern w:val="0"/>
                <w:sz w:val="24"/>
                <w:highlight w:val="none"/>
              </w:rPr>
            </w:pPr>
          </w:p>
        </w:tc>
        <w:tc>
          <w:tcPr>
            <w:tcW w:w="1276" w:type="dxa"/>
          </w:tcPr>
          <w:p w14:paraId="39325D6E">
            <w:pPr>
              <w:snapToGrid w:val="0"/>
              <w:spacing w:line="360" w:lineRule="auto"/>
              <w:jc w:val="center"/>
              <w:rPr>
                <w:rFonts w:ascii="宋体" w:hAnsi="宋体" w:cs="宋体"/>
                <w:color w:val="auto"/>
                <w:kern w:val="0"/>
                <w:sz w:val="24"/>
                <w:highlight w:val="none"/>
              </w:rPr>
            </w:pPr>
          </w:p>
        </w:tc>
        <w:tc>
          <w:tcPr>
            <w:tcW w:w="1134" w:type="dxa"/>
          </w:tcPr>
          <w:p w14:paraId="5F023054">
            <w:pPr>
              <w:snapToGrid w:val="0"/>
              <w:spacing w:line="360" w:lineRule="auto"/>
              <w:jc w:val="center"/>
              <w:rPr>
                <w:rFonts w:ascii="宋体" w:hAnsi="宋体" w:cs="宋体"/>
                <w:color w:val="auto"/>
                <w:kern w:val="0"/>
                <w:sz w:val="24"/>
                <w:highlight w:val="none"/>
              </w:rPr>
            </w:pPr>
          </w:p>
        </w:tc>
      </w:tr>
      <w:tr w14:paraId="20BE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51" w:type="dxa"/>
            <w:vMerge w:val="continue"/>
            <w:vAlign w:val="center"/>
          </w:tcPr>
          <w:p w14:paraId="43F87023">
            <w:pPr>
              <w:snapToGrid w:val="0"/>
              <w:spacing w:line="360" w:lineRule="auto"/>
              <w:jc w:val="center"/>
              <w:rPr>
                <w:rFonts w:ascii="宋体" w:hAnsi="宋体" w:cs="宋体"/>
                <w:color w:val="auto"/>
                <w:kern w:val="0"/>
                <w:sz w:val="24"/>
                <w:highlight w:val="none"/>
              </w:rPr>
            </w:pPr>
          </w:p>
        </w:tc>
        <w:tc>
          <w:tcPr>
            <w:tcW w:w="1000" w:type="dxa"/>
            <w:vMerge w:val="continue"/>
            <w:vAlign w:val="center"/>
          </w:tcPr>
          <w:p w14:paraId="61AFC579">
            <w:pPr>
              <w:snapToGrid w:val="0"/>
              <w:spacing w:line="360" w:lineRule="auto"/>
              <w:jc w:val="center"/>
              <w:rPr>
                <w:rFonts w:ascii="宋体" w:hAnsi="宋体" w:cs="宋体"/>
                <w:color w:val="auto"/>
                <w:kern w:val="0"/>
                <w:sz w:val="24"/>
                <w:highlight w:val="none"/>
              </w:rPr>
            </w:pPr>
          </w:p>
        </w:tc>
        <w:tc>
          <w:tcPr>
            <w:tcW w:w="3885" w:type="dxa"/>
            <w:vAlign w:val="center"/>
          </w:tcPr>
          <w:p w14:paraId="29C154B8">
            <w:pPr>
              <w:snapToGrid w:val="0"/>
              <w:spacing w:line="360" w:lineRule="auto"/>
              <w:ind w:firstLine="480" w:firstLineChars="200"/>
              <w:rPr>
                <w:rFonts w:ascii="宋体" w:hAnsi="宋体" w:cs="宋体"/>
                <w:color w:val="auto"/>
                <w:kern w:val="0"/>
                <w:sz w:val="24"/>
                <w:highlight w:val="none"/>
              </w:rPr>
            </w:pPr>
          </w:p>
          <w:p w14:paraId="297F8322">
            <w:pPr>
              <w:snapToGrid w:val="0"/>
              <w:spacing w:line="360" w:lineRule="auto"/>
              <w:ind w:firstLine="480" w:firstLineChars="200"/>
              <w:rPr>
                <w:rFonts w:ascii="宋体" w:hAnsi="宋体" w:cs="宋体"/>
                <w:color w:val="auto"/>
                <w:kern w:val="0"/>
                <w:sz w:val="24"/>
                <w:highlight w:val="none"/>
              </w:rPr>
            </w:pPr>
          </w:p>
        </w:tc>
        <w:tc>
          <w:tcPr>
            <w:tcW w:w="760" w:type="dxa"/>
            <w:vAlign w:val="center"/>
          </w:tcPr>
          <w:p w14:paraId="5FECAF8A">
            <w:pPr>
              <w:snapToGrid w:val="0"/>
              <w:spacing w:line="360" w:lineRule="auto"/>
              <w:jc w:val="center"/>
              <w:rPr>
                <w:rFonts w:ascii="宋体" w:hAnsi="宋体" w:cs="宋体"/>
                <w:color w:val="auto"/>
                <w:kern w:val="0"/>
                <w:sz w:val="24"/>
                <w:highlight w:val="none"/>
              </w:rPr>
            </w:pPr>
          </w:p>
        </w:tc>
        <w:tc>
          <w:tcPr>
            <w:tcW w:w="1276" w:type="dxa"/>
          </w:tcPr>
          <w:p w14:paraId="392A21DE">
            <w:pPr>
              <w:snapToGrid w:val="0"/>
              <w:spacing w:line="360" w:lineRule="auto"/>
              <w:jc w:val="center"/>
              <w:rPr>
                <w:rFonts w:ascii="宋体" w:hAnsi="宋体" w:cs="宋体"/>
                <w:color w:val="auto"/>
                <w:kern w:val="0"/>
                <w:sz w:val="24"/>
                <w:highlight w:val="none"/>
              </w:rPr>
            </w:pPr>
          </w:p>
        </w:tc>
        <w:tc>
          <w:tcPr>
            <w:tcW w:w="1134" w:type="dxa"/>
          </w:tcPr>
          <w:p w14:paraId="7B1D7AA9">
            <w:pPr>
              <w:snapToGrid w:val="0"/>
              <w:spacing w:line="360" w:lineRule="auto"/>
              <w:jc w:val="center"/>
              <w:rPr>
                <w:rFonts w:ascii="宋体" w:hAnsi="宋体" w:cs="宋体"/>
                <w:color w:val="auto"/>
                <w:kern w:val="0"/>
                <w:sz w:val="24"/>
                <w:highlight w:val="none"/>
              </w:rPr>
            </w:pPr>
          </w:p>
        </w:tc>
      </w:tr>
    </w:tbl>
    <w:p w14:paraId="0FAC2A5E">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注：</w:t>
      </w:r>
    </w:p>
    <w:p w14:paraId="2C3FDECF">
      <w:pPr>
        <w:snapToGrid w:val="0"/>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1.投标人须对招标文件第三章用户需求书中“三、</w:t>
      </w:r>
      <w:r>
        <w:rPr>
          <w:rFonts w:hint="eastAsia" w:ascii="宋体" w:hAnsi="宋体" w:cs="宋体"/>
          <w:b/>
          <w:color w:val="auto"/>
          <w:kern w:val="0"/>
          <w:sz w:val="24"/>
          <w:highlight w:val="none"/>
          <w:lang w:eastAsia="zh-CN"/>
        </w:rPr>
        <w:t>技术参数</w:t>
      </w:r>
      <w:r>
        <w:rPr>
          <w:rFonts w:hint="eastAsia" w:ascii="宋体" w:hAnsi="宋体" w:cs="宋体"/>
          <w:b/>
          <w:color w:val="auto"/>
          <w:kern w:val="0"/>
          <w:sz w:val="24"/>
          <w:highlight w:val="none"/>
        </w:rPr>
        <w:t>”逐条进行偏离情况说明，否则按无效投标文件处理；</w:t>
      </w:r>
    </w:p>
    <w:p w14:paraId="400358A8">
      <w:pPr>
        <w:snapToGrid w:val="0"/>
        <w:spacing w:line="360" w:lineRule="auto"/>
        <w:ind w:firstLine="482"/>
        <w:rPr>
          <w:rFonts w:hint="eastAsia" w:ascii="宋体" w:hAnsi="宋体" w:cs="宋体"/>
          <w:b/>
          <w:color w:val="auto"/>
          <w:kern w:val="0"/>
          <w:sz w:val="24"/>
          <w:highlight w:val="none"/>
          <w:lang w:eastAsia="zh-CN"/>
        </w:rPr>
      </w:pPr>
      <w:r>
        <w:rPr>
          <w:rFonts w:hint="eastAsia" w:ascii="宋体" w:hAnsi="宋体" w:cs="宋体"/>
          <w:b/>
          <w:color w:val="auto"/>
          <w:kern w:val="0"/>
          <w:sz w:val="24"/>
          <w:highlight w:val="none"/>
        </w:rPr>
        <w:t>2.一处技术参数如有负偏离，则该项技术参数认定为负偏离</w:t>
      </w:r>
      <w:r>
        <w:rPr>
          <w:rFonts w:hint="eastAsia" w:ascii="宋体" w:hAnsi="宋体" w:cs="宋体"/>
          <w:b/>
          <w:color w:val="auto"/>
          <w:kern w:val="0"/>
          <w:sz w:val="24"/>
          <w:highlight w:val="none"/>
          <w:lang w:eastAsia="zh-CN"/>
        </w:rPr>
        <w:t>。</w:t>
      </w:r>
    </w:p>
    <w:p w14:paraId="5A91FE3C">
      <w:pPr>
        <w:snapToGrid w:val="0"/>
        <w:spacing w:line="360" w:lineRule="auto"/>
        <w:rPr>
          <w:rFonts w:hint="default" w:ascii="宋体" w:hAnsi="宋体" w:cs="宋体"/>
          <w:b/>
          <w:color w:val="auto"/>
          <w:kern w:val="0"/>
          <w:sz w:val="24"/>
          <w:highlight w:val="none"/>
          <w:lang w:val="en-US" w:eastAsia="zh-CN"/>
        </w:rPr>
      </w:pPr>
    </w:p>
    <w:p w14:paraId="0E2EC06E">
      <w:pPr>
        <w:pStyle w:val="45"/>
        <w:snapToGrid w:val="0"/>
        <w:spacing w:line="360" w:lineRule="auto"/>
        <w:ind w:firstLine="482"/>
        <w:jc w:val="center"/>
        <w:rPr>
          <w:rFonts w:hAnsi="宋体" w:cs="宋体"/>
          <w:b/>
          <w:color w:val="auto"/>
          <w:kern w:val="0"/>
          <w:sz w:val="24"/>
          <w:szCs w:val="24"/>
          <w:highlight w:val="none"/>
        </w:rPr>
      </w:pPr>
    </w:p>
    <w:p w14:paraId="0C89D452">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投标人： (盖章)</w:t>
      </w:r>
    </w:p>
    <w:p w14:paraId="3707513F">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 (签字或盖章)</w:t>
      </w:r>
    </w:p>
    <w:p w14:paraId="0529D2F1">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日期：  年  月  日</w:t>
      </w:r>
    </w:p>
    <w:p w14:paraId="4F00B0D3">
      <w:pPr>
        <w:pStyle w:val="45"/>
        <w:snapToGrid w:val="0"/>
        <w:spacing w:line="360" w:lineRule="auto"/>
        <w:jc w:val="center"/>
        <w:rPr>
          <w:rFonts w:hAnsi="宋体" w:cs="宋体"/>
          <w:b/>
          <w:color w:val="auto"/>
          <w:kern w:val="0"/>
          <w:sz w:val="36"/>
          <w:szCs w:val="24"/>
          <w:highlight w:val="none"/>
        </w:rPr>
      </w:pPr>
      <w:bookmarkStart w:id="125" w:name="_Toc19657_WPSOffice_Level1"/>
      <w:bookmarkStart w:id="126" w:name="_Toc8661_WPSOffice_Level1"/>
      <w:bookmarkStart w:id="127" w:name="_Toc9638_WPSOffice_Level1"/>
      <w:bookmarkStart w:id="128" w:name="_Toc20656_WPSOffice_Level1"/>
      <w:r>
        <w:rPr>
          <w:rFonts w:hint="eastAsia" w:hAnsi="宋体" w:cs="宋体"/>
          <w:b/>
          <w:color w:val="auto"/>
          <w:kern w:val="0"/>
          <w:sz w:val="36"/>
          <w:szCs w:val="24"/>
          <w:highlight w:val="none"/>
        </w:rPr>
        <w:br w:type="page"/>
      </w:r>
      <w:r>
        <w:rPr>
          <w:rFonts w:hint="eastAsia" w:hAnsi="宋体" w:cs="宋体"/>
          <w:b/>
          <w:color w:val="auto"/>
          <w:kern w:val="0"/>
          <w:sz w:val="36"/>
          <w:szCs w:val="24"/>
          <w:highlight w:val="none"/>
        </w:rPr>
        <w:t>（二）商务偏离表</w:t>
      </w:r>
      <w:bookmarkEnd w:id="125"/>
      <w:bookmarkEnd w:id="126"/>
      <w:bookmarkEnd w:id="127"/>
      <w:bookmarkEnd w:id="128"/>
    </w:p>
    <w:tbl>
      <w:tblPr>
        <w:tblStyle w:val="88"/>
        <w:tblW w:w="9810" w:type="dxa"/>
        <w:jc w:val="center"/>
        <w:tblLayout w:type="autofit"/>
        <w:tblCellMar>
          <w:top w:w="0" w:type="dxa"/>
          <w:left w:w="108" w:type="dxa"/>
          <w:bottom w:w="0" w:type="dxa"/>
          <w:right w:w="108" w:type="dxa"/>
        </w:tblCellMar>
      </w:tblPr>
      <w:tblGrid>
        <w:gridCol w:w="816"/>
        <w:gridCol w:w="5629"/>
        <w:gridCol w:w="1033"/>
        <w:gridCol w:w="1230"/>
        <w:gridCol w:w="1102"/>
      </w:tblGrid>
      <w:tr w14:paraId="12D4A02A">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218075CE">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5629" w:type="dxa"/>
            <w:tcBorders>
              <w:top w:val="single" w:color="000000" w:sz="4" w:space="0"/>
              <w:left w:val="single" w:color="000000" w:sz="4" w:space="0"/>
              <w:bottom w:val="single" w:color="000000" w:sz="4" w:space="0"/>
              <w:right w:val="single" w:color="000000" w:sz="4" w:space="0"/>
            </w:tcBorders>
            <w:vAlign w:val="center"/>
          </w:tcPr>
          <w:p w14:paraId="627E4076">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招标文件的商务条款</w:t>
            </w:r>
          </w:p>
        </w:tc>
        <w:tc>
          <w:tcPr>
            <w:tcW w:w="1033" w:type="dxa"/>
            <w:tcBorders>
              <w:top w:val="single" w:color="000000" w:sz="4" w:space="0"/>
              <w:left w:val="single" w:color="000000" w:sz="4" w:space="0"/>
              <w:bottom w:val="single" w:color="000000" w:sz="4" w:space="0"/>
              <w:right w:val="single" w:color="000000" w:sz="4" w:space="0"/>
            </w:tcBorders>
            <w:vAlign w:val="center"/>
          </w:tcPr>
          <w:p w14:paraId="7B9ED2FE">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投标文件的商务条款</w:t>
            </w:r>
          </w:p>
        </w:tc>
        <w:tc>
          <w:tcPr>
            <w:tcW w:w="1230" w:type="dxa"/>
            <w:tcBorders>
              <w:top w:val="single" w:color="000000" w:sz="4" w:space="0"/>
              <w:left w:val="single" w:color="000000" w:sz="4" w:space="0"/>
              <w:bottom w:val="single" w:color="000000" w:sz="4" w:space="0"/>
              <w:right w:val="single" w:color="000000" w:sz="4" w:space="0"/>
            </w:tcBorders>
            <w:vAlign w:val="center"/>
          </w:tcPr>
          <w:p w14:paraId="5C97FF35">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偏离情况</w:t>
            </w:r>
          </w:p>
          <w:p w14:paraId="4B830EBB">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（正/负/无偏离）</w:t>
            </w:r>
          </w:p>
        </w:tc>
        <w:tc>
          <w:tcPr>
            <w:tcW w:w="1102" w:type="dxa"/>
            <w:tcBorders>
              <w:top w:val="single" w:color="000000" w:sz="4" w:space="0"/>
              <w:left w:val="single" w:color="000000" w:sz="4" w:space="0"/>
              <w:bottom w:val="single" w:color="000000" w:sz="4" w:space="0"/>
              <w:right w:val="single" w:color="000000" w:sz="4" w:space="0"/>
            </w:tcBorders>
            <w:vAlign w:val="center"/>
          </w:tcPr>
          <w:p w14:paraId="01120565">
            <w:pPr>
              <w:adjustRightInd w:val="0"/>
              <w:snapToGrid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证明材料位置（页码）</w:t>
            </w:r>
          </w:p>
        </w:tc>
      </w:tr>
      <w:tr w14:paraId="635593E9">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3229C482">
            <w:pPr>
              <w:numPr>
                <w:ilvl w:val="0"/>
                <w:numId w:val="5"/>
              </w:numPr>
              <w:adjustRightInd w:val="0"/>
              <w:snapToGrid w:val="0"/>
              <w:spacing w:line="36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1E883181">
            <w:pPr>
              <w:snapToGrid w:val="0"/>
              <w:spacing w:line="360" w:lineRule="auto"/>
              <w:rPr>
                <w:rFonts w:ascii="宋体" w:hAnsi="宋体" w:cs="宋体"/>
                <w:color w:val="auto"/>
                <w:kern w:val="0"/>
                <w:sz w:val="24"/>
                <w:highlight w:val="none"/>
              </w:rPr>
            </w:pPr>
            <w:r>
              <w:rPr>
                <w:rFonts w:hint="eastAsia" w:ascii="宋体" w:hAnsi="宋体"/>
                <w:color w:val="auto"/>
                <w:sz w:val="24"/>
                <w:highlight w:val="none"/>
              </w:rPr>
              <w:t>★</w:t>
            </w:r>
            <w:r>
              <w:rPr>
                <w:rFonts w:hint="eastAsia" w:ascii="宋体" w:hAnsi="宋体" w:cs="宋体"/>
                <w:color w:val="auto"/>
                <w:kern w:val="0"/>
                <w:sz w:val="24"/>
                <w:highlight w:val="none"/>
              </w:rPr>
              <w:t>交货地点：</w:t>
            </w:r>
            <w:r>
              <w:rPr>
                <w:rFonts w:hint="eastAsia" w:ascii="宋体" w:hAnsi="宋体"/>
                <w:color w:val="auto"/>
                <w:sz w:val="24"/>
                <w:highlight w:val="none"/>
              </w:rPr>
              <w:t>大连海关技术中心指定地点</w:t>
            </w:r>
            <w:r>
              <w:rPr>
                <w:rFonts w:hint="eastAsia" w:ascii="宋体" w:hAnsi="宋体" w:cs="宋体"/>
                <w:color w:val="auto"/>
                <w:kern w:val="0"/>
                <w:sz w:val="24"/>
                <w:highlight w:val="none"/>
              </w:rPr>
              <w:t>。</w:t>
            </w:r>
          </w:p>
        </w:tc>
        <w:tc>
          <w:tcPr>
            <w:tcW w:w="1033" w:type="dxa"/>
            <w:tcBorders>
              <w:top w:val="single" w:color="000000" w:sz="4" w:space="0"/>
              <w:left w:val="single" w:color="000000" w:sz="4" w:space="0"/>
              <w:bottom w:val="single" w:color="000000" w:sz="4" w:space="0"/>
              <w:right w:val="single" w:color="000000" w:sz="4" w:space="0"/>
            </w:tcBorders>
            <w:vAlign w:val="center"/>
          </w:tcPr>
          <w:p w14:paraId="1A3AEB66">
            <w:pPr>
              <w:adjustRightInd w:val="0"/>
              <w:snapToGrid w:val="0"/>
              <w:spacing w:line="360" w:lineRule="auto"/>
              <w:jc w:val="center"/>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68C2DE29">
            <w:pPr>
              <w:adjustRightInd w:val="0"/>
              <w:snapToGrid w:val="0"/>
              <w:spacing w:line="360" w:lineRule="auto"/>
              <w:jc w:val="center"/>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4A89C95E">
            <w:pPr>
              <w:adjustRightInd w:val="0"/>
              <w:snapToGrid w:val="0"/>
              <w:spacing w:line="360" w:lineRule="auto"/>
              <w:jc w:val="center"/>
              <w:rPr>
                <w:rFonts w:ascii="宋体" w:hAnsi="宋体" w:cs="宋体"/>
                <w:color w:val="auto"/>
                <w:kern w:val="0"/>
                <w:sz w:val="24"/>
                <w:highlight w:val="none"/>
              </w:rPr>
            </w:pPr>
          </w:p>
        </w:tc>
      </w:tr>
      <w:tr w14:paraId="71BB8552">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4F7AAE4F">
            <w:pPr>
              <w:numPr>
                <w:ilvl w:val="0"/>
                <w:numId w:val="5"/>
              </w:numPr>
              <w:adjustRightInd w:val="0"/>
              <w:snapToGrid w:val="0"/>
              <w:spacing w:line="36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110F459A">
            <w:pPr>
              <w:snapToGrid w:val="0"/>
              <w:spacing w:line="360" w:lineRule="auto"/>
              <w:rPr>
                <w:rFonts w:ascii="宋体" w:hAnsi="宋体" w:cs="宋体"/>
                <w:color w:val="auto"/>
                <w:kern w:val="0"/>
                <w:sz w:val="24"/>
                <w:highlight w:val="none"/>
              </w:rPr>
            </w:pPr>
            <w:r>
              <w:rPr>
                <w:rFonts w:hint="eastAsia" w:ascii="宋体" w:hAnsi="宋体"/>
                <w:color w:val="auto"/>
                <w:sz w:val="24"/>
                <w:highlight w:val="none"/>
              </w:rPr>
              <w:t>★</w:t>
            </w:r>
            <w:r>
              <w:rPr>
                <w:rFonts w:hint="eastAsia" w:ascii="宋体" w:hAnsi="宋体" w:cs="宋体"/>
                <w:color w:val="auto"/>
                <w:kern w:val="0"/>
                <w:sz w:val="24"/>
                <w:highlight w:val="none"/>
              </w:rPr>
              <w:t>供货期：</w:t>
            </w:r>
            <w:r>
              <w:rPr>
                <w:rFonts w:hint="eastAsia" w:ascii="宋体" w:hAnsi="宋体"/>
                <w:color w:val="auto"/>
                <w:sz w:val="24"/>
                <w:highlight w:val="none"/>
              </w:rPr>
              <w:t>自签订合同之日起，</w:t>
            </w:r>
            <w:r>
              <w:rPr>
                <w:rFonts w:hint="eastAsia" w:ascii="宋体" w:hAnsi="宋体"/>
                <w:color w:val="auto"/>
                <w:sz w:val="24"/>
                <w:highlight w:val="none"/>
                <w:lang w:val="en-US" w:eastAsia="zh-CN"/>
              </w:rPr>
              <w:t>35</w:t>
            </w:r>
            <w:r>
              <w:rPr>
                <w:rFonts w:hint="eastAsia" w:ascii="宋体" w:hAnsi="宋体"/>
                <w:color w:val="auto"/>
                <w:sz w:val="24"/>
                <w:highlight w:val="none"/>
              </w:rPr>
              <w:t>个日历日内全部到货</w:t>
            </w:r>
            <w:r>
              <w:rPr>
                <w:rFonts w:hint="eastAsia" w:ascii="宋体" w:hAnsi="宋体" w:cs="宋体"/>
                <w:color w:val="auto"/>
                <w:kern w:val="0"/>
                <w:sz w:val="24"/>
                <w:highlight w:val="none"/>
              </w:rPr>
              <w:t>。</w:t>
            </w:r>
          </w:p>
        </w:tc>
        <w:tc>
          <w:tcPr>
            <w:tcW w:w="1033" w:type="dxa"/>
            <w:tcBorders>
              <w:top w:val="single" w:color="000000" w:sz="4" w:space="0"/>
              <w:left w:val="single" w:color="000000" w:sz="4" w:space="0"/>
              <w:bottom w:val="single" w:color="000000" w:sz="4" w:space="0"/>
              <w:right w:val="single" w:color="000000" w:sz="4" w:space="0"/>
            </w:tcBorders>
            <w:vAlign w:val="center"/>
          </w:tcPr>
          <w:p w14:paraId="59820B52">
            <w:pPr>
              <w:adjustRightInd w:val="0"/>
              <w:snapToGrid w:val="0"/>
              <w:spacing w:line="360" w:lineRule="auto"/>
              <w:jc w:val="center"/>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048B3F3E">
            <w:pPr>
              <w:adjustRightInd w:val="0"/>
              <w:snapToGrid w:val="0"/>
              <w:spacing w:line="360" w:lineRule="auto"/>
              <w:jc w:val="center"/>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2B0519E8">
            <w:pPr>
              <w:adjustRightInd w:val="0"/>
              <w:snapToGrid w:val="0"/>
              <w:spacing w:line="360" w:lineRule="auto"/>
              <w:jc w:val="center"/>
              <w:rPr>
                <w:rFonts w:ascii="宋体" w:hAnsi="宋体" w:cs="宋体"/>
                <w:color w:val="auto"/>
                <w:kern w:val="0"/>
                <w:sz w:val="24"/>
                <w:highlight w:val="none"/>
              </w:rPr>
            </w:pPr>
          </w:p>
        </w:tc>
      </w:tr>
      <w:tr w14:paraId="3D7B21DF">
        <w:tblPrEx>
          <w:tblCellMar>
            <w:top w:w="0" w:type="dxa"/>
            <w:left w:w="108" w:type="dxa"/>
            <w:bottom w:w="0" w:type="dxa"/>
            <w:right w:w="108" w:type="dxa"/>
          </w:tblCellMar>
        </w:tblPrEx>
        <w:trPr>
          <w:trHeight w:val="278" w:hRule="atLeast"/>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41D87589">
            <w:pPr>
              <w:numPr>
                <w:ilvl w:val="0"/>
                <w:numId w:val="5"/>
              </w:numPr>
              <w:adjustRightInd w:val="0"/>
              <w:snapToGrid w:val="0"/>
              <w:spacing w:line="24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3B518792">
            <w:pPr>
              <w:snapToGrid w:val="0"/>
              <w:spacing w:line="240" w:lineRule="auto"/>
              <w:rPr>
                <w:rFonts w:ascii="宋体" w:hAnsi="宋体" w:cs="宋体"/>
                <w:color w:val="auto"/>
                <w:kern w:val="0"/>
                <w:sz w:val="24"/>
                <w:highlight w:val="none"/>
              </w:rPr>
            </w:pPr>
            <w:r>
              <w:rPr>
                <w:rFonts w:hint="eastAsia" w:ascii="宋体" w:hAnsi="宋体"/>
                <w:color w:val="auto"/>
                <w:sz w:val="24"/>
                <w:highlight w:val="none"/>
              </w:rPr>
              <w:t>★本项目不接受进口产品投标。</w:t>
            </w:r>
          </w:p>
        </w:tc>
        <w:tc>
          <w:tcPr>
            <w:tcW w:w="1033" w:type="dxa"/>
            <w:tcBorders>
              <w:top w:val="single" w:color="000000" w:sz="4" w:space="0"/>
              <w:left w:val="single" w:color="000000" w:sz="4" w:space="0"/>
              <w:bottom w:val="single" w:color="000000" w:sz="4" w:space="0"/>
              <w:right w:val="single" w:color="000000" w:sz="4" w:space="0"/>
            </w:tcBorders>
            <w:vAlign w:val="center"/>
          </w:tcPr>
          <w:p w14:paraId="303405E2">
            <w:pPr>
              <w:adjustRightInd w:val="0"/>
              <w:snapToGrid w:val="0"/>
              <w:spacing w:line="360" w:lineRule="auto"/>
              <w:jc w:val="center"/>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3A86A707">
            <w:pPr>
              <w:adjustRightInd w:val="0"/>
              <w:snapToGrid w:val="0"/>
              <w:spacing w:line="360" w:lineRule="auto"/>
              <w:jc w:val="both"/>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0D9597E0">
            <w:pPr>
              <w:adjustRightInd w:val="0"/>
              <w:snapToGrid w:val="0"/>
              <w:spacing w:line="360" w:lineRule="auto"/>
              <w:jc w:val="center"/>
              <w:rPr>
                <w:rFonts w:ascii="宋体" w:hAnsi="宋体" w:cs="宋体"/>
                <w:color w:val="auto"/>
                <w:kern w:val="0"/>
                <w:sz w:val="24"/>
                <w:highlight w:val="none"/>
              </w:rPr>
            </w:pPr>
          </w:p>
        </w:tc>
      </w:tr>
      <w:tr w14:paraId="311690D6">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4F99E653">
            <w:pPr>
              <w:numPr>
                <w:ilvl w:val="0"/>
                <w:numId w:val="5"/>
              </w:numPr>
              <w:adjustRightInd w:val="0"/>
              <w:snapToGrid w:val="0"/>
              <w:spacing w:line="36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57F74F48">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★付款方式：</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color w:val="auto"/>
                <w:sz w:val="24"/>
                <w:highlight w:val="none"/>
              </w:rPr>
              <w:t>合同签订后，</w:t>
            </w:r>
            <w:r>
              <w:rPr>
                <w:rFonts w:hint="eastAsia" w:ascii="宋体" w:hAnsi="宋体"/>
                <w:color w:val="auto"/>
                <w:sz w:val="24"/>
                <w:highlight w:val="none"/>
                <w:lang w:eastAsia="zh-CN"/>
              </w:rPr>
              <w:t>中标人</w:t>
            </w:r>
            <w:r>
              <w:rPr>
                <w:rFonts w:hint="eastAsia" w:ascii="宋体" w:hAnsi="宋体"/>
                <w:color w:val="auto"/>
                <w:sz w:val="24"/>
                <w:highlight w:val="none"/>
              </w:rPr>
              <w:t>提交下述单据之日起10个工作日内，</w:t>
            </w:r>
            <w:r>
              <w:rPr>
                <w:rFonts w:hint="eastAsia" w:ascii="宋体" w:hAnsi="宋体"/>
                <w:color w:val="auto"/>
                <w:sz w:val="24"/>
                <w:highlight w:val="none"/>
                <w:lang w:eastAsia="zh-CN"/>
              </w:rPr>
              <w:t>招标人</w:t>
            </w:r>
            <w:r>
              <w:rPr>
                <w:rFonts w:hint="eastAsia" w:ascii="宋体" w:hAnsi="宋体"/>
                <w:color w:val="auto"/>
                <w:sz w:val="24"/>
                <w:highlight w:val="none"/>
              </w:rPr>
              <w:t>向</w:t>
            </w:r>
            <w:r>
              <w:rPr>
                <w:rFonts w:hint="eastAsia" w:ascii="宋体" w:hAnsi="宋体"/>
                <w:color w:val="auto"/>
                <w:sz w:val="24"/>
                <w:highlight w:val="none"/>
                <w:lang w:eastAsia="zh-CN"/>
              </w:rPr>
              <w:t>中标人</w:t>
            </w:r>
            <w:r>
              <w:rPr>
                <w:rFonts w:hint="eastAsia" w:ascii="宋体" w:hAnsi="宋体"/>
                <w:color w:val="auto"/>
                <w:sz w:val="24"/>
                <w:highlight w:val="none"/>
              </w:rPr>
              <w:t>支付合同总价70%款项。</w:t>
            </w:r>
          </w:p>
          <w:p w14:paraId="4235CDDA">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中标人</w:t>
            </w:r>
            <w:r>
              <w:rPr>
                <w:rFonts w:hint="eastAsia" w:ascii="宋体" w:hAnsi="宋体"/>
                <w:color w:val="auto"/>
                <w:sz w:val="24"/>
                <w:highlight w:val="none"/>
              </w:rPr>
              <w:t>提交单据：合同（正文部分复印件）、中标通知书、单台/套设备对应款项发票（原件）、履约保证金单据。</w:t>
            </w:r>
          </w:p>
          <w:p w14:paraId="54CC22A8">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单台/套设备完成全部到货、安装调试，且经</w:t>
            </w:r>
            <w:r>
              <w:rPr>
                <w:rFonts w:hint="eastAsia" w:ascii="宋体" w:hAnsi="宋体"/>
                <w:color w:val="auto"/>
                <w:sz w:val="24"/>
                <w:highlight w:val="none"/>
                <w:lang w:eastAsia="zh-CN"/>
              </w:rPr>
              <w:t>招标人</w:t>
            </w:r>
            <w:r>
              <w:rPr>
                <w:rFonts w:hint="eastAsia" w:ascii="宋体" w:hAnsi="宋体"/>
                <w:color w:val="auto"/>
                <w:sz w:val="24"/>
                <w:highlight w:val="none"/>
              </w:rPr>
              <w:t>验收合格后，</w:t>
            </w:r>
            <w:r>
              <w:rPr>
                <w:rFonts w:hint="eastAsia" w:ascii="宋体" w:hAnsi="宋体"/>
                <w:color w:val="auto"/>
                <w:sz w:val="24"/>
                <w:highlight w:val="none"/>
                <w:lang w:eastAsia="zh-CN"/>
              </w:rPr>
              <w:t>中标人</w:t>
            </w:r>
            <w:r>
              <w:rPr>
                <w:rFonts w:hint="eastAsia" w:ascii="宋体" w:hAnsi="宋体"/>
                <w:color w:val="auto"/>
                <w:sz w:val="24"/>
                <w:highlight w:val="none"/>
              </w:rPr>
              <w:t>向</w:t>
            </w:r>
            <w:r>
              <w:rPr>
                <w:rFonts w:hint="eastAsia" w:ascii="宋体" w:hAnsi="宋体"/>
                <w:color w:val="auto"/>
                <w:sz w:val="24"/>
                <w:highlight w:val="none"/>
                <w:lang w:eastAsia="zh-CN"/>
              </w:rPr>
              <w:t>招标人</w:t>
            </w:r>
            <w:r>
              <w:rPr>
                <w:rFonts w:hint="eastAsia" w:ascii="宋体" w:hAnsi="宋体"/>
                <w:color w:val="auto"/>
                <w:sz w:val="24"/>
                <w:highlight w:val="none"/>
              </w:rPr>
              <w:t>提交下述单据之日起10个工作日内，</w:t>
            </w:r>
            <w:r>
              <w:rPr>
                <w:rFonts w:hint="eastAsia" w:ascii="宋体" w:hAnsi="宋体"/>
                <w:color w:val="auto"/>
                <w:sz w:val="24"/>
                <w:highlight w:val="none"/>
                <w:lang w:eastAsia="zh-CN"/>
              </w:rPr>
              <w:t>招标人</w:t>
            </w:r>
            <w:r>
              <w:rPr>
                <w:rFonts w:hint="eastAsia" w:ascii="宋体" w:hAnsi="宋体"/>
                <w:color w:val="auto"/>
                <w:sz w:val="24"/>
                <w:highlight w:val="none"/>
              </w:rPr>
              <w:t>向</w:t>
            </w:r>
            <w:r>
              <w:rPr>
                <w:rFonts w:hint="eastAsia" w:ascii="宋体" w:hAnsi="宋体"/>
                <w:color w:val="auto"/>
                <w:sz w:val="24"/>
                <w:highlight w:val="none"/>
                <w:lang w:eastAsia="zh-CN"/>
              </w:rPr>
              <w:t>中标人</w:t>
            </w:r>
            <w:r>
              <w:rPr>
                <w:rFonts w:hint="eastAsia" w:ascii="宋体" w:hAnsi="宋体"/>
                <w:color w:val="auto"/>
                <w:sz w:val="24"/>
                <w:highlight w:val="none"/>
              </w:rPr>
              <w:t>支付该单台/套设备价格30%款项。</w:t>
            </w:r>
          </w:p>
          <w:p w14:paraId="1101EF0B">
            <w:pPr>
              <w:snapToGrid w:val="0"/>
              <w:spacing w:line="360" w:lineRule="auto"/>
              <w:rPr>
                <w:rFonts w:ascii="宋体" w:hAnsi="宋体" w:cs="宋体"/>
                <w:color w:val="auto"/>
                <w:kern w:val="0"/>
                <w:sz w:val="24"/>
                <w:highlight w:val="none"/>
              </w:rPr>
            </w:pPr>
            <w:r>
              <w:rPr>
                <w:rFonts w:hint="eastAsia" w:ascii="宋体" w:hAnsi="宋体"/>
                <w:color w:val="auto"/>
                <w:sz w:val="24"/>
                <w:highlight w:val="none"/>
                <w:lang w:eastAsia="zh-CN"/>
              </w:rPr>
              <w:t>中标人</w:t>
            </w:r>
            <w:r>
              <w:rPr>
                <w:rFonts w:hint="eastAsia" w:ascii="宋体" w:hAnsi="宋体"/>
                <w:color w:val="auto"/>
                <w:sz w:val="24"/>
                <w:highlight w:val="none"/>
              </w:rPr>
              <w:t>提交单据：单台/套设备对应款项发票（原件）、到货验收报告、安装调试验收合格报告（须装订成册）（复印件）。</w:t>
            </w:r>
          </w:p>
        </w:tc>
        <w:tc>
          <w:tcPr>
            <w:tcW w:w="1033" w:type="dxa"/>
            <w:tcBorders>
              <w:top w:val="single" w:color="000000" w:sz="4" w:space="0"/>
              <w:left w:val="single" w:color="000000" w:sz="4" w:space="0"/>
              <w:bottom w:val="single" w:color="000000" w:sz="4" w:space="0"/>
              <w:right w:val="single" w:color="000000" w:sz="4" w:space="0"/>
            </w:tcBorders>
            <w:vAlign w:val="center"/>
          </w:tcPr>
          <w:p w14:paraId="1D82CC48">
            <w:pPr>
              <w:adjustRightInd w:val="0"/>
              <w:snapToGrid w:val="0"/>
              <w:spacing w:line="360" w:lineRule="auto"/>
              <w:jc w:val="left"/>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5275473A">
            <w:pPr>
              <w:adjustRightInd w:val="0"/>
              <w:snapToGrid w:val="0"/>
              <w:spacing w:line="360" w:lineRule="auto"/>
              <w:jc w:val="left"/>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60D8524B">
            <w:pPr>
              <w:adjustRightInd w:val="0"/>
              <w:snapToGrid w:val="0"/>
              <w:spacing w:line="360" w:lineRule="auto"/>
              <w:jc w:val="left"/>
              <w:rPr>
                <w:rFonts w:ascii="宋体" w:hAnsi="宋体" w:cs="宋体"/>
                <w:color w:val="auto"/>
                <w:kern w:val="0"/>
                <w:sz w:val="24"/>
                <w:highlight w:val="none"/>
              </w:rPr>
            </w:pPr>
          </w:p>
        </w:tc>
      </w:tr>
      <w:tr w14:paraId="6ED1BC88">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237F8A7B">
            <w:pPr>
              <w:numPr>
                <w:ilvl w:val="0"/>
                <w:numId w:val="5"/>
              </w:numPr>
              <w:adjustRightInd w:val="0"/>
              <w:snapToGrid w:val="0"/>
              <w:spacing w:line="36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6642EE2C">
            <w:pPr>
              <w:widowControl/>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★履约保证金</w:t>
            </w:r>
          </w:p>
          <w:p w14:paraId="70257AEB">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（1）中标人在领取中标通知书后与采购人签订合同，并在合同签订后5个工作日内，向采购人提供合同金额5%履约保证金。</w:t>
            </w:r>
          </w:p>
          <w:p w14:paraId="55C3F560">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（2）履约保证金可以是支票或银行汇票或银行出具的不可撤销的履约保函或有关单位或银行出具的履约担保函。</w:t>
            </w:r>
          </w:p>
          <w:p w14:paraId="47206814">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（3）如果中标人未能履行合同并给采购人造成损失，履约保证金将作为对这一损失的补偿而付给采购人。</w:t>
            </w:r>
          </w:p>
          <w:p w14:paraId="6FFC0ADB">
            <w:pPr>
              <w:snapToGrid w:val="0"/>
              <w:spacing w:line="360" w:lineRule="auto"/>
              <w:rPr>
                <w:rFonts w:ascii="宋体" w:hAnsi="宋体" w:cs="宋体"/>
                <w:color w:val="auto"/>
                <w:kern w:val="0"/>
                <w:sz w:val="24"/>
                <w:highlight w:val="none"/>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53976B72">
            <w:pPr>
              <w:adjustRightInd w:val="0"/>
              <w:snapToGrid w:val="0"/>
              <w:spacing w:line="360" w:lineRule="auto"/>
              <w:jc w:val="left"/>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7DA656B0">
            <w:pPr>
              <w:adjustRightInd w:val="0"/>
              <w:snapToGrid w:val="0"/>
              <w:spacing w:line="360" w:lineRule="auto"/>
              <w:jc w:val="left"/>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27521937">
            <w:pPr>
              <w:adjustRightInd w:val="0"/>
              <w:snapToGrid w:val="0"/>
              <w:spacing w:line="360" w:lineRule="auto"/>
              <w:jc w:val="left"/>
              <w:rPr>
                <w:rFonts w:ascii="宋体" w:hAnsi="宋体" w:cs="宋体"/>
                <w:color w:val="auto"/>
                <w:kern w:val="0"/>
                <w:sz w:val="24"/>
                <w:highlight w:val="none"/>
              </w:rPr>
            </w:pPr>
          </w:p>
        </w:tc>
      </w:tr>
      <w:tr w14:paraId="489AF6AA">
        <w:tblPrEx>
          <w:tblCellMar>
            <w:top w:w="0" w:type="dxa"/>
            <w:left w:w="108" w:type="dxa"/>
            <w:bottom w:w="0" w:type="dxa"/>
            <w:right w:w="108" w:type="dxa"/>
          </w:tblCellMar>
        </w:tblPrEx>
        <w:trPr>
          <w:jc w:val="center"/>
        </w:trPr>
        <w:tc>
          <w:tcPr>
            <w:tcW w:w="816" w:type="dxa"/>
            <w:tcBorders>
              <w:top w:val="single" w:color="000000" w:sz="4" w:space="0"/>
              <w:left w:val="single" w:color="000000" w:sz="4" w:space="0"/>
              <w:bottom w:val="single" w:color="000000" w:sz="4" w:space="0"/>
              <w:right w:val="single" w:color="000000" w:sz="4" w:space="0"/>
            </w:tcBorders>
            <w:vAlign w:val="center"/>
          </w:tcPr>
          <w:p w14:paraId="73CCAD39">
            <w:pPr>
              <w:numPr>
                <w:ilvl w:val="0"/>
                <w:numId w:val="5"/>
              </w:numPr>
              <w:adjustRightInd w:val="0"/>
              <w:snapToGrid w:val="0"/>
              <w:spacing w:line="360" w:lineRule="auto"/>
              <w:jc w:val="center"/>
              <w:rPr>
                <w:rFonts w:ascii="宋体" w:hAnsi="宋体" w:cs="宋体"/>
                <w:color w:val="auto"/>
                <w:kern w:val="0"/>
                <w:sz w:val="24"/>
                <w:highlight w:val="none"/>
              </w:rPr>
            </w:pPr>
          </w:p>
        </w:tc>
        <w:tc>
          <w:tcPr>
            <w:tcW w:w="5629" w:type="dxa"/>
            <w:tcBorders>
              <w:top w:val="single" w:color="000000" w:sz="4" w:space="0"/>
              <w:left w:val="single" w:color="000000" w:sz="4" w:space="0"/>
              <w:bottom w:val="single" w:color="000000" w:sz="4" w:space="0"/>
              <w:right w:val="single" w:color="000000" w:sz="4" w:space="0"/>
            </w:tcBorders>
            <w:vAlign w:val="center"/>
          </w:tcPr>
          <w:p w14:paraId="2DD4851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本招标文件中要求的不限于上述的证明文件。</w:t>
            </w:r>
          </w:p>
        </w:tc>
        <w:tc>
          <w:tcPr>
            <w:tcW w:w="1033" w:type="dxa"/>
            <w:tcBorders>
              <w:top w:val="single" w:color="000000" w:sz="4" w:space="0"/>
              <w:left w:val="single" w:color="000000" w:sz="4" w:space="0"/>
              <w:bottom w:val="single" w:color="000000" w:sz="4" w:space="0"/>
              <w:right w:val="single" w:color="000000" w:sz="4" w:space="0"/>
            </w:tcBorders>
            <w:vAlign w:val="center"/>
          </w:tcPr>
          <w:p w14:paraId="0A1126FF">
            <w:pPr>
              <w:adjustRightInd w:val="0"/>
              <w:snapToGrid w:val="0"/>
              <w:spacing w:line="360" w:lineRule="auto"/>
              <w:jc w:val="left"/>
              <w:rPr>
                <w:rFonts w:ascii="宋体" w:hAnsi="宋体" w:cs="宋体"/>
                <w:color w:val="auto"/>
                <w:kern w:val="0"/>
                <w:sz w:val="24"/>
                <w:highlight w:val="none"/>
              </w:rPr>
            </w:pPr>
          </w:p>
        </w:tc>
        <w:tc>
          <w:tcPr>
            <w:tcW w:w="1230" w:type="dxa"/>
            <w:tcBorders>
              <w:top w:val="single" w:color="000000" w:sz="4" w:space="0"/>
              <w:left w:val="single" w:color="000000" w:sz="4" w:space="0"/>
              <w:bottom w:val="single" w:color="000000" w:sz="4" w:space="0"/>
              <w:right w:val="single" w:color="000000" w:sz="4" w:space="0"/>
            </w:tcBorders>
            <w:vAlign w:val="center"/>
          </w:tcPr>
          <w:p w14:paraId="49606FE2">
            <w:pPr>
              <w:adjustRightInd w:val="0"/>
              <w:snapToGrid w:val="0"/>
              <w:spacing w:line="360" w:lineRule="auto"/>
              <w:jc w:val="left"/>
              <w:rPr>
                <w:rFonts w:ascii="宋体" w:hAnsi="宋体" w:cs="宋体"/>
                <w:color w:val="auto"/>
                <w:kern w:val="0"/>
                <w:sz w:val="24"/>
                <w:highlight w:val="none"/>
              </w:rPr>
            </w:pPr>
          </w:p>
        </w:tc>
        <w:tc>
          <w:tcPr>
            <w:tcW w:w="1102" w:type="dxa"/>
            <w:tcBorders>
              <w:top w:val="single" w:color="000000" w:sz="4" w:space="0"/>
              <w:left w:val="single" w:color="000000" w:sz="4" w:space="0"/>
              <w:bottom w:val="single" w:color="000000" w:sz="4" w:space="0"/>
              <w:right w:val="single" w:color="000000" w:sz="4" w:space="0"/>
            </w:tcBorders>
            <w:vAlign w:val="center"/>
          </w:tcPr>
          <w:p w14:paraId="19363759">
            <w:pPr>
              <w:adjustRightInd w:val="0"/>
              <w:snapToGrid w:val="0"/>
              <w:spacing w:line="360" w:lineRule="auto"/>
              <w:jc w:val="left"/>
              <w:rPr>
                <w:rFonts w:ascii="宋体" w:hAnsi="宋体" w:cs="宋体"/>
                <w:color w:val="auto"/>
                <w:kern w:val="0"/>
                <w:sz w:val="24"/>
                <w:highlight w:val="none"/>
              </w:rPr>
            </w:pPr>
          </w:p>
        </w:tc>
      </w:tr>
    </w:tbl>
    <w:p w14:paraId="229B76E6">
      <w:pPr>
        <w:snapToGrid w:val="0"/>
        <w:spacing w:line="360" w:lineRule="exact"/>
        <w:ind w:firstLine="482"/>
        <w:rPr>
          <w:rFonts w:ascii="宋体" w:hAnsi="宋体" w:cs="宋体"/>
          <w:b/>
          <w:color w:val="auto"/>
          <w:kern w:val="0"/>
          <w:sz w:val="24"/>
          <w:highlight w:val="none"/>
        </w:rPr>
      </w:pPr>
      <w:r>
        <w:rPr>
          <w:rFonts w:hint="eastAsia" w:ascii="宋体" w:hAnsi="宋体" w:cs="宋体"/>
          <w:b/>
          <w:color w:val="auto"/>
          <w:kern w:val="0"/>
          <w:sz w:val="24"/>
          <w:highlight w:val="none"/>
        </w:rPr>
        <w:t>注：商务偏离表须包含以下内容:</w:t>
      </w:r>
    </w:p>
    <w:p w14:paraId="578CECDE">
      <w:pPr>
        <w:snapToGrid w:val="0"/>
        <w:spacing w:line="360" w:lineRule="exact"/>
        <w:ind w:firstLine="482"/>
        <w:rPr>
          <w:rFonts w:ascii="宋体" w:hAnsi="宋体" w:cs="宋体"/>
          <w:b/>
          <w:color w:val="auto"/>
          <w:kern w:val="0"/>
          <w:sz w:val="24"/>
          <w:highlight w:val="none"/>
        </w:rPr>
      </w:pPr>
      <w:r>
        <w:rPr>
          <w:rFonts w:hint="eastAsia" w:ascii="宋体" w:hAnsi="宋体" w:cs="宋体"/>
          <w:b/>
          <w:color w:val="auto"/>
          <w:kern w:val="0"/>
          <w:sz w:val="24"/>
          <w:highlight w:val="none"/>
        </w:rPr>
        <w:t>（1）投标人须对商务条件进行偏离情况说明，如“★”号项商务条款未做响应或响应为负偏离，则按无效投标文件处理；</w:t>
      </w:r>
    </w:p>
    <w:p w14:paraId="67C1C8FB">
      <w:pPr>
        <w:snapToGrid w:val="0"/>
        <w:spacing w:line="360" w:lineRule="exact"/>
        <w:ind w:firstLine="482"/>
        <w:rPr>
          <w:rFonts w:ascii="宋体" w:hAnsi="宋体" w:cs="宋体"/>
          <w:b/>
          <w:color w:val="auto"/>
          <w:kern w:val="0"/>
          <w:sz w:val="24"/>
          <w:highlight w:val="none"/>
        </w:rPr>
      </w:pPr>
      <w:bookmarkStart w:id="129" w:name="_Hlk113183016"/>
      <w:r>
        <w:rPr>
          <w:rFonts w:hint="eastAsia" w:ascii="宋体" w:hAnsi="宋体" w:cs="宋体"/>
          <w:b/>
          <w:color w:val="auto"/>
          <w:kern w:val="0"/>
          <w:sz w:val="24"/>
          <w:highlight w:val="none"/>
        </w:rPr>
        <w:t>（</w:t>
      </w:r>
      <w:r>
        <w:rPr>
          <w:rFonts w:hint="eastAsia" w:ascii="宋体" w:hAnsi="宋体" w:cs="宋体"/>
          <w:b/>
          <w:color w:val="auto"/>
          <w:kern w:val="0"/>
          <w:sz w:val="24"/>
          <w:highlight w:val="none"/>
          <w:lang w:val="en-US" w:eastAsia="zh-CN"/>
        </w:rPr>
        <w:t>2</w:t>
      </w:r>
      <w:r>
        <w:rPr>
          <w:rFonts w:hint="eastAsia" w:ascii="宋体" w:hAnsi="宋体" w:cs="宋体"/>
          <w:b/>
          <w:color w:val="auto"/>
          <w:kern w:val="0"/>
          <w:sz w:val="24"/>
          <w:highlight w:val="none"/>
        </w:rPr>
        <w:t>）</w:t>
      </w:r>
      <w:bookmarkEnd w:id="129"/>
      <w:r>
        <w:rPr>
          <w:rFonts w:hint="eastAsia" w:ascii="宋体" w:hAnsi="宋体" w:cs="宋体"/>
          <w:b/>
          <w:color w:val="auto"/>
          <w:kern w:val="0"/>
          <w:sz w:val="24"/>
          <w:highlight w:val="none"/>
        </w:rPr>
        <w:t>投标人认为需要的其他内容</w:t>
      </w:r>
      <w:r>
        <w:rPr>
          <w:rFonts w:hint="eastAsia" w:ascii="宋体" w:hAnsi="宋体" w:cs="宋体"/>
          <w:b/>
          <w:color w:val="auto"/>
          <w:kern w:val="0"/>
          <w:sz w:val="24"/>
          <w:highlight w:val="none"/>
          <w:lang w:eastAsia="zh-CN"/>
        </w:rPr>
        <w:t>，可自行增添</w:t>
      </w:r>
      <w:r>
        <w:rPr>
          <w:rFonts w:hint="eastAsia" w:ascii="宋体" w:hAnsi="宋体" w:cs="宋体"/>
          <w:b/>
          <w:color w:val="auto"/>
          <w:kern w:val="0"/>
          <w:sz w:val="24"/>
          <w:highlight w:val="none"/>
        </w:rPr>
        <w:t>。</w:t>
      </w:r>
    </w:p>
    <w:p w14:paraId="5EF55C9F">
      <w:pPr>
        <w:snapToGrid w:val="0"/>
        <w:spacing w:line="360" w:lineRule="exact"/>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投标人： (盖章)</w:t>
      </w:r>
    </w:p>
    <w:p w14:paraId="3C1023C8">
      <w:pPr>
        <w:snapToGrid w:val="0"/>
        <w:spacing w:line="3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 (签字或盖章)</w:t>
      </w:r>
    </w:p>
    <w:p w14:paraId="14EE3F12">
      <w:pPr>
        <w:snapToGrid w:val="0"/>
        <w:spacing w:line="3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日期：   年  月  日</w:t>
      </w:r>
    </w:p>
    <w:p w14:paraId="2AD9628E">
      <w:pPr>
        <w:pStyle w:val="99"/>
        <w:rPr>
          <w:color w:val="auto"/>
          <w:highlight w:val="none"/>
        </w:rPr>
      </w:pPr>
      <w:r>
        <w:rPr>
          <w:color w:val="auto"/>
          <w:highlight w:val="none"/>
        </w:rPr>
        <w:br w:type="page"/>
      </w:r>
    </w:p>
    <w:p w14:paraId="3E312AF8">
      <w:pPr>
        <w:pStyle w:val="45"/>
        <w:snapToGrid w:val="0"/>
        <w:spacing w:line="360" w:lineRule="auto"/>
        <w:jc w:val="center"/>
        <w:outlineLvl w:val="1"/>
        <w:rPr>
          <w:rFonts w:hAnsi="宋体" w:cs="宋体"/>
          <w:b/>
          <w:color w:val="auto"/>
          <w:kern w:val="0"/>
          <w:sz w:val="36"/>
          <w:szCs w:val="24"/>
          <w:highlight w:val="none"/>
        </w:rPr>
      </w:pPr>
      <w:r>
        <w:rPr>
          <w:rFonts w:hint="eastAsia" w:hAnsi="宋体" w:cs="宋体"/>
          <w:b/>
          <w:color w:val="auto"/>
          <w:kern w:val="0"/>
          <w:sz w:val="36"/>
          <w:szCs w:val="24"/>
          <w:highlight w:val="none"/>
        </w:rPr>
        <w:t>五、投标人关于资格的声明函</w:t>
      </w:r>
      <w:bookmarkEnd w:id="123"/>
      <w:bookmarkEnd w:id="124"/>
    </w:p>
    <w:p w14:paraId="24149730">
      <w:pPr>
        <w:pStyle w:val="45"/>
        <w:snapToGrid w:val="0"/>
        <w:spacing w:line="360" w:lineRule="auto"/>
        <w:ind w:firstLine="480"/>
        <w:rPr>
          <w:rFonts w:hAnsi="宋体" w:cs="宋体"/>
          <w:color w:val="auto"/>
          <w:kern w:val="0"/>
          <w:sz w:val="24"/>
          <w:szCs w:val="24"/>
          <w:highlight w:val="none"/>
        </w:rPr>
      </w:pPr>
    </w:p>
    <w:p w14:paraId="77A0DA03">
      <w:pPr>
        <w:pStyle w:val="45"/>
        <w:snapToGrid w:val="0"/>
        <w:spacing w:line="360" w:lineRule="auto"/>
        <w:ind w:firstLine="480"/>
        <w:rPr>
          <w:rFonts w:hAnsi="宋体" w:cs="宋体"/>
          <w:color w:val="auto"/>
          <w:kern w:val="0"/>
          <w:sz w:val="24"/>
          <w:szCs w:val="24"/>
          <w:highlight w:val="none"/>
          <w:u w:val="single"/>
        </w:rPr>
      </w:pPr>
      <w:r>
        <w:rPr>
          <w:rFonts w:hint="eastAsia" w:hAnsi="宋体" w:cs="宋体"/>
          <w:color w:val="auto"/>
          <w:kern w:val="0"/>
          <w:sz w:val="24"/>
          <w:szCs w:val="24"/>
          <w:highlight w:val="none"/>
        </w:rPr>
        <w:t>项目名称：</w:t>
      </w:r>
    </w:p>
    <w:p w14:paraId="4C459584">
      <w:pPr>
        <w:pStyle w:val="45"/>
        <w:snapToGrid w:val="0"/>
        <w:spacing w:line="360" w:lineRule="auto"/>
        <w:ind w:firstLine="480"/>
        <w:rPr>
          <w:rFonts w:hAnsi="宋体" w:cs="宋体"/>
          <w:color w:val="auto"/>
          <w:kern w:val="0"/>
          <w:sz w:val="24"/>
          <w:szCs w:val="24"/>
          <w:highlight w:val="none"/>
        </w:rPr>
      </w:pPr>
    </w:p>
    <w:p w14:paraId="3168925A">
      <w:pPr>
        <w:pStyle w:val="45"/>
        <w:snapToGrid w:val="0"/>
        <w:spacing w:line="360" w:lineRule="auto"/>
        <w:ind w:firstLine="480"/>
        <w:rPr>
          <w:rFonts w:hAnsi="宋体" w:cs="宋体"/>
          <w:color w:val="auto"/>
          <w:kern w:val="0"/>
          <w:sz w:val="24"/>
          <w:szCs w:val="24"/>
          <w:highlight w:val="none"/>
          <w:u w:val="single"/>
        </w:rPr>
      </w:pPr>
      <w:r>
        <w:rPr>
          <w:rFonts w:hint="eastAsia" w:hAnsi="宋体" w:cs="宋体"/>
          <w:color w:val="auto"/>
          <w:kern w:val="0"/>
          <w:sz w:val="24"/>
          <w:szCs w:val="24"/>
          <w:highlight w:val="none"/>
        </w:rPr>
        <w:t>日期：</w:t>
      </w:r>
    </w:p>
    <w:p w14:paraId="0D39BB10">
      <w:pPr>
        <w:pStyle w:val="45"/>
        <w:snapToGrid w:val="0"/>
        <w:spacing w:line="360" w:lineRule="auto"/>
        <w:ind w:firstLine="480"/>
        <w:rPr>
          <w:rFonts w:hAnsi="宋体" w:cs="宋体"/>
          <w:color w:val="auto"/>
          <w:kern w:val="0"/>
          <w:sz w:val="24"/>
          <w:szCs w:val="24"/>
          <w:highlight w:val="none"/>
        </w:rPr>
      </w:pPr>
    </w:p>
    <w:p w14:paraId="62B33592">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致：</w:t>
      </w:r>
    </w:p>
    <w:p w14:paraId="7268CE43">
      <w:pPr>
        <w:pStyle w:val="45"/>
        <w:snapToGrid w:val="0"/>
        <w:spacing w:line="360" w:lineRule="auto"/>
        <w:ind w:firstLine="480"/>
        <w:rPr>
          <w:rFonts w:hAnsi="宋体" w:cs="宋体"/>
          <w:color w:val="auto"/>
          <w:kern w:val="0"/>
          <w:sz w:val="24"/>
          <w:szCs w:val="24"/>
          <w:highlight w:val="none"/>
        </w:rPr>
      </w:pPr>
    </w:p>
    <w:p w14:paraId="7F399AEA">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本投标人愿意针对上述项目进行投标。投标文件中所有关于投标人资格</w:t>
      </w:r>
      <w:bookmarkStart w:id="130" w:name="_Hlk113183029"/>
      <w:r>
        <w:rPr>
          <w:rFonts w:hint="eastAsia" w:hAnsi="宋体" w:cs="宋体"/>
          <w:color w:val="auto"/>
          <w:kern w:val="0"/>
          <w:sz w:val="24"/>
          <w:szCs w:val="24"/>
          <w:highlight w:val="none"/>
        </w:rPr>
        <w:t>、技术响应、商务响应</w:t>
      </w:r>
      <w:bookmarkEnd w:id="130"/>
      <w:r>
        <w:rPr>
          <w:rFonts w:hint="eastAsia" w:hAnsi="宋体" w:cs="宋体"/>
          <w:color w:val="auto"/>
          <w:kern w:val="0"/>
          <w:sz w:val="24"/>
          <w:szCs w:val="24"/>
          <w:highlight w:val="none"/>
        </w:rPr>
        <w:t>的文件陈述均是真实的、准确的。若有违背，本投标人承担由此而产生的一切后果。</w:t>
      </w:r>
    </w:p>
    <w:p w14:paraId="058ED664">
      <w:pPr>
        <w:pStyle w:val="45"/>
        <w:snapToGrid w:val="0"/>
        <w:spacing w:line="360" w:lineRule="auto"/>
        <w:ind w:firstLine="480"/>
        <w:rPr>
          <w:rFonts w:hAnsi="宋体" w:cs="宋体"/>
          <w:color w:val="auto"/>
          <w:kern w:val="0"/>
          <w:sz w:val="24"/>
          <w:szCs w:val="24"/>
          <w:highlight w:val="none"/>
        </w:rPr>
      </w:pPr>
      <w:r>
        <w:rPr>
          <w:rFonts w:hint="eastAsia" w:hAnsi="宋体" w:cs="宋体"/>
          <w:color w:val="auto"/>
          <w:kern w:val="0"/>
          <w:sz w:val="24"/>
          <w:szCs w:val="24"/>
          <w:highlight w:val="none"/>
        </w:rPr>
        <w:t>特此声明！</w:t>
      </w:r>
    </w:p>
    <w:p w14:paraId="760095E3">
      <w:pPr>
        <w:pStyle w:val="45"/>
        <w:snapToGrid w:val="0"/>
        <w:spacing w:line="360" w:lineRule="auto"/>
        <w:ind w:firstLine="480"/>
        <w:rPr>
          <w:rFonts w:hAnsi="宋体" w:cs="宋体"/>
          <w:color w:val="auto"/>
          <w:kern w:val="0"/>
          <w:sz w:val="24"/>
          <w:szCs w:val="24"/>
          <w:highlight w:val="none"/>
        </w:rPr>
      </w:pPr>
    </w:p>
    <w:p w14:paraId="5F0041CF">
      <w:pPr>
        <w:pStyle w:val="45"/>
        <w:snapToGrid w:val="0"/>
        <w:spacing w:line="360" w:lineRule="auto"/>
        <w:ind w:firstLine="480"/>
        <w:rPr>
          <w:rFonts w:hAnsi="宋体" w:cs="宋体"/>
          <w:color w:val="auto"/>
          <w:kern w:val="0"/>
          <w:sz w:val="24"/>
          <w:szCs w:val="24"/>
          <w:highlight w:val="none"/>
        </w:rPr>
      </w:pPr>
    </w:p>
    <w:p w14:paraId="7B76AF7D">
      <w:pPr>
        <w:pStyle w:val="45"/>
        <w:snapToGrid w:val="0"/>
        <w:spacing w:line="360" w:lineRule="auto"/>
        <w:ind w:firstLine="480"/>
        <w:rPr>
          <w:rFonts w:hAnsi="宋体" w:cs="宋体"/>
          <w:color w:val="auto"/>
          <w:kern w:val="0"/>
          <w:sz w:val="24"/>
          <w:szCs w:val="24"/>
          <w:highlight w:val="none"/>
        </w:rPr>
      </w:pPr>
    </w:p>
    <w:p w14:paraId="707A2EC0">
      <w:pPr>
        <w:pStyle w:val="45"/>
        <w:snapToGrid w:val="0"/>
        <w:spacing w:line="360" w:lineRule="auto"/>
        <w:ind w:firstLine="480"/>
        <w:rPr>
          <w:rFonts w:hAnsi="宋体" w:cs="宋体"/>
          <w:color w:val="auto"/>
          <w:kern w:val="0"/>
          <w:sz w:val="24"/>
          <w:szCs w:val="24"/>
          <w:highlight w:val="none"/>
        </w:rPr>
      </w:pPr>
    </w:p>
    <w:p w14:paraId="431866D4">
      <w:pPr>
        <w:pStyle w:val="45"/>
        <w:snapToGrid w:val="0"/>
        <w:spacing w:line="360" w:lineRule="auto"/>
        <w:ind w:firstLine="480"/>
        <w:rPr>
          <w:rFonts w:hAnsi="宋体" w:cs="宋体"/>
          <w:color w:val="auto"/>
          <w:kern w:val="0"/>
          <w:sz w:val="24"/>
          <w:szCs w:val="24"/>
          <w:highlight w:val="none"/>
        </w:rPr>
      </w:pPr>
    </w:p>
    <w:p w14:paraId="373E3279">
      <w:pPr>
        <w:pStyle w:val="45"/>
        <w:snapToGrid w:val="0"/>
        <w:spacing w:line="360" w:lineRule="auto"/>
        <w:ind w:firstLine="480"/>
        <w:rPr>
          <w:rFonts w:hAnsi="宋体" w:cs="宋体"/>
          <w:color w:val="auto"/>
          <w:kern w:val="0"/>
          <w:sz w:val="24"/>
          <w:szCs w:val="24"/>
          <w:highlight w:val="none"/>
        </w:rPr>
      </w:pPr>
    </w:p>
    <w:p w14:paraId="3B4FFFBA">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投标人：(盖章)</w:t>
      </w:r>
    </w:p>
    <w:p w14:paraId="3B49AF1D">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法定代表人或其委托代理人：(签字或盖章)</w:t>
      </w:r>
    </w:p>
    <w:p w14:paraId="15AAE3CA">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日期：  年  月  日</w:t>
      </w:r>
    </w:p>
    <w:p w14:paraId="42A1F9DC">
      <w:pPr>
        <w:widowControl/>
        <w:jc w:val="left"/>
        <w:rPr>
          <w:rFonts w:ascii="宋体" w:hAnsi="宋体" w:cs="宋体"/>
          <w:color w:val="auto"/>
          <w:kern w:val="0"/>
          <w:sz w:val="24"/>
          <w:highlight w:val="none"/>
        </w:rPr>
      </w:pPr>
      <w:r>
        <w:rPr>
          <w:rFonts w:ascii="宋体" w:hAnsi="宋体" w:cs="宋体"/>
          <w:color w:val="auto"/>
          <w:kern w:val="0"/>
          <w:sz w:val="24"/>
          <w:highlight w:val="none"/>
        </w:rPr>
        <w:br w:type="page"/>
      </w:r>
    </w:p>
    <w:p w14:paraId="4B82FB15">
      <w:pPr>
        <w:pStyle w:val="45"/>
        <w:snapToGrid w:val="0"/>
        <w:spacing w:line="360" w:lineRule="auto"/>
        <w:jc w:val="center"/>
        <w:outlineLvl w:val="1"/>
        <w:rPr>
          <w:rFonts w:hAnsi="宋体" w:cs="宋体"/>
          <w:b/>
          <w:color w:val="auto"/>
          <w:kern w:val="0"/>
          <w:sz w:val="36"/>
          <w:szCs w:val="24"/>
          <w:highlight w:val="none"/>
        </w:rPr>
      </w:pPr>
      <w:bookmarkStart w:id="131" w:name="_Toc8658_WPSOffice_Level1"/>
      <w:bookmarkStart w:id="132" w:name="_Toc6653240"/>
      <w:bookmarkStart w:id="133" w:name="_Toc20790_WPSOffice_Level1"/>
      <w:r>
        <w:rPr>
          <w:rFonts w:hint="eastAsia" w:hAnsi="宋体" w:cs="宋体"/>
          <w:b/>
          <w:color w:val="auto"/>
          <w:kern w:val="0"/>
          <w:sz w:val="36"/>
          <w:szCs w:val="24"/>
          <w:highlight w:val="none"/>
        </w:rPr>
        <w:t>六、法定代表人资格证明书</w:t>
      </w:r>
      <w:bookmarkEnd w:id="131"/>
      <w:bookmarkEnd w:id="132"/>
      <w:bookmarkEnd w:id="133"/>
    </w:p>
    <w:p w14:paraId="5C238A22">
      <w:pPr>
        <w:snapToGrid w:val="0"/>
        <w:spacing w:line="360" w:lineRule="auto"/>
        <w:ind w:firstLine="480"/>
        <w:rPr>
          <w:rFonts w:ascii="宋体" w:hAnsi="宋体" w:cs="宋体"/>
          <w:color w:val="auto"/>
          <w:kern w:val="0"/>
          <w:szCs w:val="21"/>
          <w:highlight w:val="none"/>
          <w:lang w:val="zh-CN"/>
        </w:rPr>
      </w:pPr>
    </w:p>
    <w:p w14:paraId="6D2D0ED6">
      <w:pPr>
        <w:snapToGrid w:val="0"/>
        <w:spacing w:line="360" w:lineRule="auto"/>
        <w:ind w:firstLine="480"/>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投标人名称：</w:t>
      </w:r>
    </w:p>
    <w:p w14:paraId="1511D582">
      <w:pPr>
        <w:snapToGrid w:val="0"/>
        <w:spacing w:line="360" w:lineRule="auto"/>
        <w:ind w:firstLine="480"/>
        <w:rPr>
          <w:rFonts w:ascii="宋体" w:hAnsi="宋体" w:cs="宋体"/>
          <w:color w:val="auto"/>
          <w:kern w:val="0"/>
          <w:sz w:val="24"/>
          <w:szCs w:val="21"/>
          <w:highlight w:val="none"/>
          <w:lang w:val="zh-CN"/>
        </w:rPr>
      </w:pPr>
    </w:p>
    <w:p w14:paraId="244EED6F">
      <w:pPr>
        <w:snapToGrid w:val="0"/>
        <w:spacing w:line="360" w:lineRule="auto"/>
        <w:ind w:firstLine="480"/>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地址：</w:t>
      </w:r>
    </w:p>
    <w:p w14:paraId="2355B0C4">
      <w:pPr>
        <w:snapToGrid w:val="0"/>
        <w:spacing w:line="360" w:lineRule="auto"/>
        <w:ind w:firstLine="480"/>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姓名：          性别：          年龄：          职务：</w:t>
      </w:r>
    </w:p>
    <w:p w14:paraId="74711C68">
      <w:pPr>
        <w:snapToGrid w:val="0"/>
        <w:spacing w:line="360" w:lineRule="auto"/>
        <w:ind w:firstLine="480" w:firstLineChars="200"/>
        <w:rPr>
          <w:rFonts w:ascii="宋体" w:hAnsi="宋体" w:cs="宋体"/>
          <w:color w:val="auto"/>
          <w:kern w:val="0"/>
          <w:sz w:val="24"/>
          <w:szCs w:val="21"/>
          <w:highlight w:val="none"/>
          <w:lang w:val="zh-CN"/>
        </w:rPr>
      </w:pPr>
      <w:r>
        <w:rPr>
          <w:rFonts w:ascii="宋体" w:hAnsi="宋体" w:cs="宋体"/>
          <w:color w:val="auto"/>
          <w:kern w:val="0"/>
          <w:sz w:val="24"/>
          <w:szCs w:val="21"/>
          <w:highlight w:val="none"/>
          <w:u w:val="single"/>
        </w:rPr>
        <w:t xml:space="preserve">    </w:t>
      </w:r>
      <w:r>
        <w:rPr>
          <w:rFonts w:hint="eastAsia" w:ascii="宋体" w:hAnsi="宋体" w:cs="宋体"/>
          <w:color w:val="auto"/>
          <w:kern w:val="0"/>
          <w:sz w:val="24"/>
          <w:szCs w:val="21"/>
          <w:highlight w:val="none"/>
          <w:lang w:val="zh-CN"/>
        </w:rPr>
        <w:t>系</w:t>
      </w:r>
      <w:bookmarkStart w:id="134" w:name="OLE_LINK60"/>
      <w:bookmarkEnd w:id="134"/>
      <w:bookmarkStart w:id="135" w:name="OLE_LINK61"/>
      <w:bookmarkEnd w:id="135"/>
      <w:r>
        <w:rPr>
          <w:rFonts w:ascii="宋体" w:hAnsi="宋体" w:cs="宋体"/>
          <w:color w:val="auto"/>
          <w:kern w:val="0"/>
          <w:sz w:val="24"/>
          <w:szCs w:val="21"/>
          <w:highlight w:val="none"/>
          <w:u w:val="single"/>
        </w:rPr>
        <w:t xml:space="preserve">    </w:t>
      </w:r>
      <w:r>
        <w:rPr>
          <w:rFonts w:hint="eastAsia" w:ascii="宋体" w:hAnsi="宋体" w:cs="宋体"/>
          <w:color w:val="auto"/>
          <w:kern w:val="0"/>
          <w:sz w:val="24"/>
          <w:szCs w:val="21"/>
          <w:highlight w:val="none"/>
          <w:lang w:val="zh-CN"/>
        </w:rPr>
        <w:t>的法定代表人，为</w:t>
      </w:r>
      <w:r>
        <w:rPr>
          <w:rFonts w:ascii="宋体" w:hAnsi="宋体" w:cs="宋体"/>
          <w:color w:val="auto"/>
          <w:kern w:val="0"/>
          <w:sz w:val="24"/>
          <w:szCs w:val="21"/>
          <w:highlight w:val="none"/>
          <w:u w:val="single"/>
        </w:rPr>
        <w:t xml:space="preserve">       </w:t>
      </w:r>
      <w:r>
        <w:rPr>
          <w:rFonts w:hint="eastAsia" w:ascii="宋体" w:hAnsi="宋体" w:cs="宋体"/>
          <w:color w:val="auto"/>
          <w:kern w:val="0"/>
          <w:sz w:val="24"/>
          <w:szCs w:val="21"/>
          <w:highlight w:val="none"/>
          <w:lang w:val="zh-CN"/>
        </w:rPr>
        <w:t>项目的采购招标签署投标文件、进行合同谈判、签署合同和处理与之有关的一切事务，并确保货物的交付、安装调试、保修和售后服务的顺利进行。</w:t>
      </w:r>
    </w:p>
    <w:p w14:paraId="337985D6">
      <w:pPr>
        <w:snapToGrid w:val="0"/>
        <w:spacing w:line="360" w:lineRule="auto"/>
        <w:ind w:firstLine="480"/>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特此证明。</w:t>
      </w:r>
    </w:p>
    <w:p w14:paraId="46C03DA7">
      <w:pPr>
        <w:snapToGrid w:val="0"/>
        <w:spacing w:line="360" w:lineRule="auto"/>
        <w:ind w:firstLine="480"/>
        <w:rPr>
          <w:rFonts w:ascii="宋体" w:hAnsi="宋体" w:cs="宋体"/>
          <w:color w:val="auto"/>
          <w:kern w:val="0"/>
          <w:sz w:val="24"/>
          <w:szCs w:val="21"/>
          <w:highlight w:val="none"/>
          <w:lang w:val="zh-CN"/>
        </w:rPr>
      </w:pPr>
    </w:p>
    <w:p w14:paraId="0A96E96D">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r>
        <w:rPr>
          <w:rFonts w:hint="eastAsia" w:ascii="宋体" w:hAnsi="宋体" w:cs="宋体"/>
          <w:color w:val="auto"/>
          <w:kern w:val="0"/>
          <w:sz w:val="24"/>
          <w:szCs w:val="21"/>
          <w:highlight w:val="none"/>
          <w:lang w:val="zh-CN"/>
        </w:rPr>
        <w:t>法定代表人身份证复印件（</w:t>
      </w:r>
      <w:r>
        <w:rPr>
          <w:rFonts w:hint="eastAsia" w:ascii="宋体" w:hAnsi="宋体" w:cs="宋体"/>
          <w:color w:val="auto"/>
          <w:kern w:val="0"/>
          <w:sz w:val="24"/>
          <w:szCs w:val="21"/>
          <w:highlight w:val="none"/>
        </w:rPr>
        <w:t>正反面</w:t>
      </w:r>
      <w:r>
        <w:rPr>
          <w:rFonts w:hint="eastAsia" w:ascii="宋体" w:hAnsi="宋体" w:cs="宋体"/>
          <w:color w:val="auto"/>
          <w:kern w:val="0"/>
          <w:sz w:val="24"/>
          <w:szCs w:val="21"/>
          <w:highlight w:val="none"/>
          <w:lang w:val="zh-CN"/>
        </w:rPr>
        <w:t>）：</w:t>
      </w:r>
    </w:p>
    <w:p w14:paraId="442F5DC1">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70C1E40B">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35954841">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0B12E917">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0527EA72">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7C8465BB">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6CFB89A4">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46DB10A8">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76B35AD4">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szCs w:val="21"/>
          <w:highlight w:val="none"/>
          <w:lang w:val="zh-CN"/>
        </w:rPr>
      </w:pPr>
    </w:p>
    <w:p w14:paraId="14B128B6">
      <w:pPr>
        <w:snapToGrid w:val="0"/>
        <w:spacing w:line="360" w:lineRule="auto"/>
        <w:ind w:firstLine="480"/>
        <w:rPr>
          <w:rFonts w:ascii="宋体" w:hAnsi="宋体" w:cs="宋体"/>
          <w:color w:val="auto"/>
          <w:kern w:val="0"/>
          <w:sz w:val="24"/>
          <w:szCs w:val="21"/>
          <w:highlight w:val="none"/>
          <w:lang w:val="zh-CN"/>
        </w:rPr>
      </w:pPr>
    </w:p>
    <w:p w14:paraId="4FA4B1BF">
      <w:pPr>
        <w:snapToGrid w:val="0"/>
        <w:spacing w:line="360" w:lineRule="auto"/>
        <w:ind w:firstLine="480"/>
        <w:rPr>
          <w:rFonts w:ascii="宋体" w:hAnsi="宋体" w:cs="宋体"/>
          <w:color w:val="auto"/>
          <w:kern w:val="0"/>
          <w:sz w:val="24"/>
          <w:szCs w:val="21"/>
          <w:highlight w:val="none"/>
          <w:lang w:val="zh-CN"/>
        </w:rPr>
      </w:pPr>
    </w:p>
    <w:p w14:paraId="1A3BBAB0">
      <w:pPr>
        <w:snapToGrid w:val="0"/>
        <w:spacing w:line="360" w:lineRule="auto"/>
        <w:ind w:firstLine="48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投标人：(公章)</w:t>
      </w:r>
    </w:p>
    <w:p w14:paraId="3C03CE04">
      <w:pPr>
        <w:snapToGrid w:val="0"/>
        <w:spacing w:line="360" w:lineRule="auto"/>
        <w:ind w:firstLine="48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p>
    <w:p w14:paraId="33731433">
      <w:pPr>
        <w:snapToGrid w:val="0"/>
        <w:spacing w:line="360" w:lineRule="auto"/>
        <w:ind w:firstLine="480"/>
        <w:rPr>
          <w:rFonts w:ascii="宋体" w:hAnsi="宋体" w:cs="宋体"/>
          <w:color w:val="auto"/>
          <w:kern w:val="0"/>
          <w:sz w:val="24"/>
          <w:highlight w:val="none"/>
          <w:lang w:val="zh-CN"/>
        </w:rPr>
      </w:pPr>
    </w:p>
    <w:p w14:paraId="5E95E017">
      <w:pPr>
        <w:snapToGrid w:val="0"/>
        <w:spacing w:line="360" w:lineRule="auto"/>
        <w:ind w:firstLine="482"/>
        <w:jc w:val="left"/>
        <w:rPr>
          <w:rFonts w:ascii="宋体" w:hAnsi="宋体" w:cs="宋体"/>
          <w:b/>
          <w:color w:val="auto"/>
          <w:kern w:val="0"/>
          <w:sz w:val="24"/>
          <w:highlight w:val="none"/>
        </w:rPr>
      </w:pPr>
      <w:r>
        <w:rPr>
          <w:rFonts w:hint="eastAsia" w:ascii="宋体" w:hAnsi="宋体" w:cs="宋体"/>
          <w:b/>
          <w:color w:val="auto"/>
          <w:kern w:val="0"/>
          <w:sz w:val="24"/>
          <w:highlight w:val="none"/>
        </w:rPr>
        <w:t>注：本文件应按规定签署，否则投标文件无效。</w:t>
      </w:r>
    </w:p>
    <w:p w14:paraId="5F763DAB">
      <w:pPr>
        <w:pStyle w:val="99"/>
        <w:rPr>
          <w:color w:val="auto"/>
          <w:highlight w:val="none"/>
        </w:rPr>
      </w:pPr>
      <w:r>
        <w:rPr>
          <w:color w:val="auto"/>
          <w:highlight w:val="none"/>
        </w:rPr>
        <w:br w:type="page"/>
      </w:r>
    </w:p>
    <w:p w14:paraId="177A77E4">
      <w:pPr>
        <w:pStyle w:val="45"/>
        <w:snapToGrid w:val="0"/>
        <w:spacing w:line="360" w:lineRule="auto"/>
        <w:jc w:val="center"/>
        <w:outlineLvl w:val="1"/>
        <w:rPr>
          <w:rFonts w:hAnsi="宋体" w:cs="宋体"/>
          <w:b/>
          <w:color w:val="auto"/>
          <w:kern w:val="0"/>
          <w:sz w:val="36"/>
          <w:szCs w:val="24"/>
          <w:highlight w:val="none"/>
        </w:rPr>
      </w:pPr>
      <w:bookmarkStart w:id="136" w:name="_Toc12442_WPSOffice_Level1"/>
      <w:bookmarkStart w:id="137" w:name="_Toc4066_WPSOffice_Level1"/>
      <w:r>
        <w:rPr>
          <w:rFonts w:hint="eastAsia" w:hAnsi="宋体" w:cs="宋体"/>
          <w:b/>
          <w:color w:val="auto"/>
          <w:kern w:val="0"/>
          <w:sz w:val="36"/>
          <w:szCs w:val="24"/>
          <w:highlight w:val="none"/>
        </w:rPr>
        <w:t>七、法定代表人授权委托书</w:t>
      </w:r>
      <w:bookmarkEnd w:id="136"/>
      <w:bookmarkEnd w:id="137"/>
    </w:p>
    <w:p w14:paraId="201D9B9D">
      <w:pPr>
        <w:snapToGrid w:val="0"/>
        <w:spacing w:line="360" w:lineRule="auto"/>
        <w:ind w:firstLine="480"/>
        <w:rPr>
          <w:rFonts w:ascii="宋体" w:hAnsi="宋体" w:cs="宋体"/>
          <w:color w:val="auto"/>
          <w:kern w:val="0"/>
          <w:sz w:val="24"/>
          <w:highlight w:val="none"/>
        </w:rPr>
      </w:pPr>
    </w:p>
    <w:p w14:paraId="5D003187">
      <w:pPr>
        <w:snapToGrid w:val="0"/>
        <w:spacing w:line="360" w:lineRule="auto"/>
        <w:ind w:firstLine="480"/>
        <w:rPr>
          <w:rFonts w:ascii="宋体" w:hAnsi="宋体" w:cs="宋体"/>
          <w:color w:val="auto"/>
          <w:kern w:val="0"/>
          <w:sz w:val="24"/>
          <w:highlight w:val="none"/>
        </w:rPr>
      </w:pPr>
      <w:r>
        <w:rPr>
          <w:rFonts w:hint="eastAsia" w:ascii="宋体" w:hAnsi="宋体" w:cs="宋体"/>
          <w:bCs/>
          <w:color w:val="auto"/>
          <w:kern w:val="0"/>
          <w:sz w:val="24"/>
          <w:highlight w:val="none"/>
        </w:rPr>
        <w:t>兹授权</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委托代理人姓名)</w:t>
      </w:r>
      <w:r>
        <w:rPr>
          <w:rFonts w:hint="eastAsia" w:ascii="宋体" w:hAnsi="宋体" w:cs="宋体"/>
          <w:bCs/>
          <w:color w:val="auto"/>
          <w:kern w:val="0"/>
          <w:sz w:val="24"/>
          <w:highlight w:val="none"/>
          <w:u w:val="single"/>
        </w:rPr>
        <w:t xml:space="preserve">        </w:t>
      </w:r>
      <w:r>
        <w:rPr>
          <w:rFonts w:hint="eastAsia" w:ascii="宋体" w:hAnsi="宋体" w:cs="宋体"/>
          <w:bCs/>
          <w:color w:val="auto"/>
          <w:kern w:val="0"/>
          <w:sz w:val="24"/>
          <w:highlight w:val="none"/>
        </w:rPr>
        <w:t>(身份证号）为我方委托代理人，参加</w:t>
      </w:r>
      <w:r>
        <w:rPr>
          <w:rFonts w:hint="eastAsia" w:ascii="宋体" w:hAnsi="宋体" w:cs="宋体"/>
          <w:color w:val="auto"/>
          <w:kern w:val="0"/>
          <w:sz w:val="24"/>
          <w:highlight w:val="none"/>
        </w:rPr>
        <w:t>（项目名称）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项目编号)的投标活动，并以本公司名义处理一切与此次投标有关的事宜。在此次投标过程中，本公司将承担该代理人行为的全部法律后果和法律责任。</w:t>
      </w:r>
    </w:p>
    <w:p w14:paraId="1A2FBBC0">
      <w:pPr>
        <w:pStyle w:val="230"/>
        <w:snapToGrid w:val="0"/>
        <w:spacing w:line="360" w:lineRule="auto"/>
        <w:ind w:firstLine="480"/>
        <w:rPr>
          <w:rFonts w:cs="宋体"/>
          <w:color w:val="auto"/>
          <w:kern w:val="0"/>
          <w:sz w:val="24"/>
          <w:szCs w:val="24"/>
          <w:highlight w:val="none"/>
        </w:rPr>
      </w:pPr>
      <w:r>
        <w:rPr>
          <w:rFonts w:hint="eastAsia" w:cs="宋体"/>
          <w:color w:val="auto"/>
          <w:kern w:val="0"/>
          <w:sz w:val="24"/>
          <w:szCs w:val="24"/>
          <w:highlight w:val="none"/>
          <w:lang w:val="en-GB"/>
        </w:rPr>
        <w:t>本</w:t>
      </w:r>
      <w:r>
        <w:rPr>
          <w:rFonts w:hint="eastAsia" w:cs="宋体"/>
          <w:color w:val="auto"/>
          <w:kern w:val="0"/>
          <w:sz w:val="24"/>
          <w:szCs w:val="24"/>
          <w:highlight w:val="none"/>
        </w:rPr>
        <w:t>授权书</w:t>
      </w:r>
      <w:r>
        <w:rPr>
          <w:rFonts w:hint="eastAsia" w:cs="宋体"/>
          <w:color w:val="auto"/>
          <w:kern w:val="0"/>
          <w:sz w:val="24"/>
          <w:szCs w:val="24"/>
          <w:highlight w:val="none"/>
          <w:lang w:val="en-GB"/>
        </w:rPr>
        <w:t>有效期与本公司投标文件中标注的投标有效期相同，自签章之日起生效。</w:t>
      </w:r>
    </w:p>
    <w:p w14:paraId="30EAAA7F">
      <w:pPr>
        <w:snapToGrid w:val="0"/>
        <w:spacing w:line="360" w:lineRule="auto"/>
        <w:ind w:firstLine="480"/>
        <w:rPr>
          <w:rFonts w:ascii="宋体" w:hAnsi="宋体" w:cs="宋体"/>
          <w:color w:val="auto"/>
          <w:kern w:val="0"/>
          <w:sz w:val="24"/>
          <w:highlight w:val="none"/>
        </w:rPr>
      </w:pPr>
    </w:p>
    <w:p w14:paraId="1E23F36B">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被授权委托人身份证复印件（正反面）：</w:t>
      </w:r>
    </w:p>
    <w:p w14:paraId="0501F7E6">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p>
    <w:p w14:paraId="5591FD0C">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p>
    <w:p w14:paraId="30D99840">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p>
    <w:p w14:paraId="46F49CBB">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p>
    <w:p w14:paraId="6EC86E10">
      <w:pPr>
        <w:pBdr>
          <w:top w:val="single" w:color="000000" w:sz="4" w:space="1"/>
          <w:left w:val="single" w:color="000000" w:sz="4" w:space="4"/>
          <w:bottom w:val="single" w:color="000000" w:sz="4" w:space="1"/>
          <w:right w:val="single" w:color="000000" w:sz="4" w:space="4"/>
        </w:pBdr>
        <w:snapToGrid w:val="0"/>
        <w:spacing w:line="360" w:lineRule="auto"/>
        <w:ind w:firstLine="480"/>
        <w:rPr>
          <w:rFonts w:ascii="宋体" w:hAnsi="宋体" w:cs="宋体"/>
          <w:color w:val="auto"/>
          <w:kern w:val="0"/>
          <w:sz w:val="24"/>
          <w:highlight w:val="none"/>
        </w:rPr>
      </w:pPr>
    </w:p>
    <w:p w14:paraId="301A0577">
      <w:pPr>
        <w:snapToGrid w:val="0"/>
        <w:spacing w:line="360" w:lineRule="auto"/>
        <w:ind w:firstLine="480"/>
        <w:rPr>
          <w:rFonts w:ascii="宋体" w:hAnsi="宋体" w:cs="宋体"/>
          <w:color w:val="auto"/>
          <w:kern w:val="0"/>
          <w:sz w:val="24"/>
          <w:highlight w:val="none"/>
        </w:rPr>
      </w:pPr>
    </w:p>
    <w:p w14:paraId="41E5EE94">
      <w:pPr>
        <w:snapToGrid w:val="0"/>
        <w:spacing w:line="360" w:lineRule="auto"/>
        <w:ind w:firstLine="480"/>
        <w:rPr>
          <w:rFonts w:ascii="宋体" w:hAnsi="宋体" w:cs="宋体"/>
          <w:color w:val="auto"/>
          <w:kern w:val="0"/>
          <w:sz w:val="24"/>
          <w:highlight w:val="none"/>
        </w:rPr>
      </w:pPr>
    </w:p>
    <w:p w14:paraId="3AB01922">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法定代表人签字或盖章</w:t>
      </w:r>
    </w:p>
    <w:p w14:paraId="3034640C">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被授权人签字</w:t>
      </w:r>
    </w:p>
    <w:p w14:paraId="53A2C2EC">
      <w:pPr>
        <w:snapToGrid w:val="0"/>
        <w:spacing w:line="360" w:lineRule="auto"/>
        <w:ind w:firstLine="480"/>
        <w:rPr>
          <w:rFonts w:ascii="宋体" w:hAnsi="宋体" w:cs="宋体"/>
          <w:color w:val="auto"/>
          <w:kern w:val="0"/>
          <w:sz w:val="24"/>
          <w:highlight w:val="none"/>
          <w:u w:val="single"/>
        </w:rPr>
      </w:pPr>
      <w:r>
        <w:rPr>
          <w:rFonts w:hint="eastAsia" w:ascii="宋体" w:hAnsi="宋体" w:cs="宋体"/>
          <w:color w:val="auto"/>
          <w:kern w:val="0"/>
          <w:sz w:val="24"/>
          <w:highlight w:val="none"/>
        </w:rPr>
        <w:t>投标人公章</w:t>
      </w:r>
    </w:p>
    <w:p w14:paraId="23867644">
      <w:pPr>
        <w:snapToGrid w:val="0"/>
        <w:spacing w:line="360" w:lineRule="auto"/>
        <w:ind w:firstLine="480"/>
        <w:rPr>
          <w:rFonts w:ascii="宋体" w:hAnsi="宋体" w:cs="宋体"/>
          <w:color w:val="auto"/>
          <w:kern w:val="0"/>
          <w:sz w:val="24"/>
          <w:highlight w:val="none"/>
          <w:u w:val="single"/>
        </w:rPr>
      </w:pPr>
    </w:p>
    <w:p w14:paraId="5E0186C7">
      <w:pPr>
        <w:snapToGrid w:val="0"/>
        <w:spacing w:line="360" w:lineRule="auto"/>
        <w:ind w:firstLine="480"/>
        <w:rPr>
          <w:rFonts w:ascii="宋体" w:hAnsi="宋体" w:cs="宋体"/>
          <w:color w:val="auto"/>
          <w:kern w:val="0"/>
          <w:sz w:val="24"/>
          <w:highlight w:val="none"/>
          <w:u w:val="single"/>
        </w:rPr>
      </w:pPr>
    </w:p>
    <w:p w14:paraId="282ABB0C">
      <w:pPr>
        <w:snapToGrid w:val="0"/>
        <w:spacing w:line="360" w:lineRule="auto"/>
        <w:ind w:firstLine="480"/>
        <w:rPr>
          <w:rFonts w:ascii="宋体" w:hAnsi="宋体" w:cs="宋体"/>
          <w:color w:val="auto"/>
          <w:kern w:val="0"/>
          <w:sz w:val="24"/>
          <w:highlight w:val="none"/>
          <w:u w:val="single"/>
        </w:rPr>
      </w:pPr>
    </w:p>
    <w:p w14:paraId="047EE41D">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注：1.法定代表人和被授权人签字，必须是亲笔签名。</w:t>
      </w:r>
    </w:p>
    <w:p w14:paraId="69BBDA44">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2.法定代表人盖章和投标人公章，必须是经公安部门备案的印章。</w:t>
      </w:r>
    </w:p>
    <w:p w14:paraId="3D4ED2D2">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3.不得使用其他印章或电子制版签名。</w:t>
      </w:r>
    </w:p>
    <w:p w14:paraId="02FABF8D">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rPr>
        <w:t>4.本文件应按规定签署，否则投标文件无效。</w:t>
      </w:r>
    </w:p>
    <w:p w14:paraId="22B1998F">
      <w:pPr>
        <w:widowControl/>
        <w:jc w:val="left"/>
        <w:rPr>
          <w:rFonts w:ascii="宋体" w:hAnsi="宋体" w:cs="宋体"/>
          <w:color w:val="auto"/>
          <w:kern w:val="0"/>
          <w:sz w:val="24"/>
          <w:szCs w:val="21"/>
          <w:highlight w:val="none"/>
        </w:rPr>
      </w:pPr>
      <w:r>
        <w:rPr>
          <w:rFonts w:hAnsi="宋体" w:cs="宋体"/>
          <w:color w:val="auto"/>
          <w:kern w:val="0"/>
          <w:sz w:val="24"/>
          <w:highlight w:val="none"/>
        </w:rPr>
        <w:br w:type="page"/>
      </w:r>
    </w:p>
    <w:p w14:paraId="1002CC11">
      <w:pPr>
        <w:pStyle w:val="45"/>
        <w:snapToGrid w:val="0"/>
        <w:spacing w:line="360" w:lineRule="auto"/>
        <w:jc w:val="center"/>
        <w:outlineLvl w:val="1"/>
        <w:rPr>
          <w:rFonts w:hAnsi="宋体" w:cs="宋体"/>
          <w:b/>
          <w:color w:val="auto"/>
          <w:kern w:val="0"/>
          <w:sz w:val="36"/>
          <w:szCs w:val="24"/>
          <w:highlight w:val="none"/>
        </w:rPr>
      </w:pPr>
      <w:bookmarkStart w:id="138" w:name="_Toc32228_WPSOffice_Level1"/>
      <w:bookmarkStart w:id="139" w:name="_Toc29096_WPSOffice_Level1"/>
      <w:r>
        <w:rPr>
          <w:rFonts w:hint="eastAsia" w:hAnsi="宋体" w:cs="宋体"/>
          <w:b/>
          <w:color w:val="auto"/>
          <w:kern w:val="0"/>
          <w:sz w:val="36"/>
          <w:szCs w:val="24"/>
          <w:highlight w:val="none"/>
        </w:rPr>
        <w:t>八、资格证明文件</w:t>
      </w:r>
      <w:bookmarkEnd w:id="138"/>
      <w:bookmarkEnd w:id="139"/>
    </w:p>
    <w:p w14:paraId="4046581F">
      <w:pPr>
        <w:pStyle w:val="45"/>
        <w:snapToGrid w:val="0"/>
        <w:spacing w:line="360" w:lineRule="auto"/>
        <w:ind w:firstLine="480" w:firstLineChars="200"/>
        <w:rPr>
          <w:rFonts w:hAnsi="宋体" w:cs="宋体"/>
          <w:bCs/>
          <w:color w:val="auto"/>
          <w:kern w:val="0"/>
          <w:sz w:val="24"/>
          <w:highlight w:val="none"/>
        </w:rPr>
      </w:pPr>
      <w:r>
        <w:rPr>
          <w:rFonts w:hint="eastAsia" w:hAnsi="宋体" w:cs="宋体"/>
          <w:color w:val="auto"/>
          <w:kern w:val="0"/>
          <w:sz w:val="24"/>
          <w:szCs w:val="24"/>
          <w:highlight w:val="none"/>
        </w:rPr>
        <w:t>1.营业执照（</w:t>
      </w:r>
      <w:r>
        <w:rPr>
          <w:rFonts w:hint="eastAsia" w:hAnsi="宋体" w:cs="宋体"/>
          <w:bCs/>
          <w:color w:val="auto"/>
          <w:kern w:val="0"/>
          <w:sz w:val="24"/>
          <w:highlight w:val="none"/>
        </w:rPr>
        <w:t>或事业单位法人证书）副本复印件</w:t>
      </w:r>
    </w:p>
    <w:p w14:paraId="2096143F">
      <w:pPr>
        <w:pStyle w:val="45"/>
        <w:snapToGrid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2.202</w:t>
      </w:r>
      <w:r>
        <w:rPr>
          <w:rFonts w:hint="eastAsia" w:hAnsi="宋体" w:cs="宋体"/>
          <w:color w:val="auto"/>
          <w:kern w:val="0"/>
          <w:sz w:val="24"/>
          <w:szCs w:val="24"/>
          <w:highlight w:val="none"/>
          <w:lang w:val="en-US" w:eastAsia="zh-CN"/>
        </w:rPr>
        <w:t>5</w:t>
      </w:r>
      <w:r>
        <w:rPr>
          <w:rFonts w:hint="eastAsia" w:hAnsi="宋体" w:cs="宋体"/>
          <w:color w:val="auto"/>
          <w:kern w:val="0"/>
          <w:sz w:val="24"/>
          <w:szCs w:val="24"/>
          <w:highlight w:val="none"/>
        </w:rPr>
        <w:t>年度经过审计的财务报告，或202</w:t>
      </w:r>
      <w:r>
        <w:rPr>
          <w:rFonts w:hint="eastAsia" w:hAnsi="宋体" w:cs="宋体"/>
          <w:color w:val="auto"/>
          <w:kern w:val="0"/>
          <w:sz w:val="24"/>
          <w:szCs w:val="24"/>
          <w:highlight w:val="none"/>
          <w:lang w:val="en-US" w:eastAsia="zh-CN"/>
        </w:rPr>
        <w:t>6</w:t>
      </w:r>
      <w:r>
        <w:rPr>
          <w:rFonts w:hint="eastAsia" w:hAnsi="宋体" w:cs="宋体"/>
          <w:color w:val="auto"/>
          <w:kern w:val="0"/>
          <w:sz w:val="24"/>
          <w:szCs w:val="24"/>
          <w:highlight w:val="none"/>
        </w:rPr>
        <w:t>年基本存款账户开户银行出具的资信证明及基本存款账户开户证明材料（复印件加盖公章）</w:t>
      </w:r>
    </w:p>
    <w:p w14:paraId="11CBDAA5">
      <w:pPr>
        <w:pStyle w:val="45"/>
        <w:snapToGrid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3.具备履行合同所必需的设备和专业技术能力声明函（格式自拟，原件）</w:t>
      </w:r>
    </w:p>
    <w:p w14:paraId="2590BB59">
      <w:pPr>
        <w:pStyle w:val="45"/>
        <w:snapToGrid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4.开标时间前六个月内任一个月的依法缴纳税收的缴款凭据（复印件加盖公章）</w:t>
      </w:r>
    </w:p>
    <w:p w14:paraId="34B1993F">
      <w:pPr>
        <w:pStyle w:val="45"/>
        <w:snapToGrid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5.开标时间前六个月内任一个月的依法缴纳社会保障资金的缴款凭据（复印件加盖公章）</w:t>
      </w:r>
    </w:p>
    <w:p w14:paraId="61DD52A4">
      <w:pPr>
        <w:pStyle w:val="45"/>
        <w:snapToGrid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6.诚信投标承诺函（参加政府采购活动前三年内在经营活动中没有重大违法记录的书面声明函）（格式6）</w:t>
      </w:r>
    </w:p>
    <w:p w14:paraId="607A645D">
      <w:pPr>
        <w:pStyle w:val="45"/>
        <w:snapToGrid w:val="0"/>
        <w:spacing w:line="360" w:lineRule="auto"/>
        <w:ind w:firstLine="480" w:firstLineChars="200"/>
        <w:jc w:val="left"/>
        <w:rPr>
          <w:rFonts w:hAnsi="宋体" w:cs="宋体"/>
          <w:color w:val="auto"/>
          <w:kern w:val="0"/>
          <w:sz w:val="24"/>
          <w:szCs w:val="24"/>
          <w:highlight w:val="none"/>
        </w:rPr>
      </w:pPr>
      <w:r>
        <w:rPr>
          <w:rFonts w:hint="eastAsia" w:hAnsi="宋体" w:cs="宋体"/>
          <w:color w:val="auto"/>
          <w:kern w:val="0"/>
          <w:sz w:val="24"/>
          <w:szCs w:val="24"/>
          <w:highlight w:val="none"/>
          <w:lang w:val="en-US" w:eastAsia="zh-CN"/>
        </w:rPr>
        <w:t>7</w:t>
      </w:r>
      <w:r>
        <w:rPr>
          <w:rFonts w:hint="eastAsia" w:hAnsi="宋体" w:cs="宋体"/>
          <w:color w:val="auto"/>
          <w:kern w:val="0"/>
          <w:sz w:val="24"/>
          <w:szCs w:val="24"/>
          <w:highlight w:val="none"/>
        </w:rPr>
        <w:t>.投标人关联单位的说明（格式</w:t>
      </w:r>
      <w:r>
        <w:rPr>
          <w:rFonts w:hint="eastAsia" w:hAnsi="宋体" w:cs="宋体"/>
          <w:color w:val="auto"/>
          <w:kern w:val="0"/>
          <w:sz w:val="24"/>
          <w:szCs w:val="24"/>
          <w:highlight w:val="none"/>
          <w:lang w:val="en-US" w:eastAsia="zh-CN"/>
        </w:rPr>
        <w:t>7</w:t>
      </w:r>
      <w:r>
        <w:rPr>
          <w:rFonts w:hint="eastAsia" w:hAnsi="宋体" w:cs="宋体"/>
          <w:color w:val="auto"/>
          <w:kern w:val="0"/>
          <w:sz w:val="24"/>
          <w:szCs w:val="24"/>
          <w:highlight w:val="none"/>
        </w:rPr>
        <w:t>）</w:t>
      </w:r>
    </w:p>
    <w:p w14:paraId="7E2D912F">
      <w:pPr>
        <w:pStyle w:val="45"/>
        <w:snapToGrid w:val="0"/>
        <w:spacing w:line="360" w:lineRule="auto"/>
        <w:ind w:firstLine="482"/>
        <w:rPr>
          <w:rFonts w:hAnsi="宋体" w:cs="宋体"/>
          <w:b/>
          <w:color w:val="auto"/>
          <w:kern w:val="0"/>
          <w:sz w:val="24"/>
          <w:szCs w:val="24"/>
          <w:highlight w:val="none"/>
        </w:rPr>
      </w:pPr>
      <w:r>
        <w:rPr>
          <w:rFonts w:hint="eastAsia" w:hAnsi="宋体" w:cs="宋体"/>
          <w:b/>
          <w:color w:val="auto"/>
          <w:kern w:val="0"/>
          <w:sz w:val="24"/>
          <w:szCs w:val="24"/>
          <w:highlight w:val="none"/>
        </w:rPr>
        <w:t>注:以上证明材料需在投标文件目录中明确标注页码。</w:t>
      </w:r>
    </w:p>
    <w:p w14:paraId="16FFEC40">
      <w:pPr>
        <w:widowControl/>
        <w:snapToGrid w:val="0"/>
        <w:spacing w:line="360" w:lineRule="auto"/>
        <w:jc w:val="left"/>
        <w:rPr>
          <w:rFonts w:hAnsi="宋体" w:cs="宋体"/>
          <w:color w:val="auto"/>
          <w:kern w:val="0"/>
          <w:sz w:val="24"/>
          <w:highlight w:val="none"/>
        </w:rPr>
      </w:pPr>
      <w:r>
        <w:rPr>
          <w:rFonts w:hint="eastAsia" w:ascii="宋体" w:hAnsi="宋体" w:cs="宋体"/>
          <w:color w:val="auto"/>
          <w:kern w:val="0"/>
          <w:sz w:val="24"/>
          <w:highlight w:val="none"/>
        </w:rPr>
        <w:br w:type="page"/>
      </w:r>
      <w:r>
        <w:rPr>
          <w:rFonts w:hint="eastAsia" w:hAnsi="宋体" w:cs="宋体"/>
          <w:color w:val="auto"/>
          <w:kern w:val="0"/>
          <w:sz w:val="24"/>
          <w:highlight w:val="none"/>
        </w:rPr>
        <w:t>格式6</w:t>
      </w:r>
    </w:p>
    <w:p w14:paraId="09F6EE5F">
      <w:pPr>
        <w:snapToGrid w:val="0"/>
        <w:spacing w:before="240" w:after="240" w:line="360" w:lineRule="auto"/>
        <w:ind w:firstLine="643"/>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诚信投标承诺函</w:t>
      </w:r>
    </w:p>
    <w:p w14:paraId="4CB518B0">
      <w:pPr>
        <w:snapToGrid w:val="0"/>
        <w:spacing w:line="360" w:lineRule="auto"/>
        <w:ind w:firstLine="482"/>
        <w:rPr>
          <w:rFonts w:ascii="宋体" w:hAnsi="宋体" w:cs="宋体"/>
          <w:b/>
          <w:color w:val="auto"/>
          <w:kern w:val="0"/>
          <w:sz w:val="24"/>
          <w:highlight w:val="none"/>
        </w:rPr>
      </w:pPr>
      <w:r>
        <w:rPr>
          <w:rFonts w:hint="eastAsia" w:ascii="宋体" w:hAnsi="宋体" w:cs="宋体"/>
          <w:b/>
          <w:color w:val="auto"/>
          <w:kern w:val="0"/>
          <w:sz w:val="24"/>
          <w:highlight w:val="none"/>
          <w:u w:val="single"/>
        </w:rPr>
        <w:t>（采购人或采购代理机构名称）</w:t>
      </w:r>
      <w:r>
        <w:rPr>
          <w:rFonts w:hint="eastAsia" w:ascii="宋体" w:hAnsi="宋体" w:cs="宋体"/>
          <w:b/>
          <w:color w:val="auto"/>
          <w:kern w:val="0"/>
          <w:sz w:val="24"/>
          <w:highlight w:val="none"/>
        </w:rPr>
        <w:t xml:space="preserve"> ：</w:t>
      </w:r>
    </w:p>
    <w:p w14:paraId="5823981E">
      <w:pPr>
        <w:snapToGrid w:val="0"/>
        <w:spacing w:line="360" w:lineRule="auto"/>
        <w:ind w:firstLine="564" w:firstLineChars="235"/>
        <w:rPr>
          <w:rFonts w:ascii="宋体" w:hAnsi="宋体" w:cs="宋体"/>
          <w:color w:val="auto"/>
          <w:kern w:val="0"/>
          <w:sz w:val="24"/>
          <w:highlight w:val="none"/>
        </w:rPr>
      </w:pPr>
      <w:r>
        <w:rPr>
          <w:rFonts w:hint="eastAsia" w:ascii="宋体" w:hAnsi="宋体" w:cs="宋体"/>
          <w:color w:val="auto"/>
          <w:kern w:val="0"/>
          <w:sz w:val="24"/>
          <w:highlight w:val="none"/>
        </w:rPr>
        <w:t>在本项目投标文件截止时间前，我单位参加本次政府采购活动前三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重大税收违法案件当事人名单、政府采购严重违法失信行为记录名单。</w:t>
      </w:r>
    </w:p>
    <w:p w14:paraId="75A344F2">
      <w:pPr>
        <w:snapToGrid w:val="0"/>
        <w:spacing w:line="360" w:lineRule="auto"/>
        <w:ind w:firstLine="240" w:firstLineChars="100"/>
        <w:rPr>
          <w:rFonts w:ascii="宋体" w:hAnsi="宋体" w:cs="宋体"/>
          <w:color w:val="auto"/>
          <w:kern w:val="0"/>
          <w:sz w:val="24"/>
          <w:highlight w:val="none"/>
        </w:rPr>
      </w:pPr>
      <w:bookmarkStart w:id="140" w:name="_Hlk113183055"/>
      <w:r>
        <w:rPr>
          <w:rFonts w:hint="eastAsia" w:ascii="宋体" w:hAnsi="宋体" w:cs="宋体"/>
          <w:color w:val="auto"/>
          <w:kern w:val="0"/>
          <w:sz w:val="24"/>
          <w:highlight w:val="none"/>
        </w:rPr>
        <w:t>我单位在本项目所属行业</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中为</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rPr>
        <w:t>（中型、小型、微型企业），《中小企业声明函》中内容属实。</w:t>
      </w:r>
    </w:p>
    <w:p w14:paraId="206ECE59">
      <w:pPr>
        <w:snapToGrid w:val="0"/>
        <w:spacing w:line="360" w:lineRule="auto"/>
        <w:ind w:firstLine="564" w:firstLineChars="235"/>
        <w:rPr>
          <w:rFonts w:ascii="宋体" w:hAnsi="宋体" w:cs="宋体"/>
          <w:color w:val="auto"/>
          <w:kern w:val="0"/>
          <w:sz w:val="24"/>
          <w:highlight w:val="none"/>
        </w:rPr>
      </w:pPr>
      <w:r>
        <w:rPr>
          <w:rFonts w:hint="eastAsia" w:ascii="宋体" w:hAnsi="宋体" w:cs="宋体"/>
          <w:color w:val="auto"/>
          <w:kern w:val="0"/>
          <w:sz w:val="24"/>
          <w:highlight w:val="none"/>
        </w:rPr>
        <w:t>我单位在本项目投标文件中所响应的各类文件，我单位均依法核实，保证所提供材料的真实性。</w:t>
      </w:r>
    </w:p>
    <w:bookmarkEnd w:id="140"/>
    <w:p w14:paraId="48686AAB">
      <w:pPr>
        <w:tabs>
          <w:tab w:val="left" w:pos="10065"/>
        </w:tabs>
        <w:snapToGrid w:val="0"/>
        <w:spacing w:line="360" w:lineRule="auto"/>
        <w:ind w:firstLine="424" w:firstLineChars="177"/>
        <w:rPr>
          <w:rFonts w:ascii="宋体" w:hAnsi="宋体" w:cs="宋体"/>
          <w:color w:val="auto"/>
          <w:kern w:val="0"/>
          <w:sz w:val="24"/>
          <w:highlight w:val="none"/>
        </w:rPr>
      </w:pPr>
      <w:r>
        <w:rPr>
          <w:rFonts w:hint="eastAsia" w:ascii="宋体" w:hAnsi="宋体" w:cs="宋体"/>
          <w:color w:val="auto"/>
          <w:kern w:val="0"/>
          <w:sz w:val="24"/>
          <w:highlight w:val="none"/>
        </w:rPr>
        <w:t>如发现我单位提供的</w:t>
      </w:r>
      <w:bookmarkStart w:id="141" w:name="_Hlk113183062"/>
      <w:r>
        <w:rPr>
          <w:rFonts w:hint="eastAsia" w:ascii="宋体" w:hAnsi="宋体" w:cs="宋体"/>
          <w:color w:val="auto"/>
          <w:kern w:val="0"/>
          <w:sz w:val="24"/>
          <w:highlight w:val="none"/>
        </w:rPr>
        <w:t>材料</w:t>
      </w:r>
      <w:bookmarkEnd w:id="141"/>
      <w:r>
        <w:rPr>
          <w:rFonts w:hint="eastAsia" w:ascii="宋体" w:hAnsi="宋体" w:cs="宋体"/>
          <w:color w:val="auto"/>
          <w:kern w:val="0"/>
          <w:sz w:val="24"/>
          <w:highlight w:val="none"/>
        </w:rPr>
        <w:t>不实时，我单位将按照《政府采购法》有关提供虚假材料的规定，接受处罚。</w:t>
      </w:r>
    </w:p>
    <w:p w14:paraId="71D68BB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特此声明。</w:t>
      </w:r>
    </w:p>
    <w:p w14:paraId="62BFDF06">
      <w:pPr>
        <w:snapToGrid w:val="0"/>
        <w:spacing w:line="360" w:lineRule="auto"/>
        <w:ind w:firstLine="480"/>
        <w:rPr>
          <w:rFonts w:ascii="宋体" w:hAnsi="宋体" w:cs="宋体"/>
          <w:color w:val="auto"/>
          <w:kern w:val="0"/>
          <w:sz w:val="24"/>
          <w:highlight w:val="none"/>
        </w:rPr>
      </w:pPr>
    </w:p>
    <w:p w14:paraId="65A43054">
      <w:pPr>
        <w:snapToGrid w:val="0"/>
        <w:spacing w:before="120" w:after="120" w:line="360" w:lineRule="auto"/>
        <w:ind w:firstLine="480"/>
        <w:rPr>
          <w:rFonts w:ascii="宋体" w:hAnsi="宋体" w:cs="宋体"/>
          <w:color w:val="auto"/>
          <w:kern w:val="0"/>
          <w:sz w:val="24"/>
          <w:highlight w:val="none"/>
        </w:rPr>
      </w:pPr>
    </w:p>
    <w:p w14:paraId="7C51D26B">
      <w:pPr>
        <w:snapToGrid w:val="0"/>
        <w:spacing w:before="120" w:after="120" w:line="360" w:lineRule="auto"/>
        <w:ind w:firstLine="480"/>
        <w:rPr>
          <w:rFonts w:ascii="宋体" w:hAnsi="宋体" w:cs="宋体"/>
          <w:color w:val="auto"/>
          <w:kern w:val="0"/>
          <w:sz w:val="24"/>
          <w:highlight w:val="none"/>
        </w:rPr>
      </w:pPr>
    </w:p>
    <w:p w14:paraId="285E766D">
      <w:pPr>
        <w:snapToGrid w:val="0"/>
        <w:spacing w:before="120" w:after="120" w:line="360" w:lineRule="auto"/>
        <w:ind w:firstLine="480"/>
        <w:rPr>
          <w:rFonts w:ascii="宋体" w:hAnsi="宋体" w:cs="宋体"/>
          <w:color w:val="auto"/>
          <w:kern w:val="0"/>
          <w:sz w:val="24"/>
          <w:highlight w:val="none"/>
        </w:rPr>
      </w:pPr>
    </w:p>
    <w:p w14:paraId="3D91FB7A">
      <w:pPr>
        <w:snapToGrid w:val="0"/>
        <w:spacing w:line="360" w:lineRule="auto"/>
        <w:ind w:firstLine="480"/>
        <w:rPr>
          <w:rFonts w:ascii="宋体" w:hAnsi="宋体" w:cs="宋体"/>
          <w:color w:val="auto"/>
          <w:kern w:val="0"/>
          <w:sz w:val="24"/>
          <w:highlight w:val="none"/>
        </w:rPr>
      </w:pPr>
    </w:p>
    <w:p w14:paraId="73E0DB7B">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投标人名称（加盖单位公章）：</w:t>
      </w:r>
    </w:p>
    <w:p w14:paraId="66A2F918">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法定代表人（或非法人组织负责人）或其授权代表人(签字或盖章)：</w:t>
      </w:r>
    </w:p>
    <w:p w14:paraId="7477347D">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日期：</w:t>
      </w:r>
    </w:p>
    <w:p w14:paraId="54AB516C">
      <w:pPr>
        <w:widowControl/>
        <w:jc w:val="left"/>
        <w:rPr>
          <w:rFonts w:ascii="宋体" w:hAnsi="宋体" w:cs="宋体"/>
          <w:color w:val="auto"/>
          <w:kern w:val="0"/>
          <w:sz w:val="24"/>
          <w:highlight w:val="none"/>
        </w:rPr>
      </w:pPr>
      <w:bookmarkStart w:id="142" w:name="_Toc26986_WPSOffice_Level1"/>
      <w:bookmarkStart w:id="143" w:name="_Toc18517_WPSOffice_Level1"/>
      <w:r>
        <w:rPr>
          <w:rFonts w:ascii="宋体" w:hAnsi="宋体" w:cs="宋体"/>
          <w:color w:val="auto"/>
          <w:kern w:val="0"/>
          <w:sz w:val="24"/>
          <w:highlight w:val="none"/>
        </w:rPr>
        <w:br w:type="page"/>
      </w:r>
    </w:p>
    <w:p w14:paraId="5C66821C">
      <w:pPr>
        <w:tabs>
          <w:tab w:val="left" w:pos="840"/>
        </w:tabs>
        <w:adjustRightInd w:val="0"/>
        <w:snapToGrid w:val="0"/>
        <w:spacing w:line="360" w:lineRule="auto"/>
        <w:rPr>
          <w:rFonts w:hint="eastAsia" w:ascii="宋体" w:hAnsi="宋体" w:eastAsia="宋体" w:cs="宋体"/>
          <w:b/>
          <w:color w:val="auto"/>
          <w:kern w:val="0"/>
          <w:sz w:val="24"/>
          <w:highlight w:val="none"/>
          <w:lang w:eastAsia="zh-CN"/>
        </w:rPr>
      </w:pPr>
      <w:r>
        <w:rPr>
          <w:rFonts w:hint="eastAsia" w:ascii="宋体" w:hAnsi="宋体" w:cs="宋体"/>
          <w:color w:val="auto"/>
          <w:kern w:val="0"/>
          <w:sz w:val="24"/>
          <w:highlight w:val="none"/>
        </w:rPr>
        <w:t>格式</w:t>
      </w:r>
      <w:r>
        <w:rPr>
          <w:rFonts w:hint="eastAsia" w:ascii="宋体" w:hAnsi="宋体" w:cs="宋体"/>
          <w:color w:val="auto"/>
          <w:kern w:val="0"/>
          <w:sz w:val="24"/>
          <w:highlight w:val="none"/>
          <w:lang w:val="en-US" w:eastAsia="zh-CN"/>
        </w:rPr>
        <w:t>7</w:t>
      </w:r>
    </w:p>
    <w:p w14:paraId="4F2FA5AB">
      <w:pPr>
        <w:tabs>
          <w:tab w:val="left" w:pos="840"/>
        </w:tabs>
        <w:adjustRightInd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投标人关联单位的说明</w:t>
      </w:r>
    </w:p>
    <w:p w14:paraId="5F8636B1">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说明：投标人应当如实披露与本单位存在下列关联关系的单位名称：</w:t>
      </w:r>
    </w:p>
    <w:p w14:paraId="201233C2">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（1）与投标人法定代表人（或非法人组织负责人）为同一人的其他单位；</w:t>
      </w:r>
    </w:p>
    <w:p w14:paraId="39E46475">
      <w:pPr>
        <w:snapToGrid w:val="0"/>
        <w:spacing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（2）与投标人存在直接控股、管理关系的其他单位：</w:t>
      </w:r>
    </w:p>
    <w:p w14:paraId="0ED2504C">
      <w:pPr>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（3）为本采购项目提供整体设计、规范编制或者项目管理、监理、检测等服务的供应商参加本项目采购活动：</w:t>
      </w:r>
    </w:p>
    <w:p w14:paraId="627EAD89">
      <w:pPr>
        <w:spacing w:line="360" w:lineRule="auto"/>
        <w:ind w:firstLine="708" w:firstLineChars="295"/>
        <w:rPr>
          <w:rFonts w:ascii="宋体" w:hAnsi="宋体"/>
          <w:bCs/>
          <w:color w:val="auto"/>
          <w:sz w:val="24"/>
          <w:highlight w:val="none"/>
        </w:rPr>
      </w:pPr>
      <w:r>
        <w:rPr>
          <w:rFonts w:hint="eastAsia" w:ascii="宋体" w:hAnsi="宋体"/>
          <w:bCs/>
          <w:color w:val="auto"/>
          <w:sz w:val="24"/>
          <w:highlight w:val="none"/>
        </w:rPr>
        <w:t>是否存在以上情形：</w:t>
      </w:r>
      <w:r>
        <w:rPr>
          <w:rFonts w:ascii="宋体" w:hAnsi="宋体"/>
          <w:bCs/>
          <w:color w:val="auto"/>
          <w:sz w:val="24"/>
          <w:highlight w:val="none"/>
          <w:u w:val="single"/>
        </w:rPr>
        <w:t xml:space="preserve">      </w:t>
      </w:r>
      <w:r>
        <w:rPr>
          <w:rFonts w:hint="eastAsia" w:ascii="宋体" w:hAnsi="宋体"/>
          <w:bCs/>
          <w:color w:val="auto"/>
          <w:sz w:val="24"/>
          <w:highlight w:val="none"/>
        </w:rPr>
        <w:t>。</w:t>
      </w:r>
    </w:p>
    <w:p w14:paraId="6C3D4DF2">
      <w:pPr>
        <w:snapToGrid w:val="0"/>
        <w:spacing w:line="360" w:lineRule="auto"/>
        <w:ind w:firstLine="480" w:firstLineChars="200"/>
        <w:rPr>
          <w:rFonts w:ascii="宋体" w:hAnsi="宋体" w:cs="宋体"/>
          <w:bCs/>
          <w:color w:val="auto"/>
          <w:kern w:val="0"/>
          <w:sz w:val="24"/>
          <w:highlight w:val="none"/>
        </w:rPr>
      </w:pPr>
    </w:p>
    <w:p w14:paraId="33853571">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注：若无此情形，写“无”即可</w:t>
      </w:r>
    </w:p>
    <w:p w14:paraId="4E59FE5C">
      <w:pPr>
        <w:snapToGrid w:val="0"/>
        <w:spacing w:before="120" w:after="120" w:line="360" w:lineRule="auto"/>
        <w:ind w:firstLine="480" w:firstLineChars="200"/>
        <w:rPr>
          <w:rFonts w:ascii="宋体" w:hAnsi="宋体" w:cs="宋体"/>
          <w:bCs/>
          <w:color w:val="auto"/>
          <w:kern w:val="0"/>
          <w:sz w:val="24"/>
          <w:highlight w:val="none"/>
          <w:u w:val="single"/>
        </w:rPr>
      </w:pPr>
      <w:r>
        <w:rPr>
          <w:rFonts w:hint="eastAsia" w:ascii="宋体" w:hAnsi="宋体" w:cs="宋体"/>
          <w:bCs/>
          <w:color w:val="auto"/>
          <w:kern w:val="0"/>
          <w:sz w:val="24"/>
          <w:highlight w:val="none"/>
        </w:rPr>
        <w:t>投标人名称（加盖单位公章）：</w:t>
      </w:r>
    </w:p>
    <w:p w14:paraId="5080DC5C">
      <w:pPr>
        <w:snapToGrid w:val="0"/>
        <w:spacing w:line="360" w:lineRule="auto"/>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法定代表人（或非法人组织负责人）或其授权委托人(签字或盖章)：</w:t>
      </w:r>
    </w:p>
    <w:p w14:paraId="637E87AB">
      <w:pPr>
        <w:tabs>
          <w:tab w:val="left" w:pos="840"/>
        </w:tabs>
        <w:adjustRightInd w:val="0"/>
        <w:snapToGrid w:val="0"/>
        <w:spacing w:line="360" w:lineRule="auto"/>
        <w:ind w:firstLine="480" w:firstLineChars="200"/>
        <w:rPr>
          <w:rFonts w:ascii="宋体" w:hAnsi="宋体" w:cs="宋体"/>
          <w:b/>
          <w:color w:val="auto"/>
          <w:kern w:val="0"/>
          <w:sz w:val="24"/>
          <w:highlight w:val="none"/>
        </w:rPr>
      </w:pPr>
      <w:r>
        <w:rPr>
          <w:rFonts w:hint="eastAsia" w:ascii="宋体" w:hAnsi="宋体" w:cs="宋体"/>
          <w:bCs/>
          <w:color w:val="auto"/>
          <w:kern w:val="0"/>
          <w:sz w:val="24"/>
          <w:highlight w:val="none"/>
        </w:rPr>
        <w:t>日期：    年  月  日</w:t>
      </w:r>
    </w:p>
    <w:p w14:paraId="693082FB">
      <w:pPr>
        <w:pStyle w:val="45"/>
        <w:snapToGrid w:val="0"/>
        <w:spacing w:line="360" w:lineRule="auto"/>
        <w:jc w:val="center"/>
        <w:outlineLvl w:val="1"/>
        <w:rPr>
          <w:rFonts w:hAnsi="宋体" w:cs="宋体"/>
          <w:b/>
          <w:color w:val="auto"/>
          <w:kern w:val="0"/>
          <w:sz w:val="36"/>
          <w:szCs w:val="24"/>
          <w:highlight w:val="none"/>
        </w:rPr>
      </w:pPr>
      <w:r>
        <w:rPr>
          <w:rFonts w:hint="eastAsia" w:hAnsi="宋体" w:cs="宋体"/>
          <w:b/>
          <w:color w:val="auto"/>
          <w:kern w:val="0"/>
          <w:sz w:val="36"/>
          <w:highlight w:val="none"/>
        </w:rPr>
        <w:br w:type="page"/>
      </w:r>
      <w:bookmarkEnd w:id="142"/>
      <w:bookmarkEnd w:id="143"/>
    </w:p>
    <w:p w14:paraId="0679F27B">
      <w:pPr>
        <w:pStyle w:val="45"/>
        <w:snapToGrid w:val="0"/>
        <w:spacing w:line="360" w:lineRule="auto"/>
        <w:jc w:val="center"/>
        <w:outlineLvl w:val="1"/>
        <w:rPr>
          <w:rFonts w:hAnsi="宋体" w:cs="宋体"/>
          <w:b/>
          <w:color w:val="auto"/>
          <w:kern w:val="0"/>
          <w:sz w:val="36"/>
          <w:szCs w:val="24"/>
          <w:highlight w:val="none"/>
        </w:rPr>
      </w:pPr>
      <w:bookmarkStart w:id="144" w:name="_Toc4240_WPSOffice_Level1"/>
      <w:bookmarkStart w:id="145" w:name="_Toc3503_WPSOffice_Level1"/>
      <w:r>
        <w:rPr>
          <w:rFonts w:hint="eastAsia" w:hAnsi="宋体" w:cs="宋体"/>
          <w:b/>
          <w:color w:val="auto"/>
          <w:kern w:val="0"/>
          <w:sz w:val="36"/>
          <w:szCs w:val="24"/>
          <w:highlight w:val="none"/>
          <w:lang w:eastAsia="zh-CN"/>
        </w:rPr>
        <w:t>九</w:t>
      </w:r>
      <w:r>
        <w:rPr>
          <w:rFonts w:hint="eastAsia" w:hAnsi="宋体" w:cs="宋体"/>
          <w:b/>
          <w:color w:val="auto"/>
          <w:kern w:val="0"/>
          <w:sz w:val="36"/>
          <w:szCs w:val="24"/>
          <w:highlight w:val="none"/>
        </w:rPr>
        <w:t>、中小企业声明函、监狱企业证明、残疾人福利性单位声明函</w:t>
      </w:r>
      <w:bookmarkEnd w:id="144"/>
      <w:bookmarkEnd w:id="145"/>
    </w:p>
    <w:p w14:paraId="4986E46A">
      <w:pPr>
        <w:pStyle w:val="45"/>
        <w:snapToGrid w:val="0"/>
        <w:spacing w:line="360" w:lineRule="auto"/>
        <w:jc w:val="center"/>
        <w:rPr>
          <w:rFonts w:hAnsi="宋体" w:cs="宋体"/>
          <w:b/>
          <w:color w:val="auto"/>
          <w:kern w:val="0"/>
          <w:sz w:val="36"/>
          <w:szCs w:val="24"/>
          <w:highlight w:val="none"/>
        </w:rPr>
      </w:pPr>
      <w:bookmarkStart w:id="146" w:name="_Toc11670_WPSOffice_Level1"/>
      <w:bookmarkStart w:id="147" w:name="_Toc25853_WPSOffice_Level1"/>
      <w:bookmarkStart w:id="148" w:name="_Toc14357_WPSOffice_Level1"/>
      <w:bookmarkStart w:id="149" w:name="_Toc32003_WPSOffice_Level1"/>
      <w:r>
        <w:rPr>
          <w:rFonts w:hint="eastAsia" w:hAnsi="宋体" w:cs="宋体"/>
          <w:b/>
          <w:color w:val="auto"/>
          <w:kern w:val="0"/>
          <w:sz w:val="36"/>
          <w:szCs w:val="24"/>
          <w:highlight w:val="none"/>
        </w:rPr>
        <w:t>（一）中小企业声明函</w:t>
      </w:r>
    </w:p>
    <w:p w14:paraId="7D6F41FF">
      <w:pPr>
        <w:snapToGrid w:val="0"/>
        <w:spacing w:line="360" w:lineRule="auto"/>
        <w:jc w:val="center"/>
        <w:rPr>
          <w:rFonts w:ascii="宋体" w:hAnsi="宋体" w:cs="宋体"/>
          <w:b/>
          <w:color w:val="auto"/>
          <w:kern w:val="0"/>
          <w:sz w:val="28"/>
          <w:szCs w:val="28"/>
          <w:highlight w:val="none"/>
          <w:lang w:val="zh-CN"/>
        </w:rPr>
      </w:pPr>
      <w:r>
        <w:rPr>
          <w:rFonts w:hint="eastAsia" w:ascii="宋体" w:hAnsi="宋体" w:cs="宋体"/>
          <w:b/>
          <w:color w:val="auto"/>
          <w:kern w:val="0"/>
          <w:sz w:val="28"/>
          <w:szCs w:val="28"/>
          <w:highlight w:val="none"/>
        </w:rPr>
        <w:t>（如不符合请填“无”）</w:t>
      </w:r>
    </w:p>
    <w:p w14:paraId="710F964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本公司（联合体）郑重声明，根据《政府采购促进中小企业发展管理办法》（财库﹝2020﹞46号）的规定，本公司（联合体）参加</w:t>
      </w:r>
      <w:r>
        <w:rPr>
          <w:rFonts w:hint="eastAsia" w:ascii="宋体" w:hAnsi="宋体" w:cs="宋体"/>
          <w:color w:val="auto"/>
          <w:kern w:val="0"/>
          <w:sz w:val="24"/>
          <w:highlight w:val="none"/>
          <w:u w:val="single"/>
        </w:rPr>
        <w:t>（单位名称）</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（项目名称）</w:t>
      </w:r>
      <w:r>
        <w:rPr>
          <w:rFonts w:hint="eastAsia" w:ascii="宋体" w:hAnsi="宋体" w:cs="宋体"/>
          <w:color w:val="auto"/>
          <w:kern w:val="0"/>
          <w:sz w:val="24"/>
          <w:highlight w:val="none"/>
        </w:rPr>
        <w:t>采购活动，提供的货物全部由符合政策要求的中小企业制造。相关企业（含联合体中的中小企业、签订分包意向协议的中小企业）的具体情况如下：</w:t>
      </w:r>
    </w:p>
    <w:p w14:paraId="1087D5B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1.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（（工业（包括采矿业，制造业，电力、热力、燃气及水生产和供应业））行业</w:t>
      </w:r>
      <w:r>
        <w:rPr>
          <w:rFonts w:hint="eastAsia" w:ascii="宋体" w:hAnsi="宋体" w:cs="宋体"/>
          <w:color w:val="auto"/>
          <w:kern w:val="0"/>
          <w:sz w:val="24"/>
          <w:highlight w:val="none"/>
        </w:rPr>
        <w:t>；制造商为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，从业人员人，营业收入为万元，资产总额为_</w:t>
      </w:r>
      <w:r>
        <w:rPr>
          <w:rFonts w:ascii="宋体" w:hAnsi="宋体" w:cs="宋体"/>
          <w:color w:val="auto"/>
          <w:kern w:val="0"/>
          <w:sz w:val="24"/>
          <w:highlight w:val="none"/>
        </w:rPr>
        <w:t>___</w:t>
      </w:r>
      <w:r>
        <w:rPr>
          <w:rFonts w:hint="eastAsia" w:ascii="宋体" w:hAnsi="宋体" w:cs="宋体"/>
          <w:color w:val="auto"/>
          <w:kern w:val="0"/>
          <w:sz w:val="24"/>
          <w:highlight w:val="none"/>
        </w:rPr>
        <w:t>万元</w:t>
      </w:r>
      <w:r>
        <w:rPr>
          <w:rFonts w:hint="eastAsia" w:ascii="宋体" w:hAnsi="宋体" w:cs="宋体"/>
          <w:color w:val="auto"/>
          <w:kern w:val="0"/>
          <w:sz w:val="24"/>
          <w:highlight w:val="none"/>
          <w:vertAlign w:val="superscript"/>
        </w:rPr>
        <w:t xml:space="preserve"> 1</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64D0D3BF">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2.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（采购文件中明确的所属行业）行业</w:t>
      </w:r>
      <w:r>
        <w:rPr>
          <w:rFonts w:hint="eastAsia" w:ascii="宋体" w:hAnsi="宋体" w:cs="宋体"/>
          <w:color w:val="auto"/>
          <w:kern w:val="0"/>
          <w:sz w:val="24"/>
          <w:highlight w:val="none"/>
        </w:rPr>
        <w:t>；制造商为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，从业人员人，营业收入为)</w:t>
      </w:r>
      <w:r>
        <w:rPr>
          <w:rFonts w:ascii="宋体" w:hAnsi="宋体" w:cs="宋体"/>
          <w:color w:val="auto"/>
          <w:kern w:val="0"/>
          <w:sz w:val="24"/>
          <w:highlight w:val="none"/>
        </w:rPr>
        <w:t>____</w:t>
      </w:r>
      <w:r>
        <w:rPr>
          <w:rFonts w:hint="eastAsia" w:ascii="宋体" w:hAnsi="宋体" w:cs="宋体"/>
          <w:color w:val="auto"/>
          <w:kern w:val="0"/>
          <w:sz w:val="24"/>
          <w:highlight w:val="none"/>
        </w:rPr>
        <w:t>万元，资产总额为万元，属于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5FD7521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097707E1">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14:paraId="1421BD2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本企业对上述声明内容的真实性负责。如有虚假，将依法承担相应责任。</w:t>
      </w:r>
    </w:p>
    <w:p w14:paraId="69C969D4">
      <w:pPr>
        <w:tabs>
          <w:tab w:val="left" w:pos="4860"/>
        </w:tabs>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                企业名称（盖章）：</w:t>
      </w:r>
      <w:r>
        <w:rPr>
          <w:rFonts w:hint="eastAsia" w:ascii="宋体" w:hAnsi="宋体" w:cs="宋体"/>
          <w:color w:val="auto"/>
          <w:kern w:val="0"/>
          <w:sz w:val="24"/>
          <w:highlight w:val="none"/>
          <w:u w:val="single"/>
        </w:rPr>
        <w:t xml:space="preserve">          </w:t>
      </w:r>
    </w:p>
    <w:p w14:paraId="726AF125">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 xml:space="preserve">                          日  期：</w:t>
      </w:r>
      <w:r>
        <w:rPr>
          <w:rFonts w:hint="eastAsia" w:ascii="宋体" w:hAnsi="宋体" w:cs="宋体"/>
          <w:color w:val="auto"/>
          <w:kern w:val="0"/>
          <w:sz w:val="24"/>
          <w:highlight w:val="none"/>
          <w:u w:val="single"/>
        </w:rPr>
        <w:t xml:space="preserve">          </w:t>
      </w:r>
    </w:p>
    <w:p w14:paraId="51D3F20F">
      <w:pPr>
        <w:snapToGrid w:val="0"/>
        <w:spacing w:line="360" w:lineRule="auto"/>
        <w:ind w:firstLine="482"/>
        <w:rPr>
          <w:rFonts w:ascii="宋体" w:hAnsi="宋体" w:cs="宋体"/>
          <w:b/>
          <w:bCs/>
          <w:color w:val="auto"/>
          <w:kern w:val="0"/>
          <w:sz w:val="24"/>
          <w:highlight w:val="none"/>
        </w:rPr>
      </w:pPr>
    </w:p>
    <w:p w14:paraId="6EBA61C4">
      <w:pPr>
        <w:snapToGrid w:val="0"/>
        <w:spacing w:line="360" w:lineRule="auto"/>
        <w:ind w:firstLine="482"/>
        <w:rPr>
          <w:rFonts w:ascii="宋体" w:hAnsi="宋体" w:cs="宋体"/>
          <w:bCs/>
          <w:color w:val="auto"/>
          <w:kern w:val="0"/>
          <w:sz w:val="24"/>
          <w:highlight w:val="none"/>
        </w:rPr>
      </w:pPr>
      <w:r>
        <w:rPr>
          <w:rFonts w:hint="eastAsia" w:ascii="宋体" w:hAnsi="宋体" w:cs="宋体"/>
          <w:b/>
          <w:color w:val="auto"/>
          <w:kern w:val="0"/>
          <w:sz w:val="24"/>
          <w:highlight w:val="none"/>
        </w:rPr>
        <w:t>注：</w:t>
      </w:r>
      <w:r>
        <w:rPr>
          <w:rFonts w:ascii="宋体" w:hAnsi="宋体" w:cs="宋体"/>
          <w:bCs/>
          <w:color w:val="auto"/>
          <w:kern w:val="0"/>
          <w:sz w:val="24"/>
          <w:highlight w:val="none"/>
        </w:rPr>
        <w:t>1、</w:t>
      </w:r>
      <w:r>
        <w:rPr>
          <w:rFonts w:hint="eastAsia" w:ascii="宋体" w:hAnsi="宋体" w:cs="宋体"/>
          <w:bCs/>
          <w:color w:val="auto"/>
          <w:kern w:val="0"/>
          <w:sz w:val="24"/>
          <w:highlight w:val="none"/>
        </w:rPr>
        <w:t>从业人员、营业收入、资产总额填报上一年度数据，无上一年度数据的新成立企业可不填报。</w:t>
      </w:r>
    </w:p>
    <w:p w14:paraId="2B9EEDA6">
      <w:pPr>
        <w:pStyle w:val="99"/>
        <w:ind w:firstLine="480"/>
        <w:rPr>
          <w:rFonts w:ascii="宋体" w:hAnsi="宋体" w:cs="宋体"/>
          <w:bCs/>
          <w:color w:val="auto"/>
          <w:kern w:val="0"/>
          <w:highlight w:val="none"/>
        </w:rPr>
      </w:pPr>
      <w:bookmarkStart w:id="150" w:name="_Hlk113183088"/>
      <w:r>
        <w:rPr>
          <w:rFonts w:ascii="宋体" w:hAnsi="宋体" w:cs="宋体"/>
          <w:bCs/>
          <w:color w:val="auto"/>
          <w:kern w:val="0"/>
          <w:highlight w:val="none"/>
        </w:rPr>
        <w:t>2</w:t>
      </w:r>
      <w:r>
        <w:rPr>
          <w:rFonts w:hint="eastAsia" w:ascii="宋体" w:hAnsi="宋体" w:cs="宋体"/>
          <w:bCs/>
          <w:color w:val="auto"/>
          <w:kern w:val="0"/>
          <w:highlight w:val="none"/>
        </w:rPr>
        <w:t>、中标人为中小企业的，其《中小企业声明函》将在中标公告中公告，接受社会监督。</w:t>
      </w:r>
    </w:p>
    <w:p w14:paraId="2CBCD656">
      <w:pPr>
        <w:pStyle w:val="99"/>
        <w:ind w:firstLine="480"/>
        <w:rPr>
          <w:rFonts w:ascii="宋体" w:hAnsi="宋体" w:cs="宋体"/>
          <w:bCs/>
          <w:color w:val="auto"/>
          <w:kern w:val="0"/>
          <w:highlight w:val="none"/>
        </w:rPr>
      </w:pPr>
      <w:r>
        <w:rPr>
          <w:rFonts w:ascii="宋体" w:hAnsi="宋体" w:cs="宋体"/>
          <w:bCs/>
          <w:color w:val="auto"/>
          <w:kern w:val="0"/>
          <w:highlight w:val="none"/>
        </w:rPr>
        <w:t>3</w:t>
      </w:r>
      <w:r>
        <w:rPr>
          <w:rFonts w:hint="eastAsia" w:ascii="宋体" w:hAnsi="宋体" w:cs="宋体"/>
          <w:bCs/>
          <w:color w:val="auto"/>
          <w:kern w:val="0"/>
          <w:highlight w:val="none"/>
        </w:rPr>
        <w:t>、投标人提供的《中小企业声明函》与事实不符的，依照《政府采购法》第七十七条第一款的规定，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1F55042">
      <w:pPr>
        <w:pStyle w:val="99"/>
        <w:ind w:firstLine="480"/>
        <w:rPr>
          <w:rFonts w:ascii="宋体" w:hAnsi="宋体" w:cs="宋体"/>
          <w:bCs/>
          <w:color w:val="auto"/>
          <w:kern w:val="0"/>
          <w:highlight w:val="none"/>
        </w:rPr>
      </w:pPr>
      <w:r>
        <w:rPr>
          <w:rFonts w:ascii="宋体" w:hAnsi="宋体" w:cs="宋体"/>
          <w:bCs/>
          <w:color w:val="auto"/>
          <w:kern w:val="0"/>
          <w:highlight w:val="none"/>
        </w:rPr>
        <w:t>4</w:t>
      </w:r>
      <w:r>
        <w:rPr>
          <w:rFonts w:hint="eastAsia" w:ascii="宋体" w:hAnsi="宋体" w:cs="宋体"/>
          <w:bCs/>
          <w:color w:val="auto"/>
          <w:kern w:val="0"/>
          <w:highlight w:val="none"/>
        </w:rPr>
        <w:t>、供应商应当按照采购文件中明确的采购标的对应行业出具中小企业声明函，供应商应当对照采购标的对应行业划型标准，判断自己是否属于中小企业，符合条件的，出具中小企业声明函。</w:t>
      </w:r>
    </w:p>
    <w:p w14:paraId="0111CE82">
      <w:pPr>
        <w:pStyle w:val="99"/>
        <w:ind w:firstLine="480"/>
        <w:rPr>
          <w:rFonts w:ascii="宋体" w:hAnsi="宋体" w:cs="宋体"/>
          <w:bCs/>
          <w:color w:val="auto"/>
          <w:kern w:val="0"/>
          <w:highlight w:val="none"/>
        </w:rPr>
      </w:pPr>
      <w:r>
        <w:rPr>
          <w:rFonts w:hint="eastAsia" w:ascii="宋体" w:hAnsi="宋体" w:cs="宋体"/>
          <w:bCs/>
          <w:color w:val="auto"/>
          <w:kern w:val="0"/>
          <w:highlight w:val="none"/>
        </w:rPr>
        <w:t>5、货物代理商参加货物政府采购活动的，应按照中小企业声明函格式要求填写制造商的相关企业指标数据。而货物制造商、服务和工程供应商应按照相应的中小企业声明函格式填写企业自身的相关指标数据。其中涉及多个标的物的，分别填写相关企业指标数据。</w:t>
      </w:r>
    </w:p>
    <w:p w14:paraId="7B1A8D72">
      <w:pPr>
        <w:pStyle w:val="99"/>
        <w:ind w:firstLine="480"/>
        <w:rPr>
          <w:rFonts w:ascii="宋体" w:hAnsi="宋体" w:cs="宋体"/>
          <w:bCs/>
          <w:color w:val="auto"/>
          <w:kern w:val="0"/>
          <w:highlight w:val="none"/>
        </w:rPr>
      </w:pPr>
      <w:r>
        <w:rPr>
          <w:rFonts w:hint="eastAsia" w:ascii="宋体" w:hAnsi="宋体" w:cs="宋体"/>
          <w:bCs/>
          <w:color w:val="auto"/>
          <w:kern w:val="0"/>
          <w:highlight w:val="none"/>
        </w:rPr>
        <w:t>6、根据《政府采购促进中小企业发展管理办法》，在货物采购项目中，供应商提供的货物既有中小企业制造货物，也有大型企业制造货物的，不享受办法规定的中小企业扶持政策。</w:t>
      </w:r>
    </w:p>
    <w:bookmarkEnd w:id="150"/>
    <w:p w14:paraId="16E4B927">
      <w:pPr>
        <w:tabs>
          <w:tab w:val="left" w:pos="1800"/>
          <w:tab w:val="center" w:pos="4156"/>
        </w:tabs>
        <w:snapToGrid w:val="0"/>
        <w:spacing w:line="360" w:lineRule="auto"/>
        <w:ind w:firstLine="723"/>
        <w:jc w:val="center"/>
        <w:rPr>
          <w:rFonts w:ascii="宋体" w:hAnsi="宋体" w:cs="宋体"/>
          <w:b/>
          <w:color w:val="auto"/>
          <w:kern w:val="0"/>
          <w:sz w:val="36"/>
          <w:highlight w:val="none"/>
          <w:lang w:val="zh-CN"/>
        </w:rPr>
      </w:pPr>
    </w:p>
    <w:p w14:paraId="57046F77">
      <w:pPr>
        <w:widowControl/>
        <w:jc w:val="left"/>
        <w:rPr>
          <w:rFonts w:ascii="宋体" w:hAnsi="宋体" w:cs="宋体"/>
          <w:b/>
          <w:color w:val="auto"/>
          <w:kern w:val="0"/>
          <w:sz w:val="36"/>
          <w:highlight w:val="none"/>
          <w:lang w:val="zh-CN"/>
        </w:rPr>
      </w:pPr>
      <w:r>
        <w:rPr>
          <w:rFonts w:ascii="宋体" w:hAnsi="宋体" w:cs="宋体"/>
          <w:b/>
          <w:color w:val="auto"/>
          <w:kern w:val="0"/>
          <w:sz w:val="36"/>
          <w:highlight w:val="none"/>
          <w:lang w:val="zh-CN"/>
        </w:rPr>
        <w:br w:type="page"/>
      </w:r>
    </w:p>
    <w:p w14:paraId="4FF4FF3A">
      <w:pPr>
        <w:pStyle w:val="45"/>
        <w:snapToGrid w:val="0"/>
        <w:spacing w:line="360" w:lineRule="auto"/>
        <w:jc w:val="center"/>
        <w:rPr>
          <w:rFonts w:hAnsi="宋体" w:cs="宋体"/>
          <w:b/>
          <w:color w:val="auto"/>
          <w:kern w:val="0"/>
          <w:sz w:val="36"/>
          <w:szCs w:val="24"/>
          <w:highlight w:val="none"/>
        </w:rPr>
      </w:pPr>
      <w:r>
        <w:rPr>
          <w:rFonts w:hint="eastAsia" w:hAnsi="宋体" w:cs="宋体"/>
          <w:b/>
          <w:color w:val="auto"/>
          <w:kern w:val="0"/>
          <w:sz w:val="36"/>
          <w:szCs w:val="24"/>
          <w:highlight w:val="none"/>
        </w:rPr>
        <w:t>（二）监狱企业证明文件</w:t>
      </w:r>
    </w:p>
    <w:p w14:paraId="1F0680C2">
      <w:pPr>
        <w:adjustRightInd w:val="0"/>
        <w:snapToGrid w:val="0"/>
        <w:spacing w:line="360" w:lineRule="auto"/>
        <w:ind w:firstLine="240" w:firstLineChars="100"/>
        <w:jc w:val="center"/>
        <w:rPr>
          <w:rFonts w:ascii="宋体" w:hAnsi="宋体" w:cs="宋体"/>
          <w:color w:val="auto"/>
          <w:kern w:val="0"/>
          <w:sz w:val="28"/>
          <w:szCs w:val="28"/>
          <w:highlight w:val="none"/>
        </w:rPr>
      </w:pPr>
      <w:r>
        <w:rPr>
          <w:rFonts w:hint="eastAsia" w:ascii="宋体" w:hAnsi="宋体" w:cs="宋体"/>
          <w:color w:val="auto"/>
          <w:kern w:val="0"/>
          <w:sz w:val="24"/>
          <w:highlight w:val="none"/>
        </w:rPr>
        <w:t>（由省级以上监狱管理局、戒毒管理局（含新疆生产建设兵团）出具的属于监狱企业的证明文件复印件加盖公章）</w:t>
      </w:r>
    </w:p>
    <w:p w14:paraId="50A67916">
      <w:pPr>
        <w:pStyle w:val="45"/>
        <w:snapToGrid w:val="0"/>
        <w:spacing w:line="360" w:lineRule="auto"/>
        <w:jc w:val="center"/>
        <w:rPr>
          <w:rFonts w:hAnsi="宋体" w:cs="宋体"/>
          <w:b/>
          <w:color w:val="auto"/>
          <w:kern w:val="0"/>
          <w:sz w:val="36"/>
          <w:szCs w:val="24"/>
          <w:highlight w:val="none"/>
        </w:rPr>
      </w:pPr>
      <w:r>
        <w:rPr>
          <w:rFonts w:hint="eastAsia" w:hAnsi="宋体" w:cs="宋体"/>
          <w:b/>
          <w:color w:val="auto"/>
          <w:kern w:val="0"/>
          <w:sz w:val="36"/>
          <w:highlight w:val="none"/>
          <w:lang w:val="zh-CN"/>
        </w:rPr>
        <w:br w:type="page"/>
      </w:r>
      <w:r>
        <w:rPr>
          <w:rFonts w:hint="eastAsia" w:hAnsi="宋体" w:cs="宋体"/>
          <w:b/>
          <w:color w:val="auto"/>
          <w:kern w:val="0"/>
          <w:sz w:val="36"/>
          <w:szCs w:val="24"/>
          <w:highlight w:val="none"/>
        </w:rPr>
        <w:t>（三）残疾人福利性单位声明函</w:t>
      </w:r>
      <w:bookmarkEnd w:id="146"/>
      <w:bookmarkEnd w:id="147"/>
      <w:bookmarkEnd w:id="148"/>
      <w:bookmarkEnd w:id="149"/>
    </w:p>
    <w:p w14:paraId="45555E05">
      <w:pPr>
        <w:snapToGrid w:val="0"/>
        <w:spacing w:line="360" w:lineRule="auto"/>
        <w:ind w:firstLine="723"/>
        <w:jc w:val="center"/>
        <w:rPr>
          <w:rFonts w:ascii="宋体" w:hAnsi="宋体" w:cs="宋体"/>
          <w:b/>
          <w:color w:val="auto"/>
          <w:kern w:val="0"/>
          <w:sz w:val="36"/>
          <w:highlight w:val="none"/>
          <w:lang w:val="zh-CN"/>
        </w:rPr>
      </w:pPr>
    </w:p>
    <w:p w14:paraId="7F14F82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D112E8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本单位对上述声明的真实性负责。如有虚假，将依法承担相应责任。</w:t>
      </w:r>
    </w:p>
    <w:p w14:paraId="4B1A649A">
      <w:pPr>
        <w:snapToGrid w:val="0"/>
        <w:spacing w:line="360" w:lineRule="auto"/>
        <w:ind w:firstLine="480"/>
        <w:rPr>
          <w:rFonts w:ascii="宋体" w:hAnsi="宋体" w:cs="宋体"/>
          <w:color w:val="auto"/>
          <w:kern w:val="0"/>
          <w:sz w:val="24"/>
          <w:highlight w:val="none"/>
        </w:rPr>
      </w:pPr>
    </w:p>
    <w:p w14:paraId="04BDD6F9">
      <w:pPr>
        <w:snapToGrid w:val="0"/>
        <w:spacing w:line="360" w:lineRule="auto"/>
        <w:ind w:firstLine="480"/>
        <w:rPr>
          <w:rFonts w:ascii="宋体" w:hAnsi="宋体" w:cs="宋体"/>
          <w:color w:val="auto"/>
          <w:kern w:val="0"/>
          <w:sz w:val="24"/>
          <w:highlight w:val="none"/>
        </w:rPr>
      </w:pPr>
    </w:p>
    <w:p w14:paraId="74F0B508">
      <w:pPr>
        <w:snapToGrid w:val="0"/>
        <w:spacing w:line="360" w:lineRule="auto"/>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单位名称（盖章）：</w:t>
      </w:r>
    </w:p>
    <w:p w14:paraId="56E84FBE">
      <w:pPr>
        <w:snapToGrid w:val="0"/>
        <w:spacing w:line="360" w:lineRule="auto"/>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日期：</w:t>
      </w:r>
    </w:p>
    <w:p w14:paraId="270B010B">
      <w:pPr>
        <w:snapToGrid w:val="0"/>
        <w:spacing w:line="360" w:lineRule="auto"/>
        <w:ind w:firstLine="480"/>
        <w:rPr>
          <w:rFonts w:ascii="宋体" w:hAnsi="宋体" w:cs="宋体"/>
          <w:color w:val="auto"/>
          <w:kern w:val="0"/>
          <w:sz w:val="24"/>
          <w:highlight w:val="none"/>
        </w:rPr>
      </w:pPr>
    </w:p>
    <w:p w14:paraId="14B2C543">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注：1.中标、成交投标人为残疾人福利性单位且评审中享受了残疾人福利性单位相关政府采购支持政策的，其《残疾人福利性单位声明函》将在中标、中选公示中公告，接受社会监督。</w:t>
      </w:r>
    </w:p>
    <w:p w14:paraId="5D6558CE">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投标人提供的《残疾人福利性单位声明函》与事实不符的，依照《政府采购法》第七十七条第一款的规定，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5468E8">
      <w:pPr>
        <w:widowControl/>
        <w:jc w:val="left"/>
        <w:rPr>
          <w:rFonts w:ascii="宋体" w:hAnsi="宋体" w:cs="宋体"/>
          <w:color w:val="auto"/>
          <w:kern w:val="0"/>
          <w:sz w:val="24"/>
          <w:highlight w:val="none"/>
        </w:rPr>
      </w:pPr>
      <w:r>
        <w:rPr>
          <w:rFonts w:ascii="宋体" w:hAnsi="宋体" w:cs="宋体"/>
          <w:color w:val="auto"/>
          <w:kern w:val="0"/>
          <w:sz w:val="24"/>
          <w:highlight w:val="none"/>
        </w:rPr>
        <w:br w:type="page"/>
      </w:r>
    </w:p>
    <w:p w14:paraId="7628D136">
      <w:pPr>
        <w:pStyle w:val="45"/>
        <w:snapToGrid w:val="0"/>
        <w:spacing w:line="360" w:lineRule="auto"/>
        <w:jc w:val="center"/>
        <w:outlineLvl w:val="1"/>
        <w:rPr>
          <w:rFonts w:hint="eastAsia" w:hAnsi="宋体" w:cs="宋体"/>
          <w:b/>
          <w:color w:val="auto"/>
          <w:kern w:val="0"/>
          <w:sz w:val="36"/>
          <w:szCs w:val="24"/>
          <w:highlight w:val="none"/>
        </w:rPr>
        <w:sectPr>
          <w:headerReference r:id="rId14" w:type="first"/>
          <w:headerReference r:id="rId13" w:type="default"/>
          <w:pgSz w:w="11905" w:h="16838"/>
          <w:pgMar w:top="1984" w:right="1417" w:bottom="1417" w:left="1417" w:header="1417" w:footer="850" w:gutter="0"/>
          <w:cols w:space="720" w:num="1"/>
          <w:titlePg/>
          <w:docGrid w:linePitch="312" w:charSpace="0"/>
        </w:sectPr>
      </w:pPr>
      <w:bookmarkStart w:id="151" w:name="_Toc24072_WPSOffice_Level1"/>
      <w:bookmarkStart w:id="152" w:name="_Toc6724_WPSOffice_Level1"/>
    </w:p>
    <w:p w14:paraId="2BC6D4AD">
      <w:pPr>
        <w:jc w:val="center"/>
        <w:rPr>
          <w:rFonts w:hint="eastAsia" w:ascii="宋体" w:hAnsi="宋体" w:eastAsia="宋体" w:cs="宋体"/>
          <w:b/>
          <w:color w:val="auto"/>
          <w:kern w:val="0"/>
          <w:sz w:val="36"/>
          <w:szCs w:val="24"/>
          <w:highlight w:val="none"/>
          <w:lang w:val="en-US" w:eastAsia="zh-CN" w:bidi="ar-SA"/>
        </w:rPr>
      </w:pPr>
      <w:r>
        <w:rPr>
          <w:rFonts w:hint="eastAsia" w:ascii="宋体" w:hAnsi="宋体" w:cs="宋体"/>
          <w:b/>
          <w:color w:val="auto"/>
          <w:kern w:val="0"/>
          <w:sz w:val="36"/>
          <w:szCs w:val="24"/>
          <w:highlight w:val="none"/>
          <w:lang w:val="en-US" w:eastAsia="zh-CN" w:bidi="ar-SA"/>
        </w:rPr>
        <w:t>十</w:t>
      </w:r>
      <w:r>
        <w:rPr>
          <w:rFonts w:hint="eastAsia" w:ascii="宋体" w:hAnsi="宋体" w:eastAsia="宋体" w:cs="宋体"/>
          <w:b/>
          <w:color w:val="auto"/>
          <w:kern w:val="0"/>
          <w:sz w:val="36"/>
          <w:szCs w:val="24"/>
          <w:highlight w:val="none"/>
          <w:lang w:val="en-US" w:eastAsia="zh-CN" w:bidi="ar-SA"/>
        </w:rPr>
        <w:t>. 关于符合本国产品标准的声明函</w:t>
      </w:r>
    </w:p>
    <w:p w14:paraId="068691BC">
      <w:pPr>
        <w:spacing w:line="560" w:lineRule="exact"/>
        <w:ind w:firstLine="480" w:firstLineChars="200"/>
        <w:rPr>
          <w:rFonts w:ascii="宋体" w:cs="仿宋_GB2312"/>
          <w:color w:val="auto"/>
          <w:sz w:val="24"/>
          <w:highlight w:val="none"/>
        </w:rPr>
      </w:pPr>
    </w:p>
    <w:p w14:paraId="6A32962A">
      <w:pPr>
        <w:spacing w:line="560" w:lineRule="exact"/>
        <w:ind w:firstLine="480" w:firstLineChars="200"/>
        <w:rPr>
          <w:rFonts w:hint="eastAsia" w:ascii="宋体" w:cs="仿宋_GB2312"/>
          <w:color w:val="auto"/>
          <w:sz w:val="24"/>
          <w:highlight w:val="none"/>
        </w:rPr>
      </w:pPr>
      <w:r>
        <w:rPr>
          <w:rFonts w:hint="eastAsia" w:ascii="宋体" w:cs="仿宋_GB2312"/>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F4B9A49">
      <w:pPr>
        <w:spacing w:line="560" w:lineRule="exact"/>
        <w:ind w:firstLine="480" w:firstLineChars="200"/>
        <w:rPr>
          <w:rFonts w:hint="eastAsia" w:ascii="宋体" w:cs="仿宋_GB2312"/>
          <w:color w:val="auto"/>
          <w:sz w:val="24"/>
          <w:highlight w:val="none"/>
        </w:rPr>
      </w:pPr>
      <w:r>
        <w:rPr>
          <w:rFonts w:hint="eastAsia" w:ascii="宋体" w:cs="仿宋_GB2312"/>
          <w:color w:val="auto"/>
          <w:sz w:val="24"/>
          <w:highlight w:val="none"/>
        </w:rPr>
        <w:t>1.</w:t>
      </w:r>
      <w:r>
        <w:rPr>
          <w:rFonts w:hint="eastAsia" w:ascii="宋体" w:cs="仿宋_GB2312"/>
          <w:color w:val="auto"/>
          <w:sz w:val="24"/>
          <w:highlight w:val="none"/>
          <w:u w:val="single"/>
        </w:rPr>
        <w:t>（产品名称1）</w:t>
      </w:r>
      <w:r>
        <w:rPr>
          <w:rFonts w:hint="eastAsia" w:ascii="宋体" w:cs="仿宋_GB2312"/>
          <w:color w:val="auto"/>
          <w:sz w:val="24"/>
          <w:highlight w:val="none"/>
        </w:rPr>
        <w:t>1，生产厂为</w:t>
      </w:r>
      <w:r>
        <w:rPr>
          <w:rFonts w:hint="eastAsia" w:ascii="宋体" w:cs="仿宋_GB2312"/>
          <w:color w:val="auto"/>
          <w:sz w:val="24"/>
          <w:highlight w:val="none"/>
          <w:u w:val="single"/>
        </w:rPr>
        <w:t>（厂名）</w:t>
      </w:r>
      <w:r>
        <w:rPr>
          <w:rFonts w:hint="eastAsia" w:ascii="宋体" w:cs="仿宋_GB2312"/>
          <w:color w:val="auto"/>
          <w:sz w:val="24"/>
          <w:highlight w:val="none"/>
        </w:rPr>
        <w:t>2，厂址为</w:t>
      </w:r>
      <w:r>
        <w:rPr>
          <w:rFonts w:hint="eastAsia" w:ascii="宋体" w:cs="仿宋_GB2312"/>
          <w:color w:val="auto"/>
          <w:sz w:val="24"/>
          <w:highlight w:val="none"/>
          <w:u w:val="single"/>
        </w:rPr>
        <w:t>（生产厂址）</w:t>
      </w:r>
      <w:r>
        <w:rPr>
          <w:rFonts w:hint="eastAsia" w:ascii="宋体" w:cs="仿宋_GB2312"/>
          <w:color w:val="auto"/>
          <w:sz w:val="24"/>
          <w:highlight w:val="none"/>
        </w:rPr>
        <w:t>。</w:t>
      </w:r>
      <w:r>
        <w:rPr>
          <w:rFonts w:hint="eastAsia" w:ascii="宋体" w:cs="仿宋_GB2312"/>
          <w:color w:val="auto"/>
          <w:sz w:val="24"/>
          <w:highlight w:val="none"/>
          <w:u w:val="single"/>
        </w:rPr>
        <w:t>（产品名称1）</w:t>
      </w:r>
      <w:r>
        <w:rPr>
          <w:rFonts w:hint="eastAsia" w:ascii="宋体" w:cs="仿宋_GB2312"/>
          <w:color w:val="auto"/>
          <w:sz w:val="24"/>
          <w:highlight w:val="none"/>
        </w:rPr>
        <w:t>的中国境内生产的组件成本占比≥</w:t>
      </w:r>
      <w:r>
        <w:rPr>
          <w:rFonts w:hint="eastAsia" w:ascii="宋体" w:cs="仿宋_GB2312"/>
          <w:color w:val="auto"/>
          <w:sz w:val="24"/>
          <w:highlight w:val="none"/>
          <w:u w:val="single"/>
        </w:rPr>
        <w:t>（规定比例）</w:t>
      </w:r>
      <w:r>
        <w:rPr>
          <w:rFonts w:hint="eastAsia" w:ascii="宋体" w:cs="仿宋_GB2312"/>
          <w:color w:val="auto"/>
          <w:sz w:val="24"/>
          <w:highlight w:val="none"/>
        </w:rPr>
        <w:t>3。</w:t>
      </w:r>
      <w:r>
        <w:rPr>
          <w:rFonts w:hint="eastAsia" w:ascii="宋体" w:cs="仿宋_GB2312"/>
          <w:color w:val="auto"/>
          <w:sz w:val="24"/>
          <w:highlight w:val="none"/>
          <w:u w:val="single"/>
        </w:rPr>
        <w:t>（产品名称1）</w:t>
      </w:r>
      <w:r>
        <w:rPr>
          <w:rFonts w:hint="eastAsia" w:ascii="宋体" w:cs="仿宋_GB2312"/>
          <w:color w:val="auto"/>
          <w:sz w:val="24"/>
          <w:highlight w:val="none"/>
        </w:rPr>
        <w:t>的</w:t>
      </w:r>
      <w:r>
        <w:rPr>
          <w:rFonts w:hint="eastAsia" w:ascii="宋体" w:cs="仿宋_GB2312"/>
          <w:color w:val="auto"/>
          <w:sz w:val="24"/>
          <w:highlight w:val="none"/>
          <w:u w:val="single"/>
        </w:rPr>
        <w:t>（关键组件）</w:t>
      </w:r>
      <w:r>
        <w:rPr>
          <w:rFonts w:hint="eastAsia" w:ascii="宋体" w:cs="仿宋_GB2312"/>
          <w:color w:val="auto"/>
          <w:sz w:val="24"/>
          <w:highlight w:val="none"/>
        </w:rPr>
        <w:t>4在中国境内生产。</w:t>
      </w:r>
      <w:r>
        <w:rPr>
          <w:rFonts w:hint="eastAsia" w:ascii="宋体" w:cs="仿宋_GB2312"/>
          <w:color w:val="auto"/>
          <w:sz w:val="24"/>
          <w:highlight w:val="none"/>
          <w:u w:val="single"/>
        </w:rPr>
        <w:t>（产品名称1）</w:t>
      </w:r>
      <w:r>
        <w:rPr>
          <w:rFonts w:hint="eastAsia" w:ascii="宋体" w:cs="仿宋_GB2312"/>
          <w:color w:val="auto"/>
          <w:sz w:val="24"/>
          <w:highlight w:val="none"/>
        </w:rPr>
        <w:t>的</w:t>
      </w:r>
      <w:r>
        <w:rPr>
          <w:rFonts w:hint="eastAsia" w:ascii="宋体" w:cs="仿宋_GB2312"/>
          <w:color w:val="auto"/>
          <w:sz w:val="24"/>
          <w:highlight w:val="none"/>
          <w:u w:val="single"/>
        </w:rPr>
        <w:t>（关键工序）</w:t>
      </w:r>
      <w:r>
        <w:rPr>
          <w:rFonts w:hint="eastAsia" w:ascii="宋体" w:cs="仿宋_GB2312"/>
          <w:color w:val="auto"/>
          <w:sz w:val="24"/>
          <w:highlight w:val="none"/>
        </w:rPr>
        <w:t>5在中国境内完成。</w:t>
      </w:r>
    </w:p>
    <w:p w14:paraId="09971013">
      <w:pPr>
        <w:spacing w:line="560" w:lineRule="exact"/>
        <w:ind w:firstLine="480" w:firstLineChars="200"/>
        <w:rPr>
          <w:rFonts w:hint="eastAsia" w:ascii="宋体" w:cs="仿宋_GB2312"/>
          <w:color w:val="auto"/>
          <w:sz w:val="24"/>
          <w:highlight w:val="none"/>
        </w:rPr>
      </w:pPr>
      <w:r>
        <w:rPr>
          <w:rFonts w:hint="eastAsia" w:ascii="宋体" w:cs="仿宋_GB2312"/>
          <w:color w:val="auto"/>
          <w:sz w:val="24"/>
          <w:highlight w:val="none"/>
        </w:rPr>
        <w:t>2.</w:t>
      </w:r>
      <w:r>
        <w:rPr>
          <w:rFonts w:hint="eastAsia" w:ascii="宋体" w:cs="仿宋_GB2312"/>
          <w:color w:val="auto"/>
          <w:sz w:val="24"/>
          <w:highlight w:val="none"/>
          <w:u w:val="single"/>
        </w:rPr>
        <w:t>（产品名称2）</w:t>
      </w:r>
      <w:r>
        <w:rPr>
          <w:rFonts w:hint="eastAsia" w:ascii="宋体" w:cs="仿宋_GB2312"/>
          <w:color w:val="auto"/>
          <w:sz w:val="24"/>
          <w:highlight w:val="none"/>
        </w:rPr>
        <w:t>，生产厂为</w:t>
      </w:r>
      <w:r>
        <w:rPr>
          <w:rFonts w:hint="eastAsia" w:ascii="宋体" w:cs="仿宋_GB2312"/>
          <w:color w:val="auto"/>
          <w:sz w:val="24"/>
          <w:highlight w:val="none"/>
          <w:u w:val="single"/>
        </w:rPr>
        <w:t>（厂名）</w:t>
      </w:r>
      <w:r>
        <w:rPr>
          <w:rFonts w:hint="eastAsia" w:ascii="宋体" w:cs="仿宋_GB2312"/>
          <w:color w:val="auto"/>
          <w:sz w:val="24"/>
          <w:highlight w:val="none"/>
        </w:rPr>
        <w:t>，厂址为</w:t>
      </w:r>
      <w:r>
        <w:rPr>
          <w:rFonts w:hint="eastAsia" w:ascii="宋体" w:cs="仿宋_GB2312"/>
          <w:color w:val="auto"/>
          <w:sz w:val="24"/>
          <w:highlight w:val="none"/>
          <w:u w:val="single"/>
        </w:rPr>
        <w:t>（生产厂址）</w:t>
      </w:r>
      <w:r>
        <w:rPr>
          <w:rFonts w:hint="eastAsia" w:ascii="宋体" w:cs="仿宋_GB2312"/>
          <w:color w:val="auto"/>
          <w:sz w:val="24"/>
          <w:highlight w:val="none"/>
        </w:rPr>
        <w:t>。</w:t>
      </w:r>
      <w:r>
        <w:rPr>
          <w:rFonts w:hint="eastAsia" w:ascii="宋体" w:cs="仿宋_GB2312"/>
          <w:color w:val="auto"/>
          <w:sz w:val="24"/>
          <w:highlight w:val="none"/>
          <w:u w:val="single"/>
        </w:rPr>
        <w:t>（产品名称2）</w:t>
      </w:r>
      <w:r>
        <w:rPr>
          <w:rFonts w:hint="eastAsia" w:ascii="宋体" w:cs="仿宋_GB2312"/>
          <w:color w:val="auto"/>
          <w:sz w:val="24"/>
          <w:highlight w:val="none"/>
        </w:rPr>
        <w:t>的中国境内生产的组件成本占比≥</w:t>
      </w:r>
      <w:r>
        <w:rPr>
          <w:rFonts w:hint="eastAsia" w:ascii="宋体" w:cs="仿宋_GB2312"/>
          <w:color w:val="auto"/>
          <w:sz w:val="24"/>
          <w:highlight w:val="none"/>
          <w:u w:val="single"/>
        </w:rPr>
        <w:t>（规定比例）</w:t>
      </w:r>
      <w:r>
        <w:rPr>
          <w:rFonts w:hint="eastAsia" w:ascii="宋体" w:cs="仿宋_GB2312"/>
          <w:color w:val="auto"/>
          <w:sz w:val="24"/>
          <w:highlight w:val="none"/>
        </w:rPr>
        <w:t>。</w:t>
      </w:r>
      <w:r>
        <w:rPr>
          <w:rFonts w:hint="eastAsia" w:ascii="宋体" w:cs="仿宋_GB2312"/>
          <w:color w:val="auto"/>
          <w:sz w:val="24"/>
          <w:highlight w:val="none"/>
          <w:u w:val="single"/>
        </w:rPr>
        <w:t>（产品名称2）</w:t>
      </w:r>
      <w:r>
        <w:rPr>
          <w:rFonts w:hint="eastAsia" w:ascii="宋体" w:cs="仿宋_GB2312"/>
          <w:color w:val="auto"/>
          <w:sz w:val="24"/>
          <w:highlight w:val="none"/>
        </w:rPr>
        <w:t>的</w:t>
      </w:r>
      <w:r>
        <w:rPr>
          <w:rFonts w:hint="eastAsia" w:ascii="宋体" w:cs="仿宋_GB2312"/>
          <w:color w:val="auto"/>
          <w:sz w:val="24"/>
          <w:highlight w:val="none"/>
          <w:u w:val="single"/>
        </w:rPr>
        <w:t>（关键组件）</w:t>
      </w:r>
      <w:r>
        <w:rPr>
          <w:rFonts w:hint="eastAsia" w:ascii="宋体" w:cs="仿宋_GB2312"/>
          <w:color w:val="auto"/>
          <w:sz w:val="24"/>
          <w:highlight w:val="none"/>
        </w:rPr>
        <w:t>在中国境内生产。</w:t>
      </w:r>
      <w:r>
        <w:rPr>
          <w:rFonts w:hint="eastAsia" w:ascii="宋体" w:cs="仿宋_GB2312"/>
          <w:color w:val="auto"/>
          <w:sz w:val="24"/>
          <w:highlight w:val="none"/>
          <w:u w:val="single"/>
        </w:rPr>
        <w:t>（产品名称2）</w:t>
      </w:r>
      <w:r>
        <w:rPr>
          <w:rFonts w:hint="eastAsia" w:ascii="宋体" w:cs="仿宋_GB2312"/>
          <w:color w:val="auto"/>
          <w:sz w:val="24"/>
          <w:highlight w:val="none"/>
        </w:rPr>
        <w:t>的</w:t>
      </w:r>
      <w:r>
        <w:rPr>
          <w:rFonts w:hint="eastAsia" w:ascii="宋体" w:cs="仿宋_GB2312"/>
          <w:color w:val="auto"/>
          <w:sz w:val="24"/>
          <w:highlight w:val="none"/>
          <w:u w:val="single"/>
        </w:rPr>
        <w:t>（关键工序）</w:t>
      </w:r>
      <w:r>
        <w:rPr>
          <w:rFonts w:hint="eastAsia" w:ascii="宋体" w:cs="仿宋_GB2312"/>
          <w:color w:val="auto"/>
          <w:sz w:val="24"/>
          <w:highlight w:val="none"/>
        </w:rPr>
        <w:t>在中国境内完成。</w:t>
      </w:r>
    </w:p>
    <w:p w14:paraId="5D5898F7">
      <w:pPr>
        <w:spacing w:line="560" w:lineRule="exact"/>
        <w:ind w:firstLine="480" w:firstLineChars="200"/>
        <w:rPr>
          <w:rFonts w:hint="eastAsia" w:ascii="宋体" w:cs="仿宋_GB2312"/>
          <w:color w:val="auto"/>
          <w:sz w:val="24"/>
          <w:highlight w:val="none"/>
        </w:rPr>
      </w:pPr>
      <w:r>
        <w:rPr>
          <w:rFonts w:hint="eastAsia" w:ascii="宋体" w:cs="仿宋_GB2312"/>
          <w:color w:val="auto"/>
          <w:sz w:val="24"/>
          <w:highlight w:val="none"/>
        </w:rPr>
        <w:t>……</w:t>
      </w:r>
    </w:p>
    <w:p w14:paraId="0D69D18A">
      <w:pPr>
        <w:spacing w:line="560" w:lineRule="exact"/>
        <w:ind w:firstLine="480" w:firstLineChars="200"/>
        <w:rPr>
          <w:rFonts w:hint="eastAsia" w:ascii="宋体" w:cs="仿宋_GB2312"/>
          <w:color w:val="auto"/>
          <w:sz w:val="24"/>
          <w:highlight w:val="none"/>
        </w:rPr>
      </w:pPr>
      <w:r>
        <w:rPr>
          <w:rFonts w:hint="eastAsia" w:ascii="宋体" w:cs="仿宋_GB2312"/>
          <w:color w:val="auto"/>
          <w:sz w:val="24"/>
          <w:highlight w:val="none"/>
        </w:rPr>
        <w:t>本公司（单位）对上述声明内容的真实性负责。如有虚假，愿承担相应法律责任。</w:t>
      </w:r>
    </w:p>
    <w:p w14:paraId="2C420C18">
      <w:pPr>
        <w:spacing w:line="560" w:lineRule="exact"/>
        <w:rPr>
          <w:rFonts w:hint="eastAsia" w:ascii="宋体" w:cs="仿宋_GB2312"/>
          <w:color w:val="auto"/>
          <w:sz w:val="24"/>
          <w:highlight w:val="none"/>
        </w:rPr>
      </w:pPr>
    </w:p>
    <w:p w14:paraId="7F90382D">
      <w:pPr>
        <w:spacing w:line="560" w:lineRule="exact"/>
        <w:ind w:firstLine="3360" w:firstLineChars="1400"/>
        <w:rPr>
          <w:rFonts w:hint="eastAsia" w:ascii="宋体" w:cs="仿宋_GB2312"/>
          <w:color w:val="auto"/>
          <w:sz w:val="24"/>
          <w:highlight w:val="none"/>
        </w:rPr>
      </w:pPr>
      <w:r>
        <w:rPr>
          <w:rFonts w:hint="eastAsia" w:ascii="宋体" w:cs="仿宋_GB2312"/>
          <w:color w:val="auto"/>
          <w:sz w:val="24"/>
          <w:highlight w:val="none"/>
        </w:rPr>
        <w:t>公司（单位）名称（盖章）：</w:t>
      </w:r>
    </w:p>
    <w:p w14:paraId="5FFC3169">
      <w:pPr>
        <w:spacing w:line="560" w:lineRule="exact"/>
        <w:ind w:firstLine="3120" w:firstLineChars="1300"/>
        <w:rPr>
          <w:rFonts w:hint="eastAsia" w:ascii="宋体" w:cs="仿宋_GB2312"/>
          <w:color w:val="auto"/>
          <w:sz w:val="24"/>
          <w:highlight w:val="none"/>
        </w:rPr>
      </w:pPr>
      <w:r>
        <w:rPr>
          <w:rFonts w:hint="eastAsia" w:ascii="宋体" w:cs="仿宋_GB2312"/>
          <w:color w:val="auto"/>
          <w:sz w:val="24"/>
          <w:highlight w:val="none"/>
        </w:rPr>
        <w:t>日期：     年     月    日</w:t>
      </w:r>
    </w:p>
    <w:p w14:paraId="312B0AB9">
      <w:pPr>
        <w:spacing w:line="560" w:lineRule="exact"/>
        <w:ind w:firstLine="420" w:firstLineChars="200"/>
        <w:rPr>
          <w:rFonts w:hint="eastAsia" w:ascii="宋体" w:cs="仿宋_GB2312"/>
          <w:color w:val="auto"/>
          <w:szCs w:val="21"/>
          <w:highlight w:val="none"/>
        </w:rPr>
      </w:pPr>
      <w:r>
        <w:rPr>
          <w:rFonts w:hint="eastAsia" w:ascii="宋体" w:cs="仿宋_GB2312"/>
          <w:color w:val="auto"/>
          <w:szCs w:val="21"/>
          <w:highlight w:val="none"/>
        </w:rPr>
        <w:t>__________________</w:t>
      </w:r>
    </w:p>
    <w:p w14:paraId="455F84F2">
      <w:pPr>
        <w:spacing w:line="560" w:lineRule="exact"/>
        <w:ind w:firstLine="420" w:firstLineChars="200"/>
        <w:rPr>
          <w:rFonts w:hint="eastAsia" w:ascii="宋体" w:cs="仿宋_GB2312"/>
          <w:color w:val="auto"/>
          <w:szCs w:val="21"/>
          <w:highlight w:val="none"/>
        </w:rPr>
      </w:pPr>
    </w:p>
    <w:p w14:paraId="7FBEE9DF">
      <w:pPr>
        <w:spacing w:line="360" w:lineRule="auto"/>
        <w:ind w:firstLine="420" w:firstLineChars="200"/>
        <w:rPr>
          <w:rFonts w:hint="eastAsia" w:ascii="宋体" w:cs="仿宋_GB2312"/>
          <w:color w:val="auto"/>
          <w:szCs w:val="21"/>
          <w:highlight w:val="none"/>
        </w:rPr>
      </w:pPr>
      <w:r>
        <w:rPr>
          <w:rFonts w:hint="eastAsia" w:ascii="宋体" w:cs="仿宋_GB2312"/>
          <w:color w:val="auto"/>
          <w:szCs w:val="21"/>
          <w:highlight w:val="none"/>
        </w:rPr>
        <w:t>1.产品如有型号，请在“产品名称”栏一并填写。</w:t>
      </w:r>
    </w:p>
    <w:p w14:paraId="463B41E1">
      <w:pPr>
        <w:spacing w:line="360" w:lineRule="auto"/>
        <w:ind w:firstLine="420" w:firstLineChars="200"/>
        <w:rPr>
          <w:rFonts w:hint="eastAsia" w:ascii="宋体" w:cs="仿宋_GB2312"/>
          <w:color w:val="auto"/>
          <w:szCs w:val="21"/>
          <w:highlight w:val="none"/>
        </w:rPr>
      </w:pPr>
      <w:r>
        <w:rPr>
          <w:rFonts w:hint="eastAsia" w:ascii="宋体" w:cs="仿宋_GB2312"/>
          <w:color w:val="auto"/>
          <w:szCs w:val="21"/>
          <w:highlight w:val="none"/>
        </w:rPr>
        <w:t>2.生产厂名与厂址应与生产厂营业执照载明的相关信息保持一致。</w:t>
      </w:r>
    </w:p>
    <w:p w14:paraId="6D607D8D">
      <w:pPr>
        <w:spacing w:line="360" w:lineRule="auto"/>
        <w:ind w:firstLine="420" w:firstLineChars="200"/>
        <w:rPr>
          <w:rFonts w:hint="eastAsia" w:ascii="宋体" w:cs="仿宋_GB2312"/>
          <w:color w:val="auto"/>
          <w:szCs w:val="21"/>
          <w:highlight w:val="none"/>
        </w:rPr>
      </w:pPr>
      <w:r>
        <w:rPr>
          <w:rFonts w:hint="eastAsia" w:ascii="宋体" w:cs="仿宋_GB2312"/>
          <w:color w:val="auto"/>
          <w:szCs w:val="21"/>
          <w:highlight w:val="none"/>
        </w:rPr>
        <w:t>3.该产品的中国境内生产的组件成本占比相关要求实施前，“规定比例”栏可不填，下同。</w:t>
      </w:r>
    </w:p>
    <w:p w14:paraId="458EFED0">
      <w:pPr>
        <w:spacing w:line="360" w:lineRule="auto"/>
        <w:ind w:firstLine="420" w:firstLineChars="200"/>
        <w:rPr>
          <w:rFonts w:hint="eastAsia" w:ascii="宋体" w:cs="仿宋_GB2312"/>
          <w:color w:val="auto"/>
          <w:szCs w:val="21"/>
          <w:highlight w:val="none"/>
        </w:rPr>
      </w:pPr>
      <w:r>
        <w:rPr>
          <w:rFonts w:hint="eastAsia" w:ascii="宋体" w:cs="仿宋_GB2312"/>
          <w:color w:val="auto"/>
          <w:szCs w:val="21"/>
          <w:highlight w:val="none"/>
        </w:rPr>
        <w:t>4.该产品的关键组件要求实施前，“关键组件”栏可不填，下同。</w:t>
      </w:r>
    </w:p>
    <w:p w14:paraId="42F5C88B">
      <w:pPr>
        <w:pStyle w:val="45"/>
        <w:snapToGrid w:val="0"/>
        <w:spacing w:line="360" w:lineRule="auto"/>
        <w:jc w:val="center"/>
        <w:outlineLvl w:val="1"/>
        <w:rPr>
          <w:rFonts w:hint="eastAsia" w:hAnsi="宋体" w:cs="宋体"/>
          <w:b/>
          <w:color w:val="auto"/>
          <w:kern w:val="0"/>
          <w:sz w:val="36"/>
          <w:szCs w:val="24"/>
          <w:highlight w:val="none"/>
        </w:rPr>
        <w:sectPr>
          <w:pgSz w:w="11905" w:h="16838"/>
          <w:pgMar w:top="1984" w:right="1417" w:bottom="1417" w:left="1417" w:header="1417" w:footer="850" w:gutter="0"/>
          <w:cols w:space="720" w:num="1"/>
          <w:titlePg/>
          <w:docGrid w:linePitch="312" w:charSpace="0"/>
        </w:sectPr>
      </w:pPr>
      <w:bookmarkStart w:id="153" w:name="_Toc230271094"/>
      <w:r>
        <w:rPr>
          <w:rFonts w:hint="eastAsia" w:cs="仿宋_GB2312"/>
          <w:color w:val="auto"/>
          <w:highlight w:val="none"/>
        </w:rPr>
        <w:t>5.该产品的关键工序要求实施前，“关键工序”栏可不填，下同。</w:t>
      </w:r>
      <w:bookmarkEnd w:id="153"/>
    </w:p>
    <w:p w14:paraId="0ED852EB">
      <w:pPr>
        <w:spacing w:before="120" w:line="400" w:lineRule="exact"/>
        <w:ind w:firstLine="435"/>
        <w:jc w:val="center"/>
        <w:rPr>
          <w:b/>
          <w:color w:val="auto"/>
          <w:sz w:val="36"/>
          <w:szCs w:val="36"/>
          <w:highlight w:val="none"/>
        </w:rPr>
      </w:pPr>
      <w:r>
        <w:rPr>
          <w:rFonts w:hint="eastAsia" w:hAnsi="宋体" w:cs="宋体"/>
          <w:b/>
          <w:color w:val="auto"/>
          <w:kern w:val="0"/>
          <w:sz w:val="36"/>
          <w:szCs w:val="24"/>
          <w:highlight w:val="none"/>
        </w:rPr>
        <w:t>十</w:t>
      </w:r>
      <w:r>
        <w:rPr>
          <w:rFonts w:hint="eastAsia" w:hAnsi="宋体" w:cs="宋体"/>
          <w:b/>
          <w:color w:val="auto"/>
          <w:kern w:val="0"/>
          <w:sz w:val="36"/>
          <w:szCs w:val="24"/>
          <w:highlight w:val="none"/>
          <w:lang w:eastAsia="zh-CN"/>
        </w:rPr>
        <w:t>一</w:t>
      </w:r>
      <w:r>
        <w:rPr>
          <w:rFonts w:hint="eastAsia" w:hAnsi="宋体" w:cs="宋体"/>
          <w:b/>
          <w:color w:val="auto"/>
          <w:kern w:val="0"/>
          <w:sz w:val="36"/>
          <w:szCs w:val="24"/>
          <w:highlight w:val="none"/>
        </w:rPr>
        <w:t>、政府采购节能产品、环境标志产品声明函</w:t>
      </w:r>
    </w:p>
    <w:p w14:paraId="2D8F42CD">
      <w:pPr>
        <w:spacing w:line="400" w:lineRule="exact"/>
        <w:jc w:val="center"/>
        <w:rPr>
          <w:rFonts w:cs="宋体"/>
          <w:b/>
          <w:color w:val="auto"/>
          <w:kern w:val="0"/>
          <w:sz w:val="24"/>
          <w:highlight w:val="none"/>
        </w:rPr>
      </w:pPr>
    </w:p>
    <w:p w14:paraId="450273CA">
      <w:pPr>
        <w:spacing w:before="120" w:beforeLines="50" w:line="400" w:lineRule="exact"/>
        <w:ind w:firstLine="480" w:firstLineChars="200"/>
        <w:rPr>
          <w:rFonts w:cs="宋体"/>
          <w:color w:val="auto"/>
          <w:kern w:val="0"/>
          <w:sz w:val="24"/>
          <w:highlight w:val="none"/>
        </w:rPr>
      </w:pPr>
      <w:r>
        <w:rPr>
          <w:rFonts w:hint="eastAsia" w:cs="宋体"/>
          <w:color w:val="auto"/>
          <w:kern w:val="0"/>
          <w:sz w:val="24"/>
          <w:highlight w:val="none"/>
        </w:rPr>
        <w:t>本单位</w:t>
      </w:r>
      <w:r>
        <w:rPr>
          <w:rFonts w:cs="宋体"/>
          <w:color w:val="auto"/>
          <w:kern w:val="0"/>
          <w:sz w:val="24"/>
          <w:highlight w:val="none"/>
        </w:rPr>
        <w:t>承诺，</w:t>
      </w:r>
      <w:r>
        <w:rPr>
          <w:rFonts w:hint="eastAsia" w:cs="宋体"/>
          <w:color w:val="auto"/>
          <w:kern w:val="0"/>
          <w:sz w:val="24"/>
          <w:highlight w:val="none"/>
        </w:rPr>
        <w:t>本次参加的_________________________</w:t>
      </w:r>
      <w:r>
        <w:rPr>
          <w:rFonts w:cs="宋体"/>
          <w:color w:val="auto"/>
          <w:kern w:val="0"/>
          <w:sz w:val="24"/>
          <w:highlight w:val="none"/>
        </w:rPr>
        <w:t>采购项目</w:t>
      </w:r>
      <w:r>
        <w:rPr>
          <w:rFonts w:hint="eastAsia" w:cs="宋体"/>
          <w:color w:val="auto"/>
          <w:kern w:val="0"/>
          <w:sz w:val="24"/>
          <w:highlight w:val="none"/>
        </w:rPr>
        <w:t>（项目</w:t>
      </w:r>
      <w:r>
        <w:rPr>
          <w:rFonts w:cs="宋体"/>
          <w:color w:val="auto"/>
          <w:kern w:val="0"/>
          <w:sz w:val="24"/>
          <w:highlight w:val="none"/>
        </w:rPr>
        <w:t>编号：</w:t>
      </w:r>
      <w:r>
        <w:rPr>
          <w:rFonts w:hint="eastAsia" w:cs="宋体"/>
          <w:color w:val="auto"/>
          <w:kern w:val="0"/>
          <w:sz w:val="24"/>
          <w:highlight w:val="none"/>
        </w:rPr>
        <w:t>____________</w:t>
      </w:r>
      <w:r>
        <w:rPr>
          <w:rFonts w:cs="宋体"/>
          <w:color w:val="auto"/>
          <w:kern w:val="0"/>
          <w:sz w:val="24"/>
          <w:highlight w:val="none"/>
        </w:rPr>
        <w:t>）</w:t>
      </w:r>
      <w:r>
        <w:rPr>
          <w:rFonts w:hint="eastAsia" w:cs="宋体"/>
          <w:color w:val="auto"/>
          <w:kern w:val="0"/>
          <w:sz w:val="24"/>
          <w:highlight w:val="none"/>
        </w:rPr>
        <w:t>，所投</w:t>
      </w:r>
      <w:r>
        <w:rPr>
          <w:rFonts w:cs="宋体"/>
          <w:color w:val="auto"/>
          <w:kern w:val="0"/>
          <w:sz w:val="24"/>
          <w:highlight w:val="none"/>
        </w:rPr>
        <w:t>的下列产品属于《</w:t>
      </w:r>
      <w:r>
        <w:rPr>
          <w:rFonts w:hint="eastAsia" w:cs="宋体"/>
          <w:color w:val="auto"/>
          <w:kern w:val="0"/>
          <w:sz w:val="24"/>
          <w:highlight w:val="none"/>
        </w:rPr>
        <w:t>政府</w:t>
      </w:r>
      <w:r>
        <w:rPr>
          <w:rFonts w:cs="宋体"/>
          <w:color w:val="auto"/>
          <w:kern w:val="0"/>
          <w:sz w:val="24"/>
          <w:highlight w:val="none"/>
        </w:rPr>
        <w:t>采购节能产品</w:t>
      </w:r>
      <w:r>
        <w:rPr>
          <w:rFonts w:hint="eastAsia" w:cs="宋体"/>
          <w:color w:val="auto"/>
          <w:kern w:val="0"/>
          <w:sz w:val="24"/>
          <w:highlight w:val="none"/>
        </w:rPr>
        <w:t>、环境</w:t>
      </w:r>
      <w:r>
        <w:rPr>
          <w:rFonts w:cs="宋体"/>
          <w:color w:val="auto"/>
          <w:kern w:val="0"/>
          <w:sz w:val="24"/>
          <w:highlight w:val="none"/>
        </w:rPr>
        <w:t>标志产品</w:t>
      </w:r>
      <w:r>
        <w:rPr>
          <w:rFonts w:hint="eastAsia" w:cs="宋体"/>
          <w:color w:val="auto"/>
          <w:kern w:val="0"/>
          <w:sz w:val="24"/>
          <w:highlight w:val="none"/>
        </w:rPr>
        <w:t>品目</w:t>
      </w:r>
      <w:r>
        <w:rPr>
          <w:rFonts w:cs="宋体"/>
          <w:color w:val="auto"/>
          <w:kern w:val="0"/>
          <w:sz w:val="24"/>
          <w:highlight w:val="none"/>
        </w:rPr>
        <w:t>清单》</w:t>
      </w:r>
      <w:r>
        <w:rPr>
          <w:rFonts w:hint="eastAsia" w:cs="宋体"/>
          <w:color w:val="auto"/>
          <w:kern w:val="0"/>
          <w:sz w:val="24"/>
          <w:highlight w:val="none"/>
        </w:rPr>
        <w:t>内</w:t>
      </w:r>
      <w:r>
        <w:rPr>
          <w:rFonts w:cs="宋体"/>
          <w:color w:val="auto"/>
          <w:kern w:val="0"/>
          <w:sz w:val="24"/>
          <w:highlight w:val="none"/>
        </w:rPr>
        <w:t>的产品</w:t>
      </w:r>
      <w:r>
        <w:rPr>
          <w:rFonts w:hint="eastAsia" w:cs="宋体"/>
          <w:color w:val="auto"/>
          <w:kern w:val="0"/>
          <w:sz w:val="24"/>
          <w:highlight w:val="none"/>
        </w:rPr>
        <w:t>，并且</w:t>
      </w:r>
      <w:r>
        <w:rPr>
          <w:rFonts w:cs="宋体"/>
          <w:color w:val="auto"/>
          <w:kern w:val="0"/>
          <w:sz w:val="24"/>
          <w:highlight w:val="none"/>
        </w:rPr>
        <w:t>具有</w:t>
      </w:r>
      <w:r>
        <w:rPr>
          <w:rFonts w:hint="eastAsia" w:cs="宋体"/>
          <w:color w:val="auto"/>
          <w:kern w:val="0"/>
          <w:sz w:val="24"/>
          <w:highlight w:val="none"/>
        </w:rPr>
        <w:t>法定</w:t>
      </w:r>
      <w:r>
        <w:rPr>
          <w:rFonts w:cs="宋体"/>
          <w:color w:val="auto"/>
          <w:kern w:val="0"/>
          <w:sz w:val="24"/>
          <w:highlight w:val="none"/>
        </w:rPr>
        <w:t>认证资格的认证机构出具的</w:t>
      </w:r>
      <w:r>
        <w:rPr>
          <w:rFonts w:hint="eastAsia" w:cs="宋体"/>
          <w:color w:val="auto"/>
          <w:kern w:val="0"/>
          <w:sz w:val="24"/>
          <w:highlight w:val="none"/>
        </w:rPr>
        <w:t>认证证明</w:t>
      </w:r>
      <w:r>
        <w:rPr>
          <w:rFonts w:cs="宋体"/>
          <w:color w:val="auto"/>
          <w:kern w:val="0"/>
          <w:sz w:val="24"/>
          <w:highlight w:val="none"/>
        </w:rPr>
        <w:t>，</w:t>
      </w:r>
      <w:r>
        <w:rPr>
          <w:rFonts w:hint="eastAsia" w:cs="宋体"/>
          <w:color w:val="auto"/>
          <w:kern w:val="0"/>
          <w:sz w:val="24"/>
          <w:highlight w:val="none"/>
        </w:rPr>
        <w:t>符合</w:t>
      </w:r>
      <w:r>
        <w:rPr>
          <w:rFonts w:cs="宋体"/>
          <w:color w:val="auto"/>
          <w:kern w:val="0"/>
          <w:sz w:val="24"/>
          <w:highlight w:val="none"/>
        </w:rPr>
        <w:t>优先采购</w:t>
      </w:r>
      <w:r>
        <w:rPr>
          <w:rFonts w:hint="eastAsia" w:cs="宋体"/>
          <w:color w:val="auto"/>
          <w:kern w:val="0"/>
          <w:sz w:val="24"/>
          <w:highlight w:val="none"/>
        </w:rPr>
        <w:t>/</w:t>
      </w:r>
      <w:r>
        <w:rPr>
          <w:rFonts w:cs="宋体"/>
          <w:color w:val="auto"/>
          <w:kern w:val="0"/>
          <w:sz w:val="24"/>
          <w:highlight w:val="none"/>
        </w:rPr>
        <w:t>强制采购</w:t>
      </w:r>
      <w:r>
        <w:rPr>
          <w:rFonts w:hint="eastAsia" w:cs="宋体"/>
          <w:color w:val="auto"/>
          <w:kern w:val="0"/>
          <w:sz w:val="24"/>
          <w:highlight w:val="none"/>
        </w:rPr>
        <w:t>政策</w:t>
      </w:r>
      <w:r>
        <w:rPr>
          <w:rFonts w:cs="宋体"/>
          <w:color w:val="auto"/>
          <w:kern w:val="0"/>
          <w:sz w:val="24"/>
          <w:highlight w:val="none"/>
        </w:rPr>
        <w:t>。</w:t>
      </w:r>
      <w:r>
        <w:rPr>
          <w:rFonts w:hint="eastAsia" w:cs="宋体"/>
          <w:color w:val="auto"/>
          <w:kern w:val="0"/>
          <w:sz w:val="24"/>
          <w:highlight w:val="none"/>
        </w:rPr>
        <w:t>本单位对以下填列的</w:t>
      </w:r>
      <w:r>
        <w:rPr>
          <w:rFonts w:cs="宋体"/>
          <w:color w:val="auto"/>
          <w:kern w:val="0"/>
          <w:sz w:val="24"/>
          <w:highlight w:val="none"/>
        </w:rPr>
        <w:t>各项信息</w:t>
      </w:r>
      <w:r>
        <w:rPr>
          <w:rFonts w:hint="eastAsia" w:cs="宋体"/>
          <w:color w:val="auto"/>
          <w:kern w:val="0"/>
          <w:sz w:val="24"/>
          <w:highlight w:val="none"/>
        </w:rPr>
        <w:t>以及</w:t>
      </w:r>
      <w:r>
        <w:rPr>
          <w:rFonts w:cs="宋体"/>
          <w:color w:val="auto"/>
          <w:kern w:val="0"/>
          <w:sz w:val="24"/>
          <w:highlight w:val="none"/>
        </w:rPr>
        <w:t>相关产品认证证</w:t>
      </w:r>
      <w:r>
        <w:rPr>
          <w:rFonts w:hint="eastAsia" w:cs="宋体"/>
          <w:color w:val="auto"/>
          <w:kern w:val="0"/>
          <w:sz w:val="24"/>
          <w:highlight w:val="none"/>
        </w:rPr>
        <w:t>明</w:t>
      </w:r>
      <w:r>
        <w:rPr>
          <w:rFonts w:cs="宋体"/>
          <w:color w:val="auto"/>
          <w:kern w:val="0"/>
          <w:sz w:val="24"/>
          <w:highlight w:val="none"/>
        </w:rPr>
        <w:t>的真实性负责。</w:t>
      </w:r>
      <w:r>
        <w:rPr>
          <w:rFonts w:hint="eastAsia" w:cs="宋体"/>
          <w:color w:val="auto"/>
          <w:kern w:val="0"/>
          <w:sz w:val="24"/>
          <w:highlight w:val="none"/>
        </w:rPr>
        <w:t>如有</w:t>
      </w:r>
      <w:r>
        <w:rPr>
          <w:rFonts w:cs="宋体"/>
          <w:color w:val="auto"/>
          <w:kern w:val="0"/>
          <w:sz w:val="24"/>
          <w:highlight w:val="none"/>
        </w:rPr>
        <w:t>虚假，将依法承担相应责任。</w:t>
      </w:r>
    </w:p>
    <w:tbl>
      <w:tblPr>
        <w:tblStyle w:val="88"/>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993"/>
        <w:gridCol w:w="992"/>
        <w:gridCol w:w="1070"/>
        <w:gridCol w:w="1701"/>
        <w:gridCol w:w="851"/>
        <w:gridCol w:w="850"/>
        <w:gridCol w:w="709"/>
        <w:gridCol w:w="696"/>
        <w:gridCol w:w="960"/>
        <w:gridCol w:w="1184"/>
      </w:tblGrid>
      <w:tr w14:paraId="596C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14:paraId="08738440">
            <w:pPr>
              <w:spacing w:line="400" w:lineRule="exact"/>
              <w:rPr>
                <w:rFonts w:cs="宋体"/>
                <w:color w:val="auto"/>
                <w:kern w:val="0"/>
                <w:sz w:val="24"/>
                <w:highlight w:val="none"/>
              </w:rPr>
            </w:pPr>
            <w:r>
              <w:rPr>
                <w:rFonts w:hint="eastAsia" w:cs="宋体"/>
                <w:color w:val="auto"/>
                <w:kern w:val="0"/>
                <w:sz w:val="24"/>
                <w:highlight w:val="none"/>
              </w:rPr>
              <w:t>序号</w:t>
            </w:r>
          </w:p>
        </w:tc>
        <w:tc>
          <w:tcPr>
            <w:tcW w:w="993" w:type="dxa"/>
          </w:tcPr>
          <w:p w14:paraId="01E9A143">
            <w:pPr>
              <w:spacing w:line="400" w:lineRule="exact"/>
              <w:rPr>
                <w:rFonts w:cs="宋体"/>
                <w:color w:val="auto"/>
                <w:kern w:val="0"/>
                <w:sz w:val="24"/>
                <w:highlight w:val="none"/>
              </w:rPr>
            </w:pPr>
            <w:r>
              <w:rPr>
                <w:rFonts w:hint="eastAsia" w:cs="宋体"/>
                <w:color w:val="auto"/>
                <w:kern w:val="0"/>
                <w:sz w:val="24"/>
                <w:highlight w:val="none"/>
              </w:rPr>
              <w:t>所投</w:t>
            </w:r>
            <w:r>
              <w:rPr>
                <w:rFonts w:cs="宋体"/>
                <w:color w:val="auto"/>
                <w:kern w:val="0"/>
                <w:sz w:val="24"/>
                <w:highlight w:val="none"/>
              </w:rPr>
              <w:t>产品</w:t>
            </w:r>
          </w:p>
        </w:tc>
        <w:tc>
          <w:tcPr>
            <w:tcW w:w="992" w:type="dxa"/>
          </w:tcPr>
          <w:p w14:paraId="14F2A8BC">
            <w:pPr>
              <w:spacing w:line="400" w:lineRule="exact"/>
              <w:rPr>
                <w:rFonts w:cs="宋体"/>
                <w:color w:val="auto"/>
                <w:kern w:val="0"/>
                <w:sz w:val="24"/>
                <w:highlight w:val="none"/>
              </w:rPr>
            </w:pPr>
            <w:r>
              <w:rPr>
                <w:rFonts w:hint="eastAsia" w:cs="宋体"/>
                <w:color w:val="auto"/>
                <w:kern w:val="0"/>
                <w:sz w:val="24"/>
                <w:highlight w:val="none"/>
              </w:rPr>
              <w:t>产品</w:t>
            </w:r>
            <w:r>
              <w:rPr>
                <w:rFonts w:cs="宋体"/>
                <w:color w:val="auto"/>
                <w:kern w:val="0"/>
                <w:sz w:val="24"/>
                <w:highlight w:val="none"/>
              </w:rPr>
              <w:t>属性</w:t>
            </w:r>
          </w:p>
        </w:tc>
        <w:tc>
          <w:tcPr>
            <w:tcW w:w="1070" w:type="dxa"/>
          </w:tcPr>
          <w:p w14:paraId="492AC780">
            <w:pPr>
              <w:spacing w:line="400" w:lineRule="exact"/>
              <w:rPr>
                <w:rFonts w:cs="宋体"/>
                <w:color w:val="auto"/>
                <w:kern w:val="0"/>
                <w:sz w:val="24"/>
                <w:highlight w:val="none"/>
              </w:rPr>
            </w:pPr>
            <w:r>
              <w:rPr>
                <w:rFonts w:hint="eastAsia" w:cs="宋体"/>
                <w:color w:val="auto"/>
                <w:kern w:val="0"/>
                <w:sz w:val="24"/>
                <w:highlight w:val="none"/>
              </w:rPr>
              <w:t>产品</w:t>
            </w:r>
            <w:r>
              <w:rPr>
                <w:rFonts w:cs="宋体"/>
                <w:color w:val="auto"/>
                <w:kern w:val="0"/>
                <w:sz w:val="24"/>
                <w:highlight w:val="none"/>
              </w:rPr>
              <w:t>类别</w:t>
            </w:r>
          </w:p>
        </w:tc>
        <w:tc>
          <w:tcPr>
            <w:tcW w:w="1701" w:type="dxa"/>
          </w:tcPr>
          <w:p w14:paraId="55036AA1">
            <w:pPr>
              <w:spacing w:line="400" w:lineRule="exact"/>
              <w:rPr>
                <w:rFonts w:cs="宋体"/>
                <w:color w:val="auto"/>
                <w:kern w:val="0"/>
                <w:sz w:val="24"/>
                <w:highlight w:val="none"/>
              </w:rPr>
            </w:pPr>
            <w:r>
              <w:rPr>
                <w:rFonts w:hint="eastAsia" w:cs="宋体"/>
                <w:color w:val="auto"/>
                <w:kern w:val="0"/>
                <w:sz w:val="24"/>
                <w:highlight w:val="none"/>
              </w:rPr>
              <w:t>是否</w:t>
            </w:r>
            <w:r>
              <w:rPr>
                <w:rFonts w:cs="宋体"/>
                <w:color w:val="auto"/>
                <w:kern w:val="0"/>
                <w:sz w:val="24"/>
                <w:highlight w:val="none"/>
              </w:rPr>
              <w:t>为强制</w:t>
            </w:r>
            <w:r>
              <w:rPr>
                <w:rFonts w:hint="eastAsia" w:cs="宋体"/>
                <w:color w:val="auto"/>
                <w:kern w:val="0"/>
                <w:sz w:val="24"/>
                <w:highlight w:val="none"/>
              </w:rPr>
              <w:t>采购</w:t>
            </w:r>
            <w:r>
              <w:rPr>
                <w:rFonts w:cs="宋体"/>
                <w:color w:val="auto"/>
                <w:kern w:val="0"/>
                <w:sz w:val="24"/>
                <w:highlight w:val="none"/>
              </w:rPr>
              <w:t>产品</w:t>
            </w:r>
          </w:p>
        </w:tc>
        <w:tc>
          <w:tcPr>
            <w:tcW w:w="851" w:type="dxa"/>
          </w:tcPr>
          <w:p w14:paraId="6B231F2B">
            <w:pPr>
              <w:spacing w:line="400" w:lineRule="exact"/>
              <w:rPr>
                <w:rFonts w:cs="宋体"/>
                <w:color w:val="auto"/>
                <w:kern w:val="0"/>
                <w:sz w:val="24"/>
                <w:highlight w:val="none"/>
              </w:rPr>
            </w:pPr>
            <w:r>
              <w:rPr>
                <w:rFonts w:hint="eastAsia" w:cs="宋体"/>
                <w:color w:val="auto"/>
                <w:kern w:val="0"/>
                <w:sz w:val="24"/>
                <w:highlight w:val="none"/>
              </w:rPr>
              <w:t>规格</w:t>
            </w:r>
            <w:r>
              <w:rPr>
                <w:rFonts w:cs="宋体"/>
                <w:color w:val="auto"/>
                <w:kern w:val="0"/>
                <w:sz w:val="24"/>
                <w:highlight w:val="none"/>
              </w:rPr>
              <w:t>型号</w:t>
            </w:r>
          </w:p>
        </w:tc>
        <w:tc>
          <w:tcPr>
            <w:tcW w:w="850" w:type="dxa"/>
          </w:tcPr>
          <w:p w14:paraId="2293E57D">
            <w:pPr>
              <w:spacing w:line="400" w:lineRule="exact"/>
              <w:rPr>
                <w:rFonts w:cs="宋体"/>
                <w:color w:val="auto"/>
                <w:kern w:val="0"/>
                <w:sz w:val="24"/>
                <w:highlight w:val="none"/>
              </w:rPr>
            </w:pPr>
            <w:r>
              <w:rPr>
                <w:rFonts w:hint="eastAsia" w:cs="宋体"/>
                <w:color w:val="auto"/>
                <w:kern w:val="0"/>
                <w:sz w:val="24"/>
                <w:highlight w:val="none"/>
              </w:rPr>
              <w:t>计量单位</w:t>
            </w:r>
          </w:p>
        </w:tc>
        <w:tc>
          <w:tcPr>
            <w:tcW w:w="709" w:type="dxa"/>
          </w:tcPr>
          <w:p w14:paraId="36AE3779">
            <w:pPr>
              <w:spacing w:line="400" w:lineRule="exact"/>
              <w:rPr>
                <w:rFonts w:cs="宋体"/>
                <w:color w:val="auto"/>
                <w:kern w:val="0"/>
                <w:sz w:val="24"/>
                <w:highlight w:val="none"/>
              </w:rPr>
            </w:pPr>
            <w:r>
              <w:rPr>
                <w:rFonts w:hint="eastAsia" w:cs="宋体"/>
                <w:color w:val="auto"/>
                <w:kern w:val="0"/>
                <w:sz w:val="24"/>
                <w:highlight w:val="none"/>
              </w:rPr>
              <w:t>数量</w:t>
            </w:r>
          </w:p>
        </w:tc>
        <w:tc>
          <w:tcPr>
            <w:tcW w:w="696" w:type="dxa"/>
          </w:tcPr>
          <w:p w14:paraId="16922017">
            <w:pPr>
              <w:spacing w:line="400" w:lineRule="exact"/>
              <w:rPr>
                <w:rFonts w:cs="宋体"/>
                <w:color w:val="auto"/>
                <w:kern w:val="0"/>
                <w:sz w:val="24"/>
                <w:highlight w:val="none"/>
              </w:rPr>
            </w:pPr>
            <w:r>
              <w:rPr>
                <w:rFonts w:hint="eastAsia" w:cs="宋体"/>
                <w:color w:val="auto"/>
                <w:kern w:val="0"/>
                <w:sz w:val="24"/>
                <w:highlight w:val="none"/>
              </w:rPr>
              <w:t>单价</w:t>
            </w:r>
          </w:p>
        </w:tc>
        <w:tc>
          <w:tcPr>
            <w:tcW w:w="960" w:type="dxa"/>
          </w:tcPr>
          <w:p w14:paraId="7A8D0622">
            <w:pPr>
              <w:spacing w:line="400" w:lineRule="exact"/>
              <w:rPr>
                <w:rFonts w:cs="宋体"/>
                <w:color w:val="auto"/>
                <w:kern w:val="0"/>
                <w:sz w:val="24"/>
                <w:highlight w:val="none"/>
              </w:rPr>
            </w:pPr>
            <w:r>
              <w:rPr>
                <w:rFonts w:hint="eastAsia" w:cs="宋体"/>
                <w:color w:val="auto"/>
                <w:kern w:val="0"/>
                <w:sz w:val="24"/>
                <w:highlight w:val="none"/>
              </w:rPr>
              <w:t>金额</w:t>
            </w:r>
            <w:r>
              <w:rPr>
                <w:rFonts w:cs="宋体"/>
                <w:color w:val="auto"/>
                <w:kern w:val="0"/>
                <w:sz w:val="24"/>
                <w:highlight w:val="none"/>
              </w:rPr>
              <w:t>合计</w:t>
            </w:r>
          </w:p>
        </w:tc>
        <w:tc>
          <w:tcPr>
            <w:tcW w:w="1184" w:type="dxa"/>
          </w:tcPr>
          <w:p w14:paraId="7B535766">
            <w:pPr>
              <w:spacing w:line="400" w:lineRule="exact"/>
              <w:rPr>
                <w:rFonts w:cs="宋体"/>
                <w:color w:val="auto"/>
                <w:kern w:val="0"/>
                <w:sz w:val="24"/>
                <w:highlight w:val="none"/>
              </w:rPr>
            </w:pPr>
            <w:r>
              <w:rPr>
                <w:rFonts w:hint="eastAsia" w:cs="宋体"/>
                <w:color w:val="auto"/>
                <w:kern w:val="0"/>
                <w:sz w:val="24"/>
                <w:highlight w:val="none"/>
              </w:rPr>
              <w:t>认证</w:t>
            </w:r>
            <w:r>
              <w:rPr>
                <w:rFonts w:cs="宋体"/>
                <w:color w:val="auto"/>
                <w:kern w:val="0"/>
                <w:sz w:val="24"/>
                <w:highlight w:val="none"/>
              </w:rPr>
              <w:t>证书编号</w:t>
            </w:r>
          </w:p>
        </w:tc>
      </w:tr>
      <w:tr w14:paraId="6ACB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14:paraId="0C8F7499">
            <w:pPr>
              <w:spacing w:line="400" w:lineRule="exact"/>
              <w:rPr>
                <w:rFonts w:cs="宋体"/>
                <w:color w:val="auto"/>
                <w:kern w:val="0"/>
                <w:sz w:val="24"/>
                <w:highlight w:val="none"/>
              </w:rPr>
            </w:pPr>
          </w:p>
        </w:tc>
        <w:tc>
          <w:tcPr>
            <w:tcW w:w="993" w:type="dxa"/>
          </w:tcPr>
          <w:p w14:paraId="676CF028">
            <w:pPr>
              <w:spacing w:line="400" w:lineRule="exact"/>
              <w:rPr>
                <w:rFonts w:cs="宋体"/>
                <w:color w:val="auto"/>
                <w:kern w:val="0"/>
                <w:sz w:val="24"/>
                <w:highlight w:val="none"/>
              </w:rPr>
            </w:pPr>
          </w:p>
        </w:tc>
        <w:tc>
          <w:tcPr>
            <w:tcW w:w="992" w:type="dxa"/>
          </w:tcPr>
          <w:p w14:paraId="2DECAD5B">
            <w:pPr>
              <w:spacing w:line="400" w:lineRule="exact"/>
              <w:rPr>
                <w:rFonts w:cs="宋体"/>
                <w:color w:val="auto"/>
                <w:kern w:val="0"/>
                <w:sz w:val="24"/>
                <w:highlight w:val="none"/>
              </w:rPr>
            </w:pPr>
          </w:p>
        </w:tc>
        <w:tc>
          <w:tcPr>
            <w:tcW w:w="1070" w:type="dxa"/>
          </w:tcPr>
          <w:p w14:paraId="28776B76">
            <w:pPr>
              <w:spacing w:line="400" w:lineRule="exact"/>
              <w:rPr>
                <w:rFonts w:cs="宋体"/>
                <w:color w:val="auto"/>
                <w:kern w:val="0"/>
                <w:sz w:val="24"/>
                <w:highlight w:val="none"/>
              </w:rPr>
            </w:pPr>
          </w:p>
        </w:tc>
        <w:tc>
          <w:tcPr>
            <w:tcW w:w="1701" w:type="dxa"/>
          </w:tcPr>
          <w:p w14:paraId="591EDAAE">
            <w:pPr>
              <w:spacing w:line="400" w:lineRule="exact"/>
              <w:rPr>
                <w:rFonts w:cs="宋体"/>
                <w:color w:val="auto"/>
                <w:kern w:val="0"/>
                <w:sz w:val="24"/>
                <w:highlight w:val="none"/>
              </w:rPr>
            </w:pPr>
          </w:p>
        </w:tc>
        <w:tc>
          <w:tcPr>
            <w:tcW w:w="851" w:type="dxa"/>
          </w:tcPr>
          <w:p w14:paraId="79B69EC2">
            <w:pPr>
              <w:spacing w:line="400" w:lineRule="exact"/>
              <w:rPr>
                <w:rFonts w:cs="宋体"/>
                <w:color w:val="auto"/>
                <w:kern w:val="0"/>
                <w:sz w:val="24"/>
                <w:highlight w:val="none"/>
              </w:rPr>
            </w:pPr>
          </w:p>
        </w:tc>
        <w:tc>
          <w:tcPr>
            <w:tcW w:w="850" w:type="dxa"/>
          </w:tcPr>
          <w:p w14:paraId="3C20CD88">
            <w:pPr>
              <w:spacing w:line="400" w:lineRule="exact"/>
              <w:rPr>
                <w:rFonts w:cs="宋体"/>
                <w:color w:val="auto"/>
                <w:kern w:val="0"/>
                <w:sz w:val="24"/>
                <w:highlight w:val="none"/>
              </w:rPr>
            </w:pPr>
          </w:p>
        </w:tc>
        <w:tc>
          <w:tcPr>
            <w:tcW w:w="709" w:type="dxa"/>
          </w:tcPr>
          <w:p w14:paraId="7F8F7D0E">
            <w:pPr>
              <w:spacing w:line="400" w:lineRule="exact"/>
              <w:rPr>
                <w:rFonts w:cs="宋体"/>
                <w:color w:val="auto"/>
                <w:kern w:val="0"/>
                <w:sz w:val="24"/>
                <w:highlight w:val="none"/>
              </w:rPr>
            </w:pPr>
          </w:p>
        </w:tc>
        <w:tc>
          <w:tcPr>
            <w:tcW w:w="696" w:type="dxa"/>
          </w:tcPr>
          <w:p w14:paraId="11EA151C">
            <w:pPr>
              <w:spacing w:line="400" w:lineRule="exact"/>
              <w:rPr>
                <w:rFonts w:cs="宋体"/>
                <w:color w:val="auto"/>
                <w:kern w:val="0"/>
                <w:sz w:val="24"/>
                <w:highlight w:val="none"/>
              </w:rPr>
            </w:pPr>
          </w:p>
        </w:tc>
        <w:tc>
          <w:tcPr>
            <w:tcW w:w="960" w:type="dxa"/>
          </w:tcPr>
          <w:p w14:paraId="673AD16A">
            <w:pPr>
              <w:spacing w:line="400" w:lineRule="exact"/>
              <w:rPr>
                <w:rFonts w:cs="宋体"/>
                <w:color w:val="auto"/>
                <w:kern w:val="0"/>
                <w:sz w:val="24"/>
                <w:highlight w:val="none"/>
              </w:rPr>
            </w:pPr>
          </w:p>
        </w:tc>
        <w:tc>
          <w:tcPr>
            <w:tcW w:w="1184" w:type="dxa"/>
          </w:tcPr>
          <w:p w14:paraId="4CFAFC97">
            <w:pPr>
              <w:spacing w:line="400" w:lineRule="exact"/>
              <w:rPr>
                <w:rFonts w:cs="宋体"/>
                <w:color w:val="auto"/>
                <w:kern w:val="0"/>
                <w:sz w:val="24"/>
                <w:highlight w:val="none"/>
              </w:rPr>
            </w:pPr>
          </w:p>
        </w:tc>
      </w:tr>
      <w:tr w14:paraId="2517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14:paraId="15D77062">
            <w:pPr>
              <w:spacing w:line="400" w:lineRule="exact"/>
              <w:rPr>
                <w:rFonts w:cs="宋体"/>
                <w:color w:val="auto"/>
                <w:kern w:val="0"/>
                <w:sz w:val="24"/>
                <w:highlight w:val="none"/>
              </w:rPr>
            </w:pPr>
          </w:p>
        </w:tc>
        <w:tc>
          <w:tcPr>
            <w:tcW w:w="993" w:type="dxa"/>
          </w:tcPr>
          <w:p w14:paraId="17A537B8">
            <w:pPr>
              <w:spacing w:line="400" w:lineRule="exact"/>
              <w:rPr>
                <w:rFonts w:cs="宋体"/>
                <w:color w:val="auto"/>
                <w:kern w:val="0"/>
                <w:sz w:val="24"/>
                <w:highlight w:val="none"/>
              </w:rPr>
            </w:pPr>
          </w:p>
        </w:tc>
        <w:tc>
          <w:tcPr>
            <w:tcW w:w="992" w:type="dxa"/>
          </w:tcPr>
          <w:p w14:paraId="381F93F8">
            <w:pPr>
              <w:spacing w:line="400" w:lineRule="exact"/>
              <w:rPr>
                <w:rFonts w:cs="宋体"/>
                <w:color w:val="auto"/>
                <w:kern w:val="0"/>
                <w:sz w:val="24"/>
                <w:highlight w:val="none"/>
              </w:rPr>
            </w:pPr>
          </w:p>
        </w:tc>
        <w:tc>
          <w:tcPr>
            <w:tcW w:w="1070" w:type="dxa"/>
          </w:tcPr>
          <w:p w14:paraId="283DBA4E">
            <w:pPr>
              <w:spacing w:line="400" w:lineRule="exact"/>
              <w:rPr>
                <w:rFonts w:cs="宋体"/>
                <w:color w:val="auto"/>
                <w:kern w:val="0"/>
                <w:sz w:val="24"/>
                <w:highlight w:val="none"/>
              </w:rPr>
            </w:pPr>
          </w:p>
        </w:tc>
        <w:tc>
          <w:tcPr>
            <w:tcW w:w="1701" w:type="dxa"/>
          </w:tcPr>
          <w:p w14:paraId="145586E3">
            <w:pPr>
              <w:spacing w:line="400" w:lineRule="exact"/>
              <w:rPr>
                <w:rFonts w:cs="宋体"/>
                <w:color w:val="auto"/>
                <w:kern w:val="0"/>
                <w:sz w:val="24"/>
                <w:highlight w:val="none"/>
              </w:rPr>
            </w:pPr>
          </w:p>
        </w:tc>
        <w:tc>
          <w:tcPr>
            <w:tcW w:w="851" w:type="dxa"/>
          </w:tcPr>
          <w:p w14:paraId="0C075446">
            <w:pPr>
              <w:spacing w:line="400" w:lineRule="exact"/>
              <w:rPr>
                <w:rFonts w:cs="宋体"/>
                <w:color w:val="auto"/>
                <w:kern w:val="0"/>
                <w:sz w:val="24"/>
                <w:highlight w:val="none"/>
              </w:rPr>
            </w:pPr>
          </w:p>
        </w:tc>
        <w:tc>
          <w:tcPr>
            <w:tcW w:w="850" w:type="dxa"/>
          </w:tcPr>
          <w:p w14:paraId="543D85A4">
            <w:pPr>
              <w:spacing w:line="400" w:lineRule="exact"/>
              <w:rPr>
                <w:rFonts w:cs="宋体"/>
                <w:color w:val="auto"/>
                <w:kern w:val="0"/>
                <w:sz w:val="24"/>
                <w:highlight w:val="none"/>
              </w:rPr>
            </w:pPr>
          </w:p>
        </w:tc>
        <w:tc>
          <w:tcPr>
            <w:tcW w:w="709" w:type="dxa"/>
          </w:tcPr>
          <w:p w14:paraId="52AD2B3E">
            <w:pPr>
              <w:spacing w:line="400" w:lineRule="exact"/>
              <w:rPr>
                <w:rFonts w:cs="宋体"/>
                <w:color w:val="auto"/>
                <w:kern w:val="0"/>
                <w:sz w:val="24"/>
                <w:highlight w:val="none"/>
              </w:rPr>
            </w:pPr>
          </w:p>
        </w:tc>
        <w:tc>
          <w:tcPr>
            <w:tcW w:w="696" w:type="dxa"/>
          </w:tcPr>
          <w:p w14:paraId="6F8B1A8F">
            <w:pPr>
              <w:spacing w:line="400" w:lineRule="exact"/>
              <w:rPr>
                <w:rFonts w:cs="宋体"/>
                <w:color w:val="auto"/>
                <w:kern w:val="0"/>
                <w:sz w:val="24"/>
                <w:highlight w:val="none"/>
              </w:rPr>
            </w:pPr>
          </w:p>
        </w:tc>
        <w:tc>
          <w:tcPr>
            <w:tcW w:w="960" w:type="dxa"/>
          </w:tcPr>
          <w:p w14:paraId="2DB82C6D">
            <w:pPr>
              <w:spacing w:line="400" w:lineRule="exact"/>
              <w:rPr>
                <w:rFonts w:cs="宋体"/>
                <w:color w:val="auto"/>
                <w:kern w:val="0"/>
                <w:sz w:val="24"/>
                <w:highlight w:val="none"/>
              </w:rPr>
            </w:pPr>
          </w:p>
        </w:tc>
        <w:tc>
          <w:tcPr>
            <w:tcW w:w="1184" w:type="dxa"/>
          </w:tcPr>
          <w:p w14:paraId="7D7CFDDC">
            <w:pPr>
              <w:spacing w:line="400" w:lineRule="exact"/>
              <w:rPr>
                <w:rFonts w:cs="宋体"/>
                <w:color w:val="auto"/>
                <w:kern w:val="0"/>
                <w:sz w:val="24"/>
                <w:highlight w:val="none"/>
              </w:rPr>
            </w:pPr>
          </w:p>
        </w:tc>
      </w:tr>
    </w:tbl>
    <w:p w14:paraId="7B2218F2">
      <w:pPr>
        <w:spacing w:line="400" w:lineRule="exact"/>
        <w:rPr>
          <w:rFonts w:cs="宋体"/>
          <w:b/>
          <w:color w:val="auto"/>
          <w:kern w:val="0"/>
          <w:sz w:val="24"/>
          <w:highlight w:val="none"/>
        </w:rPr>
      </w:pPr>
      <w:r>
        <w:rPr>
          <w:rFonts w:hint="eastAsia" w:cs="宋体"/>
          <w:b/>
          <w:color w:val="auto"/>
          <w:kern w:val="0"/>
          <w:sz w:val="24"/>
          <w:highlight w:val="none"/>
        </w:rPr>
        <w:t>附件</w:t>
      </w:r>
      <w:r>
        <w:rPr>
          <w:rFonts w:cs="宋体"/>
          <w:b/>
          <w:color w:val="auto"/>
          <w:kern w:val="0"/>
          <w:sz w:val="24"/>
          <w:highlight w:val="none"/>
        </w:rPr>
        <w:t>：</w:t>
      </w:r>
      <w:r>
        <w:rPr>
          <w:rFonts w:hint="eastAsia" w:cs="宋体"/>
          <w:b/>
          <w:color w:val="auto"/>
          <w:kern w:val="0"/>
          <w:sz w:val="24"/>
          <w:highlight w:val="none"/>
        </w:rPr>
        <w:t>认证</w:t>
      </w:r>
      <w:r>
        <w:rPr>
          <w:rFonts w:cs="宋体"/>
          <w:b/>
          <w:color w:val="auto"/>
          <w:kern w:val="0"/>
          <w:sz w:val="24"/>
          <w:highlight w:val="none"/>
        </w:rPr>
        <w:t>证明</w:t>
      </w:r>
      <w:r>
        <w:rPr>
          <w:rFonts w:hint="eastAsia" w:cs="宋体"/>
          <w:b/>
          <w:color w:val="auto"/>
          <w:kern w:val="0"/>
          <w:sz w:val="24"/>
          <w:highlight w:val="none"/>
        </w:rPr>
        <w:t>可以是</w:t>
      </w:r>
      <w:r>
        <w:rPr>
          <w:rFonts w:cs="宋体"/>
          <w:b/>
          <w:color w:val="auto"/>
          <w:kern w:val="0"/>
          <w:sz w:val="24"/>
          <w:highlight w:val="none"/>
        </w:rPr>
        <w:t>认证证书复印件或</w:t>
      </w:r>
      <w:r>
        <w:rPr>
          <w:rFonts w:hint="eastAsia" w:cs="宋体"/>
          <w:b/>
          <w:color w:val="auto"/>
          <w:kern w:val="0"/>
          <w:sz w:val="24"/>
          <w:highlight w:val="none"/>
        </w:rPr>
        <w:t>是</w:t>
      </w:r>
      <w:r>
        <w:rPr>
          <w:rFonts w:cs="宋体"/>
          <w:b/>
          <w:color w:val="auto"/>
          <w:kern w:val="0"/>
          <w:sz w:val="24"/>
          <w:highlight w:val="none"/>
        </w:rPr>
        <w:t>法定</w:t>
      </w:r>
      <w:r>
        <w:rPr>
          <w:rFonts w:hint="eastAsia" w:cs="宋体"/>
          <w:b/>
          <w:color w:val="auto"/>
          <w:kern w:val="0"/>
          <w:sz w:val="24"/>
          <w:highlight w:val="none"/>
        </w:rPr>
        <w:t>信息发布</w:t>
      </w:r>
      <w:r>
        <w:rPr>
          <w:rFonts w:cs="宋体"/>
          <w:b/>
          <w:color w:val="auto"/>
          <w:kern w:val="0"/>
          <w:sz w:val="24"/>
          <w:highlight w:val="none"/>
        </w:rPr>
        <w:t>平台公布的</w:t>
      </w:r>
      <w:r>
        <w:rPr>
          <w:rFonts w:hint="eastAsia" w:cs="宋体"/>
          <w:b/>
          <w:color w:val="auto"/>
          <w:kern w:val="0"/>
          <w:sz w:val="24"/>
          <w:highlight w:val="none"/>
        </w:rPr>
        <w:t>认证</w:t>
      </w:r>
      <w:r>
        <w:rPr>
          <w:rFonts w:cs="宋体"/>
          <w:b/>
          <w:color w:val="auto"/>
          <w:kern w:val="0"/>
          <w:sz w:val="24"/>
          <w:highlight w:val="none"/>
        </w:rPr>
        <w:t>信息截图</w:t>
      </w:r>
      <w:r>
        <w:rPr>
          <w:rFonts w:hint="eastAsia" w:cs="宋体"/>
          <w:b/>
          <w:color w:val="auto"/>
          <w:kern w:val="0"/>
          <w:sz w:val="24"/>
          <w:highlight w:val="none"/>
        </w:rPr>
        <w:t>，认证证明应</w:t>
      </w:r>
      <w:r>
        <w:rPr>
          <w:rFonts w:cs="宋体"/>
          <w:b/>
          <w:color w:val="auto"/>
          <w:kern w:val="0"/>
          <w:sz w:val="24"/>
          <w:highlight w:val="none"/>
        </w:rPr>
        <w:t>加盖</w:t>
      </w:r>
      <w:r>
        <w:rPr>
          <w:rFonts w:hint="eastAsia" w:cs="宋体"/>
          <w:b/>
          <w:color w:val="auto"/>
          <w:kern w:val="0"/>
          <w:sz w:val="24"/>
          <w:highlight w:val="none"/>
        </w:rPr>
        <w:t>投标</w:t>
      </w:r>
      <w:r>
        <w:rPr>
          <w:rFonts w:cs="宋体"/>
          <w:b/>
          <w:color w:val="auto"/>
          <w:kern w:val="0"/>
          <w:sz w:val="24"/>
          <w:highlight w:val="none"/>
        </w:rPr>
        <w:t>单位</w:t>
      </w:r>
      <w:r>
        <w:rPr>
          <w:rFonts w:hint="eastAsia" w:cs="宋体"/>
          <w:b/>
          <w:color w:val="auto"/>
          <w:kern w:val="0"/>
          <w:sz w:val="24"/>
          <w:highlight w:val="none"/>
        </w:rPr>
        <w:t>公章。</w:t>
      </w:r>
    </w:p>
    <w:p w14:paraId="4714F4DC">
      <w:pPr>
        <w:spacing w:line="400" w:lineRule="exact"/>
        <w:rPr>
          <w:rFonts w:cs="宋体"/>
          <w:color w:val="auto"/>
          <w:kern w:val="0"/>
          <w:sz w:val="24"/>
          <w:highlight w:val="none"/>
        </w:rPr>
      </w:pPr>
      <w:r>
        <w:rPr>
          <w:rFonts w:hint="eastAsia" w:cs="宋体"/>
          <w:color w:val="auto"/>
          <w:kern w:val="0"/>
          <w:sz w:val="24"/>
          <w:highlight w:val="none"/>
        </w:rPr>
        <w:t>说明：</w:t>
      </w:r>
    </w:p>
    <w:p w14:paraId="3FB086B9">
      <w:pPr>
        <w:numPr>
          <w:ilvl w:val="0"/>
          <w:numId w:val="6"/>
        </w:numPr>
        <w:spacing w:line="400" w:lineRule="exact"/>
        <w:ind w:left="357" w:hanging="357"/>
        <w:rPr>
          <w:rFonts w:cs="宋体"/>
          <w:color w:val="auto"/>
          <w:kern w:val="0"/>
          <w:sz w:val="24"/>
          <w:highlight w:val="none"/>
        </w:rPr>
      </w:pPr>
      <w:r>
        <w:rPr>
          <w:rFonts w:hint="eastAsia" w:cs="宋体"/>
          <w:color w:val="auto"/>
          <w:kern w:val="0"/>
          <w:sz w:val="24"/>
          <w:highlight w:val="none"/>
        </w:rPr>
        <w:t>产品</w:t>
      </w:r>
      <w:r>
        <w:rPr>
          <w:rFonts w:cs="宋体"/>
          <w:color w:val="auto"/>
          <w:kern w:val="0"/>
          <w:sz w:val="24"/>
          <w:highlight w:val="none"/>
        </w:rPr>
        <w:t>类别</w:t>
      </w:r>
      <w:r>
        <w:rPr>
          <w:rFonts w:hint="eastAsia" w:cs="宋体"/>
          <w:color w:val="auto"/>
          <w:kern w:val="0"/>
          <w:sz w:val="24"/>
          <w:highlight w:val="none"/>
        </w:rPr>
        <w:t>，</w:t>
      </w:r>
      <w:r>
        <w:rPr>
          <w:rFonts w:cs="宋体"/>
          <w:color w:val="auto"/>
          <w:kern w:val="0"/>
          <w:sz w:val="24"/>
          <w:highlight w:val="none"/>
        </w:rPr>
        <w:t>是指</w:t>
      </w:r>
      <w:r>
        <w:rPr>
          <w:rFonts w:hint="eastAsia" w:cs="宋体"/>
          <w:color w:val="auto"/>
          <w:kern w:val="0"/>
          <w:sz w:val="24"/>
          <w:highlight w:val="none"/>
        </w:rPr>
        <w:t>国家</w:t>
      </w:r>
      <w:r>
        <w:rPr>
          <w:rFonts w:cs="宋体"/>
          <w:color w:val="auto"/>
          <w:kern w:val="0"/>
          <w:sz w:val="24"/>
          <w:highlight w:val="none"/>
        </w:rPr>
        <w:t>有关部门发布的节能产品、环境标志产品品目清单</w:t>
      </w:r>
      <w:r>
        <w:rPr>
          <w:rFonts w:hint="eastAsia" w:cs="宋体"/>
          <w:color w:val="auto"/>
          <w:kern w:val="0"/>
          <w:sz w:val="24"/>
          <w:highlight w:val="none"/>
        </w:rPr>
        <w:t>规定</w:t>
      </w:r>
      <w:r>
        <w:rPr>
          <w:rFonts w:cs="宋体"/>
          <w:color w:val="auto"/>
          <w:kern w:val="0"/>
          <w:sz w:val="24"/>
          <w:highlight w:val="none"/>
        </w:rPr>
        <w:t>的产品类别。</w:t>
      </w:r>
      <w:r>
        <w:rPr>
          <w:rFonts w:hint="eastAsia" w:cs="宋体"/>
          <w:color w:val="auto"/>
          <w:kern w:val="0"/>
          <w:sz w:val="24"/>
          <w:highlight w:val="none"/>
        </w:rPr>
        <w:t>如</w:t>
      </w:r>
      <w:r>
        <w:rPr>
          <w:rFonts w:cs="宋体"/>
          <w:color w:val="auto"/>
          <w:kern w:val="0"/>
          <w:sz w:val="24"/>
          <w:highlight w:val="none"/>
        </w:rPr>
        <w:t>计算机、电冰箱、水嘴等。</w:t>
      </w:r>
    </w:p>
    <w:p w14:paraId="67A37A5E">
      <w:pPr>
        <w:numPr>
          <w:ilvl w:val="0"/>
          <w:numId w:val="6"/>
        </w:numPr>
        <w:spacing w:line="400" w:lineRule="exact"/>
        <w:rPr>
          <w:rFonts w:cs="宋体"/>
          <w:color w:val="auto"/>
          <w:kern w:val="0"/>
          <w:sz w:val="24"/>
          <w:highlight w:val="none"/>
        </w:rPr>
      </w:pPr>
      <w:r>
        <w:rPr>
          <w:rFonts w:hint="eastAsia" w:cs="宋体"/>
          <w:color w:val="auto"/>
          <w:kern w:val="0"/>
          <w:sz w:val="24"/>
          <w:highlight w:val="none"/>
        </w:rPr>
        <w:t>产品属性</w:t>
      </w:r>
      <w:r>
        <w:rPr>
          <w:rFonts w:cs="宋体"/>
          <w:color w:val="auto"/>
          <w:kern w:val="0"/>
          <w:sz w:val="24"/>
          <w:highlight w:val="none"/>
        </w:rPr>
        <w:t>：节能</w:t>
      </w:r>
      <w:r>
        <w:rPr>
          <w:rFonts w:hint="eastAsia" w:cs="宋体"/>
          <w:color w:val="auto"/>
          <w:kern w:val="0"/>
          <w:sz w:val="24"/>
          <w:highlight w:val="none"/>
        </w:rPr>
        <w:t>、</w:t>
      </w:r>
      <w:r>
        <w:rPr>
          <w:rFonts w:cs="宋体"/>
          <w:color w:val="auto"/>
          <w:kern w:val="0"/>
          <w:sz w:val="24"/>
          <w:highlight w:val="none"/>
        </w:rPr>
        <w:t>环保、节能环保。</w:t>
      </w:r>
    </w:p>
    <w:p w14:paraId="68D272B6">
      <w:pPr>
        <w:numPr>
          <w:ilvl w:val="0"/>
          <w:numId w:val="6"/>
        </w:numPr>
        <w:spacing w:line="400" w:lineRule="exact"/>
        <w:ind w:left="357" w:hanging="357"/>
        <w:rPr>
          <w:rFonts w:cs="宋体"/>
          <w:color w:val="auto"/>
          <w:kern w:val="0"/>
          <w:sz w:val="24"/>
          <w:highlight w:val="none"/>
        </w:rPr>
      </w:pPr>
      <w:r>
        <w:rPr>
          <w:rFonts w:hint="eastAsia" w:cs="宋体"/>
          <w:color w:val="auto"/>
          <w:kern w:val="0"/>
          <w:sz w:val="24"/>
          <w:highlight w:val="none"/>
        </w:rPr>
        <w:t>本表应</w:t>
      </w:r>
      <w:r>
        <w:rPr>
          <w:rFonts w:cs="宋体"/>
          <w:color w:val="auto"/>
          <w:kern w:val="0"/>
          <w:sz w:val="24"/>
          <w:highlight w:val="none"/>
        </w:rPr>
        <w:t>逐项填写，</w:t>
      </w:r>
      <w:r>
        <w:rPr>
          <w:rFonts w:hint="eastAsia" w:cs="宋体"/>
          <w:color w:val="auto"/>
          <w:kern w:val="0"/>
          <w:sz w:val="24"/>
          <w:highlight w:val="none"/>
        </w:rPr>
        <w:t>并</w:t>
      </w:r>
      <w:r>
        <w:rPr>
          <w:rFonts w:cs="宋体"/>
          <w:color w:val="auto"/>
          <w:kern w:val="0"/>
          <w:sz w:val="24"/>
          <w:highlight w:val="none"/>
        </w:rPr>
        <w:t>按规定签署，不得漏项，否则视为该《</w:t>
      </w:r>
      <w:r>
        <w:rPr>
          <w:rFonts w:hint="eastAsia" w:cs="宋体"/>
          <w:color w:val="auto"/>
          <w:kern w:val="0"/>
          <w:sz w:val="24"/>
          <w:highlight w:val="none"/>
        </w:rPr>
        <w:t>声明函</w:t>
      </w:r>
      <w:r>
        <w:rPr>
          <w:rFonts w:cs="宋体"/>
          <w:color w:val="auto"/>
          <w:kern w:val="0"/>
          <w:sz w:val="24"/>
          <w:highlight w:val="none"/>
        </w:rPr>
        <w:t>》</w:t>
      </w:r>
      <w:r>
        <w:rPr>
          <w:rFonts w:hint="eastAsia" w:cs="宋体"/>
          <w:color w:val="auto"/>
          <w:kern w:val="0"/>
          <w:sz w:val="24"/>
          <w:highlight w:val="none"/>
        </w:rPr>
        <w:t>无效。</w:t>
      </w:r>
    </w:p>
    <w:p w14:paraId="0D317B95">
      <w:pPr>
        <w:numPr>
          <w:ilvl w:val="0"/>
          <w:numId w:val="6"/>
        </w:numPr>
        <w:spacing w:line="400" w:lineRule="exact"/>
        <w:rPr>
          <w:rFonts w:cs="宋体"/>
          <w:color w:val="auto"/>
          <w:kern w:val="0"/>
          <w:sz w:val="24"/>
          <w:highlight w:val="none"/>
        </w:rPr>
      </w:pPr>
      <w:r>
        <w:rPr>
          <w:rFonts w:hint="eastAsia" w:cs="宋体"/>
          <w:color w:val="auto"/>
          <w:kern w:val="0"/>
          <w:sz w:val="24"/>
          <w:highlight w:val="none"/>
        </w:rPr>
        <w:t>认证证明应与所投产品、产品类别保持一致，否则视为认证证明无效。</w:t>
      </w:r>
    </w:p>
    <w:p w14:paraId="7FC62085">
      <w:pPr>
        <w:numPr>
          <w:ilvl w:val="0"/>
          <w:numId w:val="6"/>
        </w:numPr>
        <w:spacing w:line="400" w:lineRule="exact"/>
        <w:rPr>
          <w:rFonts w:cs="宋体"/>
          <w:b/>
          <w:bCs/>
          <w:color w:val="auto"/>
          <w:kern w:val="0"/>
          <w:sz w:val="24"/>
          <w:highlight w:val="none"/>
        </w:rPr>
      </w:pPr>
      <w:r>
        <w:rPr>
          <w:rFonts w:hint="eastAsia" w:cs="宋体"/>
          <w:b/>
          <w:bCs/>
          <w:color w:val="auto"/>
          <w:kern w:val="0"/>
          <w:sz w:val="24"/>
          <w:highlight w:val="none"/>
        </w:rPr>
        <w:t>投标</w:t>
      </w:r>
      <w:r>
        <w:rPr>
          <w:rFonts w:cs="宋体"/>
          <w:b/>
          <w:bCs/>
          <w:color w:val="auto"/>
          <w:kern w:val="0"/>
          <w:sz w:val="24"/>
          <w:highlight w:val="none"/>
        </w:rPr>
        <w:t>单位</w:t>
      </w:r>
      <w:r>
        <w:rPr>
          <w:rFonts w:hint="eastAsia" w:cs="宋体"/>
          <w:b/>
          <w:bCs/>
          <w:color w:val="auto"/>
          <w:kern w:val="0"/>
          <w:sz w:val="24"/>
          <w:highlight w:val="none"/>
        </w:rPr>
        <w:t>应</w:t>
      </w:r>
      <w:r>
        <w:rPr>
          <w:rFonts w:cs="宋体"/>
          <w:b/>
          <w:bCs/>
          <w:color w:val="auto"/>
          <w:kern w:val="0"/>
          <w:sz w:val="24"/>
          <w:highlight w:val="none"/>
        </w:rPr>
        <w:t>同时提供</w:t>
      </w:r>
      <w:r>
        <w:rPr>
          <w:rFonts w:hint="eastAsia" w:cs="宋体"/>
          <w:b/>
          <w:bCs/>
          <w:color w:val="auto"/>
          <w:kern w:val="0"/>
          <w:sz w:val="24"/>
          <w:highlight w:val="none"/>
        </w:rPr>
        <w:t>有效</w:t>
      </w:r>
      <w:r>
        <w:rPr>
          <w:rFonts w:cs="宋体"/>
          <w:b/>
          <w:bCs/>
          <w:color w:val="auto"/>
          <w:kern w:val="0"/>
          <w:sz w:val="24"/>
          <w:highlight w:val="none"/>
        </w:rPr>
        <w:t>的</w:t>
      </w:r>
      <w:r>
        <w:rPr>
          <w:rFonts w:hint="eastAsia" w:cs="宋体"/>
          <w:b/>
          <w:bCs/>
          <w:color w:val="auto"/>
          <w:kern w:val="0"/>
          <w:sz w:val="24"/>
          <w:highlight w:val="none"/>
        </w:rPr>
        <w:t>《政府</w:t>
      </w:r>
      <w:r>
        <w:rPr>
          <w:rFonts w:cs="宋体"/>
          <w:b/>
          <w:bCs/>
          <w:color w:val="auto"/>
          <w:kern w:val="0"/>
          <w:sz w:val="24"/>
          <w:highlight w:val="none"/>
        </w:rPr>
        <w:t>采购</w:t>
      </w:r>
      <w:r>
        <w:rPr>
          <w:rFonts w:hint="eastAsia" w:cs="宋体"/>
          <w:b/>
          <w:bCs/>
          <w:color w:val="auto"/>
          <w:kern w:val="0"/>
          <w:sz w:val="24"/>
          <w:highlight w:val="none"/>
        </w:rPr>
        <w:t>节能产品、环境标志产品声明函》与有效的节能环保产品认证证明，才能</w:t>
      </w:r>
      <w:r>
        <w:rPr>
          <w:rFonts w:cs="宋体"/>
          <w:b/>
          <w:bCs/>
          <w:color w:val="auto"/>
          <w:kern w:val="0"/>
          <w:sz w:val="24"/>
          <w:highlight w:val="none"/>
        </w:rPr>
        <w:t>享受</w:t>
      </w:r>
      <w:r>
        <w:rPr>
          <w:rFonts w:hint="eastAsia" w:cs="宋体"/>
          <w:b/>
          <w:bCs/>
          <w:color w:val="auto"/>
          <w:kern w:val="0"/>
          <w:sz w:val="24"/>
          <w:highlight w:val="none"/>
        </w:rPr>
        <w:t>节能</w:t>
      </w:r>
      <w:r>
        <w:rPr>
          <w:rFonts w:cs="宋体"/>
          <w:b/>
          <w:bCs/>
          <w:color w:val="auto"/>
          <w:kern w:val="0"/>
          <w:sz w:val="24"/>
          <w:highlight w:val="none"/>
        </w:rPr>
        <w:t>环保优惠政策。</w:t>
      </w:r>
    </w:p>
    <w:p w14:paraId="34B96CF3">
      <w:pPr>
        <w:numPr>
          <w:ilvl w:val="0"/>
          <w:numId w:val="6"/>
        </w:numPr>
        <w:spacing w:line="400" w:lineRule="exact"/>
        <w:rPr>
          <w:rFonts w:cs="宋体"/>
          <w:color w:val="auto"/>
          <w:kern w:val="0"/>
          <w:sz w:val="24"/>
          <w:highlight w:val="none"/>
        </w:rPr>
      </w:pPr>
      <w:r>
        <w:rPr>
          <w:rFonts w:hint="eastAsia"/>
          <w:color w:val="auto"/>
          <w:sz w:val="24"/>
          <w:szCs w:val="22"/>
          <w:highlight w:val="none"/>
        </w:rPr>
        <w:t>本文件应按规定签署，否则投标文件无效。</w:t>
      </w:r>
    </w:p>
    <w:p w14:paraId="49E26B10">
      <w:pPr>
        <w:spacing w:line="400" w:lineRule="exact"/>
        <w:ind w:firstLine="1560" w:firstLineChars="650"/>
        <w:rPr>
          <w:rFonts w:cs="宋体"/>
          <w:color w:val="auto"/>
          <w:kern w:val="0"/>
          <w:sz w:val="24"/>
          <w:highlight w:val="none"/>
        </w:rPr>
      </w:pPr>
    </w:p>
    <w:p w14:paraId="67B3F0A2">
      <w:pPr>
        <w:spacing w:line="400" w:lineRule="exact"/>
        <w:rPr>
          <w:rFonts w:cs="宋体"/>
          <w:color w:val="auto"/>
          <w:kern w:val="0"/>
          <w:sz w:val="24"/>
          <w:highlight w:val="none"/>
        </w:rPr>
      </w:pPr>
      <w:r>
        <w:rPr>
          <w:rFonts w:hint="eastAsia" w:cs="宋体"/>
          <w:color w:val="auto"/>
          <w:kern w:val="0"/>
          <w:sz w:val="24"/>
          <w:highlight w:val="none"/>
        </w:rPr>
        <w:t>投标人</w:t>
      </w:r>
      <w:r>
        <w:rPr>
          <w:rFonts w:cs="宋体"/>
          <w:color w:val="auto"/>
          <w:kern w:val="0"/>
          <w:sz w:val="24"/>
          <w:highlight w:val="none"/>
        </w:rPr>
        <w:t>法定代表人或其授权代表签字</w:t>
      </w:r>
      <w:r>
        <w:rPr>
          <w:rFonts w:hint="eastAsia" w:cs="宋体"/>
          <w:color w:val="auto"/>
          <w:kern w:val="0"/>
          <w:sz w:val="24"/>
          <w:highlight w:val="none"/>
        </w:rPr>
        <w:t>或</w:t>
      </w:r>
      <w:r>
        <w:rPr>
          <w:rFonts w:cs="宋体"/>
          <w:color w:val="auto"/>
          <w:kern w:val="0"/>
          <w:sz w:val="24"/>
          <w:highlight w:val="none"/>
        </w:rPr>
        <w:t>盖章：</w:t>
      </w:r>
    </w:p>
    <w:p w14:paraId="0883ED50">
      <w:pPr>
        <w:spacing w:line="400" w:lineRule="exact"/>
        <w:rPr>
          <w:rFonts w:cs="宋体"/>
          <w:color w:val="auto"/>
          <w:kern w:val="0"/>
          <w:sz w:val="24"/>
          <w:highlight w:val="none"/>
        </w:rPr>
      </w:pPr>
      <w:r>
        <w:rPr>
          <w:rFonts w:hint="eastAsia" w:cs="宋体"/>
          <w:color w:val="auto"/>
          <w:kern w:val="0"/>
          <w:sz w:val="24"/>
          <w:highlight w:val="none"/>
        </w:rPr>
        <w:t>投标人</w:t>
      </w:r>
      <w:r>
        <w:rPr>
          <w:rFonts w:cs="宋体"/>
          <w:color w:val="auto"/>
          <w:kern w:val="0"/>
          <w:sz w:val="24"/>
          <w:highlight w:val="none"/>
        </w:rPr>
        <w:t>公章：</w:t>
      </w:r>
    </w:p>
    <w:p w14:paraId="300C21E5">
      <w:pPr>
        <w:rPr>
          <w:rFonts w:cs="宋体"/>
          <w:color w:val="auto"/>
          <w:kern w:val="0"/>
          <w:sz w:val="24"/>
          <w:highlight w:val="none"/>
        </w:rPr>
      </w:pPr>
      <w:r>
        <w:rPr>
          <w:rFonts w:hint="eastAsia" w:cs="宋体"/>
          <w:color w:val="auto"/>
          <w:kern w:val="0"/>
          <w:sz w:val="24"/>
          <w:highlight w:val="none"/>
        </w:rPr>
        <w:t>年月日</w:t>
      </w:r>
    </w:p>
    <w:p w14:paraId="439CBC4F">
      <w:pPr>
        <w:rPr>
          <w:color w:val="auto"/>
          <w:highlight w:val="none"/>
        </w:rPr>
      </w:pPr>
    </w:p>
    <w:p w14:paraId="4517D660">
      <w:pPr>
        <w:pStyle w:val="45"/>
        <w:snapToGrid w:val="0"/>
        <w:spacing w:line="360" w:lineRule="auto"/>
        <w:jc w:val="center"/>
        <w:outlineLvl w:val="1"/>
        <w:rPr>
          <w:rFonts w:hint="eastAsia" w:hAnsi="宋体" w:cs="宋体"/>
          <w:b/>
          <w:color w:val="auto"/>
          <w:kern w:val="0"/>
          <w:sz w:val="36"/>
          <w:szCs w:val="24"/>
          <w:highlight w:val="none"/>
        </w:rPr>
        <w:sectPr>
          <w:pgSz w:w="11905" w:h="16838"/>
          <w:pgMar w:top="1984" w:right="1417" w:bottom="1417" w:left="1417" w:header="1417" w:footer="850" w:gutter="0"/>
          <w:cols w:space="720" w:num="1"/>
          <w:titlePg/>
          <w:docGrid w:linePitch="312" w:charSpace="0"/>
        </w:sectPr>
      </w:pPr>
    </w:p>
    <w:p w14:paraId="64403A34">
      <w:pPr>
        <w:pStyle w:val="45"/>
        <w:snapToGrid w:val="0"/>
        <w:spacing w:line="360" w:lineRule="auto"/>
        <w:jc w:val="center"/>
        <w:outlineLvl w:val="1"/>
        <w:rPr>
          <w:rFonts w:hAnsi="宋体" w:cs="宋体"/>
          <w:b/>
          <w:color w:val="auto"/>
          <w:kern w:val="0"/>
          <w:sz w:val="36"/>
          <w:szCs w:val="24"/>
          <w:highlight w:val="none"/>
        </w:rPr>
      </w:pPr>
      <w:r>
        <w:rPr>
          <w:rFonts w:hint="eastAsia" w:hAnsi="宋体" w:cs="宋体"/>
          <w:b/>
          <w:color w:val="auto"/>
          <w:kern w:val="0"/>
          <w:sz w:val="36"/>
          <w:szCs w:val="24"/>
          <w:highlight w:val="none"/>
        </w:rPr>
        <w:t>十</w:t>
      </w:r>
      <w:r>
        <w:rPr>
          <w:rFonts w:hint="eastAsia" w:hAnsi="宋体" w:cs="宋体"/>
          <w:b/>
          <w:color w:val="auto"/>
          <w:kern w:val="0"/>
          <w:sz w:val="36"/>
          <w:szCs w:val="24"/>
          <w:highlight w:val="none"/>
          <w:lang w:eastAsia="zh-CN"/>
        </w:rPr>
        <w:t>二</w:t>
      </w:r>
      <w:r>
        <w:rPr>
          <w:rFonts w:hint="eastAsia" w:hAnsi="宋体" w:cs="宋体"/>
          <w:b/>
          <w:color w:val="auto"/>
          <w:kern w:val="0"/>
          <w:sz w:val="36"/>
          <w:szCs w:val="24"/>
          <w:highlight w:val="none"/>
        </w:rPr>
        <w:t>、近三年（202</w:t>
      </w:r>
      <w:r>
        <w:rPr>
          <w:rFonts w:hint="eastAsia" w:hAnsi="宋体" w:cs="宋体"/>
          <w:b/>
          <w:color w:val="auto"/>
          <w:kern w:val="0"/>
          <w:sz w:val="36"/>
          <w:szCs w:val="24"/>
          <w:highlight w:val="none"/>
          <w:lang w:val="en-US" w:eastAsia="zh-CN"/>
        </w:rPr>
        <w:t>3</w:t>
      </w:r>
      <w:r>
        <w:rPr>
          <w:rFonts w:hint="eastAsia" w:hAnsi="宋体" w:cs="宋体"/>
          <w:b/>
          <w:color w:val="auto"/>
          <w:kern w:val="0"/>
          <w:sz w:val="36"/>
          <w:szCs w:val="24"/>
          <w:highlight w:val="none"/>
        </w:rPr>
        <w:t>年1月1日至投标文件递交截止时间）类似项目业绩</w:t>
      </w:r>
    </w:p>
    <w:p w14:paraId="0A1E2C11">
      <w:pPr>
        <w:pStyle w:val="45"/>
        <w:tabs>
          <w:tab w:val="left" w:pos="7770"/>
        </w:tabs>
        <w:snapToGrid w:val="0"/>
        <w:spacing w:line="360" w:lineRule="auto"/>
        <w:ind w:firstLine="480"/>
        <w:jc w:val="left"/>
        <w:rPr>
          <w:rFonts w:hAnsi="宋体" w:cs="宋体"/>
          <w:color w:val="auto"/>
          <w:kern w:val="0"/>
          <w:sz w:val="24"/>
          <w:highlight w:val="none"/>
        </w:rPr>
      </w:pPr>
    </w:p>
    <w:p w14:paraId="411F1506">
      <w:pPr>
        <w:pStyle w:val="45"/>
        <w:tabs>
          <w:tab w:val="left" w:pos="7770"/>
        </w:tabs>
        <w:snapToGrid w:val="0"/>
        <w:spacing w:line="360" w:lineRule="auto"/>
        <w:ind w:firstLine="480" w:firstLineChars="200"/>
        <w:jc w:val="left"/>
        <w:rPr>
          <w:rFonts w:hAnsi="宋体" w:cs="宋体"/>
          <w:color w:val="auto"/>
          <w:kern w:val="0"/>
          <w:sz w:val="24"/>
          <w:szCs w:val="24"/>
          <w:highlight w:val="none"/>
        </w:rPr>
      </w:pPr>
      <w:r>
        <w:rPr>
          <w:rFonts w:hint="eastAsia" w:hAnsi="宋体" w:cs="宋体"/>
          <w:color w:val="auto"/>
          <w:kern w:val="0"/>
          <w:sz w:val="24"/>
          <w:szCs w:val="24"/>
          <w:highlight w:val="none"/>
        </w:rPr>
        <w:t>注：1.以供货合同或中标通知书及供货明细为准，时间以合同签订时间或中标通知书时间为准。提供的证明材料均不得遮挡涂黑，否则不予认定加分。</w:t>
      </w:r>
    </w:p>
    <w:p w14:paraId="04DA010C">
      <w:pPr>
        <w:pStyle w:val="45"/>
        <w:snapToGrid w:val="0"/>
        <w:spacing w:line="360" w:lineRule="auto"/>
        <w:jc w:val="center"/>
        <w:rPr>
          <w:rFonts w:hAnsi="宋体" w:cs="宋体"/>
          <w:b/>
          <w:bCs/>
          <w:color w:val="auto"/>
          <w:kern w:val="0"/>
          <w:sz w:val="36"/>
          <w:szCs w:val="24"/>
          <w:highlight w:val="none"/>
        </w:rPr>
      </w:pPr>
    </w:p>
    <w:p w14:paraId="740E00CE">
      <w:pPr>
        <w:pStyle w:val="45"/>
        <w:snapToGrid w:val="0"/>
        <w:spacing w:line="360" w:lineRule="auto"/>
        <w:ind w:firstLine="723"/>
        <w:jc w:val="center"/>
        <w:rPr>
          <w:rFonts w:hAnsi="宋体" w:cs="宋体"/>
          <w:b/>
          <w:bCs/>
          <w:color w:val="auto"/>
          <w:kern w:val="0"/>
          <w:sz w:val="36"/>
          <w:szCs w:val="24"/>
          <w:highlight w:val="none"/>
        </w:rPr>
      </w:pPr>
    </w:p>
    <w:p w14:paraId="595353B2">
      <w:pPr>
        <w:pStyle w:val="45"/>
        <w:snapToGrid w:val="0"/>
        <w:spacing w:line="360" w:lineRule="auto"/>
        <w:ind w:firstLine="723"/>
        <w:rPr>
          <w:rFonts w:hAnsi="宋体" w:cs="宋体"/>
          <w:b/>
          <w:bCs/>
          <w:color w:val="auto"/>
          <w:kern w:val="0"/>
          <w:sz w:val="36"/>
          <w:szCs w:val="24"/>
          <w:highlight w:val="none"/>
        </w:rPr>
      </w:pPr>
    </w:p>
    <w:p w14:paraId="5B61B453">
      <w:pPr>
        <w:pStyle w:val="45"/>
        <w:snapToGrid w:val="0"/>
        <w:spacing w:line="360" w:lineRule="auto"/>
        <w:ind w:firstLine="723"/>
        <w:jc w:val="center"/>
        <w:rPr>
          <w:rFonts w:hAnsi="宋体" w:cs="宋体"/>
          <w:b/>
          <w:bCs/>
          <w:color w:val="auto"/>
          <w:kern w:val="0"/>
          <w:sz w:val="36"/>
          <w:szCs w:val="24"/>
          <w:highlight w:val="none"/>
        </w:rPr>
      </w:pPr>
    </w:p>
    <w:p w14:paraId="1BE6304F">
      <w:pPr>
        <w:pStyle w:val="45"/>
        <w:snapToGrid w:val="0"/>
        <w:spacing w:line="360" w:lineRule="auto"/>
        <w:jc w:val="center"/>
        <w:outlineLvl w:val="1"/>
        <w:rPr>
          <w:rFonts w:hAnsi="宋体" w:cs="宋体"/>
          <w:color w:val="auto"/>
          <w:kern w:val="0"/>
          <w:sz w:val="36"/>
          <w:szCs w:val="36"/>
          <w:highlight w:val="none"/>
        </w:rPr>
      </w:pPr>
      <w:r>
        <w:rPr>
          <w:rFonts w:hint="eastAsia" w:hAnsi="宋体" w:cs="宋体"/>
          <w:b/>
          <w:color w:val="auto"/>
          <w:kern w:val="0"/>
          <w:sz w:val="36"/>
          <w:szCs w:val="24"/>
          <w:highlight w:val="none"/>
        </w:rPr>
        <w:t>十</w:t>
      </w:r>
      <w:r>
        <w:rPr>
          <w:rFonts w:hint="eastAsia" w:hAnsi="宋体" w:cs="宋体"/>
          <w:b/>
          <w:color w:val="auto"/>
          <w:kern w:val="0"/>
          <w:sz w:val="36"/>
          <w:szCs w:val="24"/>
          <w:highlight w:val="none"/>
          <w:lang w:eastAsia="zh-CN"/>
        </w:rPr>
        <w:t>三</w:t>
      </w:r>
      <w:r>
        <w:rPr>
          <w:rFonts w:hint="eastAsia" w:hAnsi="宋体" w:cs="宋体"/>
          <w:b/>
          <w:color w:val="auto"/>
          <w:kern w:val="0"/>
          <w:sz w:val="36"/>
          <w:szCs w:val="24"/>
          <w:highlight w:val="none"/>
        </w:rPr>
        <w:t>、供货及安装实施方案</w:t>
      </w:r>
    </w:p>
    <w:p w14:paraId="0D465BEE">
      <w:pPr>
        <w:pStyle w:val="45"/>
        <w:tabs>
          <w:tab w:val="left" w:pos="7770"/>
        </w:tabs>
        <w:snapToGrid w:val="0"/>
        <w:spacing w:line="360" w:lineRule="auto"/>
        <w:ind w:firstLine="480" w:firstLineChars="200"/>
        <w:jc w:val="center"/>
        <w:rPr>
          <w:rFonts w:hAnsi="宋体" w:cs="宋体"/>
          <w:color w:val="auto"/>
          <w:kern w:val="0"/>
          <w:sz w:val="24"/>
          <w:szCs w:val="24"/>
          <w:highlight w:val="none"/>
        </w:rPr>
      </w:pPr>
      <w:r>
        <w:rPr>
          <w:rFonts w:hint="eastAsia" w:hAnsi="宋体" w:cs="宋体"/>
          <w:color w:val="auto"/>
          <w:kern w:val="0"/>
          <w:sz w:val="24"/>
          <w:szCs w:val="24"/>
          <w:highlight w:val="none"/>
        </w:rPr>
        <w:t>格式自拟</w:t>
      </w:r>
    </w:p>
    <w:p w14:paraId="1FFBA90D">
      <w:pPr>
        <w:pStyle w:val="45"/>
        <w:snapToGrid w:val="0"/>
        <w:spacing w:line="360" w:lineRule="auto"/>
        <w:ind w:firstLine="723"/>
        <w:rPr>
          <w:rFonts w:hAnsi="宋体" w:cs="宋体"/>
          <w:b/>
          <w:bCs/>
          <w:color w:val="auto"/>
          <w:kern w:val="0"/>
          <w:sz w:val="36"/>
          <w:szCs w:val="24"/>
          <w:highlight w:val="none"/>
        </w:rPr>
      </w:pPr>
    </w:p>
    <w:p w14:paraId="3A870753">
      <w:pPr>
        <w:pStyle w:val="45"/>
        <w:snapToGrid w:val="0"/>
        <w:spacing w:line="360" w:lineRule="auto"/>
        <w:ind w:firstLine="723"/>
        <w:jc w:val="center"/>
        <w:rPr>
          <w:rFonts w:hAnsi="宋体" w:cs="宋体"/>
          <w:b/>
          <w:bCs/>
          <w:color w:val="auto"/>
          <w:kern w:val="0"/>
          <w:sz w:val="36"/>
          <w:szCs w:val="24"/>
          <w:highlight w:val="none"/>
        </w:rPr>
      </w:pPr>
    </w:p>
    <w:p w14:paraId="623DBAD9">
      <w:pPr>
        <w:pStyle w:val="45"/>
        <w:snapToGrid w:val="0"/>
        <w:spacing w:line="360" w:lineRule="auto"/>
        <w:ind w:firstLine="723"/>
        <w:jc w:val="center"/>
        <w:rPr>
          <w:rFonts w:hAnsi="宋体" w:cs="宋体"/>
          <w:b/>
          <w:bCs/>
          <w:color w:val="auto"/>
          <w:kern w:val="0"/>
          <w:sz w:val="36"/>
          <w:szCs w:val="24"/>
          <w:highlight w:val="none"/>
        </w:rPr>
      </w:pPr>
    </w:p>
    <w:p w14:paraId="6445EC3C">
      <w:pPr>
        <w:pStyle w:val="45"/>
        <w:snapToGrid w:val="0"/>
        <w:spacing w:line="360" w:lineRule="auto"/>
        <w:jc w:val="center"/>
        <w:rPr>
          <w:rFonts w:hAnsi="宋体" w:cs="宋体"/>
          <w:b/>
          <w:bCs/>
          <w:color w:val="auto"/>
          <w:kern w:val="0"/>
          <w:sz w:val="36"/>
          <w:szCs w:val="24"/>
          <w:highlight w:val="none"/>
        </w:rPr>
      </w:pPr>
      <w:r>
        <w:rPr>
          <w:rFonts w:hint="eastAsia" w:hAnsi="宋体" w:cs="宋体"/>
          <w:b/>
          <w:color w:val="auto"/>
          <w:kern w:val="0"/>
          <w:sz w:val="36"/>
          <w:szCs w:val="24"/>
          <w:highlight w:val="none"/>
        </w:rPr>
        <w:t>十</w:t>
      </w:r>
      <w:r>
        <w:rPr>
          <w:rFonts w:hint="eastAsia" w:hAnsi="宋体" w:cs="宋体"/>
          <w:b/>
          <w:color w:val="auto"/>
          <w:kern w:val="0"/>
          <w:sz w:val="36"/>
          <w:szCs w:val="24"/>
          <w:highlight w:val="none"/>
          <w:lang w:eastAsia="zh-CN"/>
        </w:rPr>
        <w:t>四</w:t>
      </w:r>
      <w:r>
        <w:rPr>
          <w:rFonts w:hint="eastAsia" w:hAnsi="宋体" w:cs="宋体"/>
          <w:b/>
          <w:color w:val="auto"/>
          <w:kern w:val="0"/>
          <w:sz w:val="36"/>
          <w:szCs w:val="24"/>
          <w:highlight w:val="none"/>
        </w:rPr>
        <w:t>、售后服务方案及技术支持</w:t>
      </w:r>
    </w:p>
    <w:p w14:paraId="75BAC444">
      <w:pPr>
        <w:pStyle w:val="45"/>
        <w:tabs>
          <w:tab w:val="left" w:pos="7770"/>
        </w:tabs>
        <w:snapToGrid w:val="0"/>
        <w:spacing w:line="360" w:lineRule="auto"/>
        <w:ind w:firstLine="480" w:firstLineChars="200"/>
        <w:jc w:val="center"/>
        <w:rPr>
          <w:rFonts w:hAnsi="宋体" w:cs="宋体"/>
          <w:color w:val="auto"/>
          <w:kern w:val="0"/>
          <w:sz w:val="24"/>
          <w:szCs w:val="24"/>
          <w:highlight w:val="none"/>
        </w:rPr>
      </w:pPr>
      <w:r>
        <w:rPr>
          <w:rFonts w:hint="eastAsia" w:hAnsi="宋体" w:cs="宋体"/>
          <w:color w:val="auto"/>
          <w:kern w:val="0"/>
          <w:sz w:val="24"/>
          <w:szCs w:val="24"/>
          <w:highlight w:val="none"/>
        </w:rPr>
        <w:t>格式自拟</w:t>
      </w:r>
    </w:p>
    <w:p w14:paraId="3D6832F6">
      <w:pPr>
        <w:pStyle w:val="45"/>
        <w:snapToGrid w:val="0"/>
        <w:spacing w:line="360" w:lineRule="auto"/>
        <w:ind w:firstLine="723"/>
        <w:jc w:val="center"/>
        <w:rPr>
          <w:rFonts w:hAnsi="宋体" w:cs="宋体"/>
          <w:b/>
          <w:bCs/>
          <w:color w:val="auto"/>
          <w:kern w:val="0"/>
          <w:sz w:val="36"/>
          <w:szCs w:val="24"/>
          <w:highlight w:val="none"/>
        </w:rPr>
      </w:pPr>
    </w:p>
    <w:p w14:paraId="0B8FA745">
      <w:pPr>
        <w:widowControl/>
        <w:jc w:val="left"/>
        <w:rPr>
          <w:rFonts w:ascii="宋体" w:hAnsi="宋体" w:cs="宋体"/>
          <w:b/>
          <w:bCs/>
          <w:color w:val="auto"/>
          <w:kern w:val="0"/>
          <w:sz w:val="36"/>
          <w:highlight w:val="none"/>
        </w:rPr>
      </w:pPr>
      <w:r>
        <w:rPr>
          <w:rFonts w:hAnsi="宋体" w:cs="宋体"/>
          <w:b/>
          <w:bCs/>
          <w:color w:val="auto"/>
          <w:kern w:val="0"/>
          <w:sz w:val="36"/>
          <w:highlight w:val="none"/>
        </w:rPr>
        <w:br w:type="page"/>
      </w:r>
    </w:p>
    <w:bookmarkEnd w:id="151"/>
    <w:bookmarkEnd w:id="152"/>
    <w:p w14:paraId="221F6FB5">
      <w:pPr>
        <w:pStyle w:val="45"/>
        <w:snapToGrid w:val="0"/>
        <w:spacing w:line="360" w:lineRule="auto"/>
        <w:ind w:firstLine="723"/>
        <w:jc w:val="center"/>
        <w:rPr>
          <w:rFonts w:hAnsi="宋体" w:cs="宋体"/>
          <w:b/>
          <w:bCs/>
          <w:color w:val="auto"/>
          <w:kern w:val="0"/>
          <w:sz w:val="36"/>
          <w:szCs w:val="24"/>
          <w:highlight w:val="none"/>
        </w:rPr>
      </w:pPr>
      <w:r>
        <w:rPr>
          <w:rFonts w:hint="eastAsia" w:hAnsi="宋体" w:cs="宋体"/>
          <w:b/>
          <w:bCs/>
          <w:color w:val="auto"/>
          <w:kern w:val="0"/>
          <w:sz w:val="36"/>
          <w:szCs w:val="24"/>
          <w:highlight w:val="none"/>
        </w:rPr>
        <w:t>十</w:t>
      </w:r>
      <w:r>
        <w:rPr>
          <w:rFonts w:hint="eastAsia" w:hAnsi="宋体" w:cs="宋体"/>
          <w:b/>
          <w:bCs/>
          <w:color w:val="auto"/>
          <w:kern w:val="0"/>
          <w:sz w:val="36"/>
          <w:szCs w:val="24"/>
          <w:highlight w:val="none"/>
          <w:lang w:eastAsia="zh-CN"/>
        </w:rPr>
        <w:t>五</w:t>
      </w:r>
      <w:r>
        <w:rPr>
          <w:rFonts w:hint="eastAsia" w:hAnsi="宋体" w:cs="宋体"/>
          <w:b/>
          <w:bCs/>
          <w:color w:val="auto"/>
          <w:kern w:val="0"/>
          <w:sz w:val="36"/>
          <w:szCs w:val="24"/>
          <w:highlight w:val="none"/>
        </w:rPr>
        <w:t>、技术培训方案</w:t>
      </w:r>
    </w:p>
    <w:p w14:paraId="18C00559">
      <w:pPr>
        <w:pStyle w:val="45"/>
        <w:tabs>
          <w:tab w:val="left" w:pos="7770"/>
        </w:tabs>
        <w:snapToGrid w:val="0"/>
        <w:spacing w:line="360" w:lineRule="auto"/>
        <w:ind w:firstLine="480" w:firstLineChars="200"/>
        <w:jc w:val="center"/>
        <w:rPr>
          <w:rFonts w:hAnsi="宋体" w:cs="宋体"/>
          <w:color w:val="auto"/>
          <w:kern w:val="0"/>
          <w:sz w:val="24"/>
          <w:szCs w:val="24"/>
          <w:highlight w:val="none"/>
        </w:rPr>
      </w:pPr>
      <w:r>
        <w:rPr>
          <w:rFonts w:hint="eastAsia" w:hAnsi="宋体" w:cs="宋体"/>
          <w:color w:val="auto"/>
          <w:kern w:val="0"/>
          <w:sz w:val="24"/>
          <w:szCs w:val="24"/>
          <w:highlight w:val="none"/>
        </w:rPr>
        <w:t>格式自拟</w:t>
      </w:r>
    </w:p>
    <w:p w14:paraId="6A8CA9FF">
      <w:pPr>
        <w:pStyle w:val="45"/>
        <w:tabs>
          <w:tab w:val="left" w:pos="7770"/>
        </w:tabs>
        <w:snapToGrid w:val="0"/>
        <w:spacing w:line="360" w:lineRule="auto"/>
        <w:ind w:firstLine="480" w:firstLineChars="200"/>
        <w:jc w:val="left"/>
        <w:rPr>
          <w:rFonts w:hAnsi="宋体" w:cs="宋体"/>
          <w:color w:val="auto"/>
          <w:kern w:val="0"/>
          <w:sz w:val="24"/>
          <w:szCs w:val="24"/>
          <w:highlight w:val="none"/>
        </w:rPr>
      </w:pPr>
    </w:p>
    <w:p w14:paraId="2019CAC7">
      <w:pPr>
        <w:pStyle w:val="99"/>
        <w:numPr>
          <w:ilvl w:val="0"/>
          <w:numId w:val="0"/>
        </w:numPr>
        <w:snapToGrid w:val="0"/>
        <w:ind w:hanging="432"/>
        <w:rPr>
          <w:rFonts w:ascii="宋体" w:hAnsi="宋体" w:cs="宋体"/>
          <w:color w:val="auto"/>
          <w:kern w:val="0"/>
          <w:highlight w:val="none"/>
        </w:rPr>
      </w:pPr>
    </w:p>
    <w:p w14:paraId="133A5446">
      <w:pPr>
        <w:pStyle w:val="45"/>
        <w:snapToGrid w:val="0"/>
        <w:spacing w:line="360" w:lineRule="auto"/>
        <w:ind w:firstLine="723"/>
        <w:jc w:val="center"/>
        <w:rPr>
          <w:rFonts w:hAnsi="宋体" w:cs="宋体"/>
          <w:b/>
          <w:bCs/>
          <w:color w:val="auto"/>
          <w:kern w:val="0"/>
          <w:sz w:val="36"/>
          <w:szCs w:val="24"/>
          <w:highlight w:val="none"/>
        </w:rPr>
      </w:pPr>
    </w:p>
    <w:p w14:paraId="32C7BEA2">
      <w:pPr>
        <w:pStyle w:val="45"/>
        <w:snapToGrid w:val="0"/>
        <w:spacing w:line="360" w:lineRule="auto"/>
        <w:ind w:firstLine="723"/>
        <w:jc w:val="center"/>
        <w:rPr>
          <w:rFonts w:hAnsi="宋体" w:cs="宋体"/>
          <w:b/>
          <w:bCs/>
          <w:color w:val="auto"/>
          <w:kern w:val="0"/>
          <w:sz w:val="36"/>
          <w:szCs w:val="24"/>
          <w:highlight w:val="none"/>
        </w:rPr>
      </w:pPr>
    </w:p>
    <w:p w14:paraId="5DA7D32C">
      <w:pPr>
        <w:pStyle w:val="45"/>
        <w:snapToGrid w:val="0"/>
        <w:spacing w:line="360" w:lineRule="auto"/>
        <w:ind w:firstLine="723"/>
        <w:jc w:val="center"/>
        <w:outlineLvl w:val="1"/>
        <w:rPr>
          <w:rFonts w:hAnsi="宋体" w:cs="宋体"/>
          <w:color w:val="auto"/>
          <w:kern w:val="0"/>
          <w:highlight w:val="none"/>
        </w:rPr>
      </w:pPr>
      <w:r>
        <w:rPr>
          <w:rFonts w:hint="eastAsia" w:hAnsi="宋体" w:cs="宋体"/>
          <w:b/>
          <w:bCs/>
          <w:color w:val="auto"/>
          <w:kern w:val="0"/>
          <w:sz w:val="36"/>
          <w:szCs w:val="24"/>
          <w:highlight w:val="none"/>
        </w:rPr>
        <w:t>十</w:t>
      </w:r>
      <w:r>
        <w:rPr>
          <w:rFonts w:hint="eastAsia" w:hAnsi="宋体" w:cs="宋体"/>
          <w:b/>
          <w:bCs/>
          <w:color w:val="auto"/>
          <w:kern w:val="0"/>
          <w:sz w:val="36"/>
          <w:szCs w:val="24"/>
          <w:highlight w:val="none"/>
          <w:lang w:eastAsia="zh-CN"/>
        </w:rPr>
        <w:t>六</w:t>
      </w:r>
      <w:r>
        <w:rPr>
          <w:rFonts w:hint="eastAsia" w:hAnsi="宋体" w:cs="宋体"/>
          <w:b/>
          <w:bCs/>
          <w:color w:val="auto"/>
          <w:kern w:val="0"/>
          <w:sz w:val="36"/>
          <w:szCs w:val="24"/>
          <w:highlight w:val="none"/>
        </w:rPr>
        <w:t>、投标人</w:t>
      </w:r>
      <w:r>
        <w:rPr>
          <w:rFonts w:hint="eastAsia" w:hAnsi="宋体" w:cs="宋体"/>
          <w:b/>
          <w:bCs/>
          <w:color w:val="auto"/>
          <w:kern w:val="0"/>
          <w:sz w:val="36"/>
          <w:szCs w:val="24"/>
          <w:highlight w:val="none"/>
          <w:lang w:eastAsia="zh-CN"/>
        </w:rPr>
        <w:t>认为</w:t>
      </w:r>
      <w:r>
        <w:rPr>
          <w:rFonts w:hint="eastAsia" w:hAnsi="宋体" w:cs="宋体"/>
          <w:b/>
          <w:bCs/>
          <w:color w:val="auto"/>
          <w:kern w:val="0"/>
          <w:sz w:val="36"/>
          <w:szCs w:val="24"/>
          <w:highlight w:val="none"/>
        </w:rPr>
        <w:t>需提交的其他文件</w:t>
      </w:r>
    </w:p>
    <w:p w14:paraId="32E10652">
      <w:pPr>
        <w:pStyle w:val="45"/>
        <w:tabs>
          <w:tab w:val="left" w:pos="7770"/>
        </w:tabs>
        <w:snapToGrid w:val="0"/>
        <w:spacing w:line="360" w:lineRule="auto"/>
        <w:ind w:firstLine="480" w:firstLineChars="200"/>
        <w:jc w:val="center"/>
        <w:rPr>
          <w:rFonts w:hAnsi="宋体" w:cs="宋体"/>
          <w:color w:val="auto"/>
          <w:kern w:val="0"/>
          <w:sz w:val="24"/>
          <w:szCs w:val="24"/>
          <w:highlight w:val="none"/>
        </w:rPr>
      </w:pPr>
      <w:r>
        <w:rPr>
          <w:rFonts w:hint="eastAsia" w:hAnsi="宋体" w:cs="宋体"/>
          <w:color w:val="auto"/>
          <w:kern w:val="0"/>
          <w:sz w:val="24"/>
          <w:szCs w:val="24"/>
          <w:highlight w:val="none"/>
        </w:rPr>
        <w:t>格式自拟</w:t>
      </w:r>
    </w:p>
    <w:p w14:paraId="4A255292">
      <w:pPr>
        <w:pStyle w:val="45"/>
        <w:snapToGrid w:val="0"/>
        <w:spacing w:line="360" w:lineRule="auto"/>
        <w:ind w:firstLine="480"/>
        <w:jc w:val="center"/>
        <w:rPr>
          <w:rFonts w:hAnsi="宋体" w:cs="宋体"/>
          <w:color w:val="auto"/>
          <w:kern w:val="0"/>
          <w:sz w:val="24"/>
          <w:szCs w:val="24"/>
          <w:highlight w:val="none"/>
        </w:rPr>
      </w:pPr>
    </w:p>
    <w:p w14:paraId="086CC082">
      <w:pPr>
        <w:pStyle w:val="45"/>
        <w:snapToGrid w:val="0"/>
        <w:spacing w:line="360" w:lineRule="auto"/>
        <w:ind w:firstLine="480"/>
        <w:jc w:val="center"/>
        <w:rPr>
          <w:rFonts w:hAnsi="宋体" w:cs="宋体"/>
          <w:color w:val="auto"/>
          <w:kern w:val="0"/>
          <w:sz w:val="24"/>
          <w:szCs w:val="24"/>
          <w:highlight w:val="none"/>
        </w:rPr>
      </w:pPr>
    </w:p>
    <w:p w14:paraId="2B7209F8">
      <w:pPr>
        <w:pStyle w:val="45"/>
        <w:snapToGrid w:val="0"/>
        <w:spacing w:line="360" w:lineRule="auto"/>
        <w:ind w:firstLine="723"/>
        <w:rPr>
          <w:rFonts w:hAnsi="宋体" w:cs="宋体"/>
          <w:b/>
          <w:color w:val="auto"/>
          <w:kern w:val="0"/>
          <w:sz w:val="36"/>
          <w:szCs w:val="24"/>
          <w:highlight w:val="none"/>
        </w:rPr>
      </w:pPr>
    </w:p>
    <w:p w14:paraId="61034D9F">
      <w:pPr>
        <w:pStyle w:val="45"/>
        <w:snapToGrid w:val="0"/>
        <w:spacing w:line="360" w:lineRule="auto"/>
        <w:ind w:firstLine="723"/>
        <w:rPr>
          <w:rFonts w:hAnsi="宋体" w:cs="宋体"/>
          <w:b/>
          <w:color w:val="auto"/>
          <w:kern w:val="0"/>
          <w:sz w:val="36"/>
          <w:szCs w:val="24"/>
          <w:highlight w:val="none"/>
        </w:rPr>
      </w:pPr>
    </w:p>
    <w:p w14:paraId="3BC74CD2">
      <w:pPr>
        <w:pStyle w:val="45"/>
        <w:snapToGrid w:val="0"/>
        <w:spacing w:line="360" w:lineRule="auto"/>
        <w:ind w:firstLine="723"/>
        <w:jc w:val="center"/>
        <w:outlineLvl w:val="1"/>
        <w:rPr>
          <w:rFonts w:hAnsi="宋体" w:cs="宋体"/>
          <w:b/>
          <w:color w:val="auto"/>
          <w:kern w:val="0"/>
          <w:sz w:val="36"/>
          <w:szCs w:val="24"/>
          <w:highlight w:val="none"/>
        </w:rPr>
      </w:pPr>
      <w:bookmarkStart w:id="154" w:name="_Toc12569_WPSOffice_Level1"/>
      <w:bookmarkStart w:id="155" w:name="_Toc27346_WPSOffice_Level1"/>
      <w:r>
        <w:rPr>
          <w:rFonts w:hint="eastAsia" w:hAnsi="宋体" w:cs="宋体"/>
          <w:b/>
          <w:color w:val="auto"/>
          <w:kern w:val="0"/>
          <w:sz w:val="36"/>
          <w:szCs w:val="24"/>
          <w:highlight w:val="none"/>
        </w:rPr>
        <w:t>十</w:t>
      </w:r>
      <w:r>
        <w:rPr>
          <w:rFonts w:hint="eastAsia" w:hAnsi="宋体" w:cs="宋体"/>
          <w:b/>
          <w:color w:val="auto"/>
          <w:kern w:val="0"/>
          <w:sz w:val="36"/>
          <w:szCs w:val="24"/>
          <w:highlight w:val="none"/>
          <w:lang w:eastAsia="zh-CN"/>
        </w:rPr>
        <w:t>七</w:t>
      </w:r>
      <w:r>
        <w:rPr>
          <w:rFonts w:hint="eastAsia" w:hAnsi="宋体" w:cs="宋体"/>
          <w:b/>
          <w:color w:val="auto"/>
          <w:kern w:val="0"/>
          <w:sz w:val="36"/>
          <w:szCs w:val="24"/>
          <w:highlight w:val="none"/>
        </w:rPr>
        <w:t>、投标人</w:t>
      </w:r>
      <w:r>
        <w:rPr>
          <w:rFonts w:hint="eastAsia" w:hAnsi="宋体" w:cs="宋体"/>
          <w:b/>
          <w:color w:val="auto"/>
          <w:kern w:val="0"/>
          <w:sz w:val="36"/>
          <w:szCs w:val="24"/>
          <w:highlight w:val="none"/>
          <w:lang w:eastAsia="zh-CN"/>
        </w:rPr>
        <w:t>认为</w:t>
      </w:r>
      <w:r>
        <w:rPr>
          <w:rFonts w:hint="eastAsia" w:hAnsi="宋体" w:cs="宋体"/>
          <w:b/>
          <w:color w:val="auto"/>
          <w:kern w:val="0"/>
          <w:sz w:val="36"/>
          <w:szCs w:val="24"/>
          <w:highlight w:val="none"/>
        </w:rPr>
        <w:t>需说明的其他问题</w:t>
      </w:r>
      <w:bookmarkEnd w:id="154"/>
      <w:bookmarkEnd w:id="155"/>
    </w:p>
    <w:p w14:paraId="5EB1FC80">
      <w:pPr>
        <w:pStyle w:val="45"/>
        <w:snapToGrid w:val="0"/>
        <w:spacing w:line="360" w:lineRule="auto"/>
        <w:ind w:firstLine="480"/>
        <w:jc w:val="center"/>
        <w:rPr>
          <w:rFonts w:hAnsi="宋体" w:cs="宋体"/>
          <w:color w:val="auto"/>
          <w:kern w:val="0"/>
          <w:sz w:val="24"/>
          <w:highlight w:val="none"/>
        </w:rPr>
      </w:pPr>
      <w:r>
        <w:rPr>
          <w:rFonts w:hint="eastAsia" w:hAnsi="宋体" w:cs="宋体"/>
          <w:color w:val="auto"/>
          <w:kern w:val="0"/>
          <w:sz w:val="24"/>
          <w:highlight w:val="none"/>
        </w:rPr>
        <w:t>投标人可提出补充建议或说明，提出比招标文件的要求更合理的建议方案，同时应说明对技术条件、价格、运行、维护、检修、安装等方面的影响。</w:t>
      </w:r>
    </w:p>
    <w:p w14:paraId="0E005BBC">
      <w:pPr>
        <w:widowControl/>
        <w:jc w:val="left"/>
        <w:rPr>
          <w:rFonts w:ascii="宋体" w:hAnsi="宋体" w:cs="宋体"/>
          <w:color w:val="auto"/>
          <w:kern w:val="0"/>
          <w:sz w:val="24"/>
          <w:szCs w:val="21"/>
          <w:highlight w:val="none"/>
        </w:rPr>
      </w:pPr>
      <w:r>
        <w:rPr>
          <w:rFonts w:hAnsi="宋体" w:cs="宋体"/>
          <w:color w:val="auto"/>
          <w:kern w:val="0"/>
          <w:sz w:val="24"/>
          <w:highlight w:val="none"/>
        </w:rPr>
        <w:br w:type="page"/>
      </w:r>
    </w:p>
    <w:p w14:paraId="33123DED">
      <w:pPr>
        <w:snapToGrid w:val="0"/>
        <w:spacing w:line="360" w:lineRule="auto"/>
        <w:jc w:val="center"/>
        <w:outlineLvl w:val="0"/>
        <w:rPr>
          <w:rFonts w:ascii="宋体" w:hAnsi="宋体" w:cs="宋体"/>
          <w:b/>
          <w:color w:val="auto"/>
          <w:kern w:val="0"/>
          <w:sz w:val="32"/>
          <w:szCs w:val="32"/>
          <w:highlight w:val="none"/>
        </w:rPr>
      </w:pPr>
      <w:bookmarkStart w:id="156" w:name="_Toc11094_WPSOffice_Level1"/>
      <w:bookmarkStart w:id="157" w:name="_Toc24355_WPSOffice_Level1"/>
      <w:r>
        <w:rPr>
          <w:rFonts w:hint="eastAsia" w:ascii="宋体" w:hAnsi="宋体" w:cs="宋体"/>
          <w:b/>
          <w:color w:val="auto"/>
          <w:kern w:val="0"/>
          <w:sz w:val="32"/>
          <w:szCs w:val="32"/>
          <w:highlight w:val="none"/>
        </w:rPr>
        <w:t>资格审查表</w:t>
      </w:r>
    </w:p>
    <w:tbl>
      <w:tblPr>
        <w:tblStyle w:val="88"/>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552"/>
        <w:gridCol w:w="709"/>
        <w:gridCol w:w="709"/>
        <w:gridCol w:w="690"/>
        <w:gridCol w:w="758"/>
      </w:tblGrid>
      <w:tr w14:paraId="516F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09" w:type="dxa"/>
            <w:vMerge w:val="restart"/>
            <w:vAlign w:val="center"/>
          </w:tcPr>
          <w:p w14:paraId="39B434A3">
            <w:pPr>
              <w:snapToGrid w:val="0"/>
              <w:spacing w:line="24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5552" w:type="dxa"/>
            <w:vMerge w:val="restart"/>
            <w:vAlign w:val="center"/>
          </w:tcPr>
          <w:p w14:paraId="444D4CA8">
            <w:pPr>
              <w:snapToGrid w:val="0"/>
              <w:spacing w:line="24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资格审查表（评审结果为合格、不合格）</w:t>
            </w:r>
          </w:p>
        </w:tc>
        <w:tc>
          <w:tcPr>
            <w:tcW w:w="2866" w:type="dxa"/>
            <w:gridSpan w:val="4"/>
            <w:vAlign w:val="center"/>
          </w:tcPr>
          <w:p w14:paraId="386769C8">
            <w:pPr>
              <w:snapToGrid w:val="0"/>
              <w:spacing w:line="24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投标人名称及审查意见（合格、不合格）</w:t>
            </w:r>
          </w:p>
        </w:tc>
      </w:tr>
      <w:tr w14:paraId="760B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09" w:type="dxa"/>
            <w:vMerge w:val="continue"/>
            <w:vAlign w:val="center"/>
          </w:tcPr>
          <w:p w14:paraId="33F54404">
            <w:pPr>
              <w:snapToGrid w:val="0"/>
              <w:spacing w:line="240" w:lineRule="auto"/>
              <w:ind w:firstLine="482"/>
              <w:jc w:val="center"/>
              <w:rPr>
                <w:rFonts w:ascii="宋体" w:hAnsi="宋体" w:cs="宋体"/>
                <w:b/>
                <w:bCs/>
                <w:color w:val="auto"/>
                <w:kern w:val="0"/>
                <w:sz w:val="24"/>
                <w:highlight w:val="none"/>
              </w:rPr>
            </w:pPr>
          </w:p>
        </w:tc>
        <w:tc>
          <w:tcPr>
            <w:tcW w:w="5552" w:type="dxa"/>
            <w:vMerge w:val="continue"/>
            <w:vAlign w:val="center"/>
          </w:tcPr>
          <w:p w14:paraId="76193C0F">
            <w:pPr>
              <w:snapToGrid w:val="0"/>
              <w:spacing w:line="240" w:lineRule="auto"/>
              <w:ind w:firstLine="482"/>
              <w:rPr>
                <w:rFonts w:ascii="宋体" w:hAnsi="宋体" w:cs="宋体"/>
                <w:b/>
                <w:bCs/>
                <w:color w:val="auto"/>
                <w:kern w:val="0"/>
                <w:sz w:val="24"/>
                <w:highlight w:val="none"/>
              </w:rPr>
            </w:pPr>
          </w:p>
        </w:tc>
        <w:tc>
          <w:tcPr>
            <w:tcW w:w="709" w:type="dxa"/>
            <w:vAlign w:val="center"/>
          </w:tcPr>
          <w:p w14:paraId="79F5AB01">
            <w:pPr>
              <w:snapToGrid w:val="0"/>
              <w:spacing w:line="240" w:lineRule="auto"/>
              <w:ind w:firstLine="482"/>
              <w:jc w:val="center"/>
              <w:rPr>
                <w:rFonts w:ascii="宋体" w:hAnsi="宋体" w:cs="宋体"/>
                <w:b/>
                <w:bCs/>
                <w:color w:val="auto"/>
                <w:kern w:val="0"/>
                <w:sz w:val="24"/>
                <w:highlight w:val="none"/>
              </w:rPr>
            </w:pPr>
          </w:p>
        </w:tc>
        <w:tc>
          <w:tcPr>
            <w:tcW w:w="709" w:type="dxa"/>
            <w:vAlign w:val="center"/>
          </w:tcPr>
          <w:p w14:paraId="32C7AFEC">
            <w:pPr>
              <w:snapToGrid w:val="0"/>
              <w:spacing w:line="240" w:lineRule="auto"/>
              <w:ind w:firstLine="482"/>
              <w:jc w:val="center"/>
              <w:rPr>
                <w:rFonts w:ascii="宋体" w:hAnsi="宋体" w:cs="宋体"/>
                <w:b/>
                <w:bCs/>
                <w:color w:val="auto"/>
                <w:kern w:val="0"/>
                <w:sz w:val="24"/>
                <w:highlight w:val="none"/>
              </w:rPr>
            </w:pPr>
          </w:p>
        </w:tc>
        <w:tc>
          <w:tcPr>
            <w:tcW w:w="690" w:type="dxa"/>
            <w:vAlign w:val="center"/>
          </w:tcPr>
          <w:p w14:paraId="73AC5C3C">
            <w:pPr>
              <w:snapToGrid w:val="0"/>
              <w:spacing w:line="240" w:lineRule="auto"/>
              <w:ind w:firstLine="482"/>
              <w:jc w:val="center"/>
              <w:rPr>
                <w:rFonts w:ascii="宋体" w:hAnsi="宋体" w:cs="宋体"/>
                <w:b/>
                <w:bCs/>
                <w:color w:val="auto"/>
                <w:kern w:val="0"/>
                <w:sz w:val="24"/>
                <w:highlight w:val="none"/>
              </w:rPr>
            </w:pPr>
          </w:p>
        </w:tc>
        <w:tc>
          <w:tcPr>
            <w:tcW w:w="758" w:type="dxa"/>
            <w:vAlign w:val="center"/>
          </w:tcPr>
          <w:p w14:paraId="7A011022">
            <w:pPr>
              <w:snapToGrid w:val="0"/>
              <w:spacing w:line="24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p w14:paraId="5F305C39">
            <w:pPr>
              <w:snapToGrid w:val="0"/>
              <w:spacing w:line="240" w:lineRule="auto"/>
              <w:rPr>
                <w:rFonts w:ascii="宋体" w:hAnsi="宋体" w:cs="宋体"/>
                <w:b/>
                <w:bCs/>
                <w:color w:val="auto"/>
                <w:kern w:val="0"/>
                <w:sz w:val="24"/>
                <w:highlight w:val="none"/>
              </w:rPr>
            </w:pPr>
            <w:r>
              <w:rPr>
                <w:rFonts w:hint="eastAsia" w:ascii="宋体" w:hAnsi="宋体" w:cs="宋体"/>
                <w:b/>
                <w:bCs/>
                <w:color w:val="auto"/>
                <w:kern w:val="0"/>
                <w:sz w:val="24"/>
                <w:highlight w:val="none"/>
              </w:rPr>
              <w:t>说明</w:t>
            </w:r>
          </w:p>
        </w:tc>
      </w:tr>
      <w:tr w14:paraId="5A8F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9" w:type="dxa"/>
            <w:vAlign w:val="center"/>
          </w:tcPr>
          <w:p w14:paraId="3240B554">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5552" w:type="dxa"/>
            <w:vAlign w:val="center"/>
          </w:tcPr>
          <w:p w14:paraId="1FA01CE2">
            <w:pPr>
              <w:adjustRightInd w:val="0"/>
              <w:snapToGrid w:val="0"/>
              <w:spacing w:line="240" w:lineRule="auto"/>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按要求提供合法有效的营业执照(或事业单位法人证书)</w:t>
            </w:r>
          </w:p>
        </w:tc>
        <w:tc>
          <w:tcPr>
            <w:tcW w:w="709" w:type="dxa"/>
            <w:vAlign w:val="center"/>
          </w:tcPr>
          <w:p w14:paraId="291053B6">
            <w:pPr>
              <w:adjustRightInd w:val="0"/>
              <w:snapToGrid w:val="0"/>
              <w:spacing w:line="240" w:lineRule="auto"/>
              <w:ind w:firstLine="480"/>
              <w:jc w:val="center"/>
              <w:rPr>
                <w:rFonts w:ascii="宋体" w:hAnsi="宋体" w:cs="宋体"/>
                <w:color w:val="auto"/>
                <w:kern w:val="0"/>
                <w:sz w:val="24"/>
                <w:highlight w:val="none"/>
              </w:rPr>
            </w:pPr>
          </w:p>
        </w:tc>
        <w:tc>
          <w:tcPr>
            <w:tcW w:w="709" w:type="dxa"/>
            <w:vAlign w:val="center"/>
          </w:tcPr>
          <w:p w14:paraId="71024A1C">
            <w:pPr>
              <w:adjustRightInd w:val="0"/>
              <w:snapToGrid w:val="0"/>
              <w:spacing w:line="240" w:lineRule="auto"/>
              <w:ind w:firstLine="480"/>
              <w:jc w:val="center"/>
              <w:rPr>
                <w:rFonts w:ascii="宋体" w:hAnsi="宋体" w:cs="宋体"/>
                <w:color w:val="auto"/>
                <w:kern w:val="0"/>
                <w:sz w:val="24"/>
                <w:highlight w:val="none"/>
              </w:rPr>
            </w:pPr>
          </w:p>
        </w:tc>
        <w:tc>
          <w:tcPr>
            <w:tcW w:w="690" w:type="dxa"/>
            <w:vAlign w:val="center"/>
          </w:tcPr>
          <w:p w14:paraId="0BF763CE">
            <w:pPr>
              <w:adjustRightInd w:val="0"/>
              <w:snapToGrid w:val="0"/>
              <w:spacing w:line="240" w:lineRule="auto"/>
              <w:ind w:firstLine="480"/>
              <w:jc w:val="center"/>
              <w:rPr>
                <w:rFonts w:ascii="宋体" w:hAnsi="宋体" w:cs="宋体"/>
                <w:color w:val="auto"/>
                <w:kern w:val="0"/>
                <w:sz w:val="24"/>
                <w:highlight w:val="none"/>
              </w:rPr>
            </w:pPr>
          </w:p>
        </w:tc>
        <w:tc>
          <w:tcPr>
            <w:tcW w:w="758" w:type="dxa"/>
            <w:vAlign w:val="center"/>
          </w:tcPr>
          <w:p w14:paraId="589D183D">
            <w:pPr>
              <w:adjustRightInd w:val="0"/>
              <w:snapToGrid w:val="0"/>
              <w:spacing w:line="240" w:lineRule="auto"/>
              <w:ind w:firstLine="480"/>
              <w:jc w:val="center"/>
              <w:rPr>
                <w:rFonts w:ascii="宋体" w:hAnsi="宋体" w:cs="宋体"/>
                <w:color w:val="auto"/>
                <w:kern w:val="0"/>
                <w:sz w:val="24"/>
                <w:highlight w:val="none"/>
              </w:rPr>
            </w:pPr>
          </w:p>
        </w:tc>
      </w:tr>
      <w:tr w14:paraId="51B4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09" w:type="dxa"/>
            <w:vAlign w:val="center"/>
          </w:tcPr>
          <w:p w14:paraId="665E0F51">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5552" w:type="dxa"/>
            <w:vAlign w:val="center"/>
          </w:tcPr>
          <w:p w14:paraId="40FB34DF">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年度经过审计的财务会计报告，或202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年基本存款账户开户银行出具的资信证明及基本存款账户开户证明材料</w:t>
            </w:r>
          </w:p>
        </w:tc>
        <w:tc>
          <w:tcPr>
            <w:tcW w:w="709" w:type="dxa"/>
            <w:vAlign w:val="center"/>
          </w:tcPr>
          <w:p w14:paraId="573D0039">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56B977BD">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2B39556C">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732CCB65">
            <w:pPr>
              <w:adjustRightInd w:val="0"/>
              <w:snapToGrid w:val="0"/>
              <w:spacing w:line="240" w:lineRule="auto"/>
              <w:jc w:val="center"/>
              <w:rPr>
                <w:rFonts w:ascii="宋体" w:hAnsi="宋体" w:cs="宋体"/>
                <w:color w:val="auto"/>
                <w:kern w:val="0"/>
                <w:sz w:val="24"/>
                <w:highlight w:val="none"/>
              </w:rPr>
            </w:pPr>
          </w:p>
        </w:tc>
      </w:tr>
      <w:tr w14:paraId="740F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09" w:type="dxa"/>
            <w:vAlign w:val="center"/>
          </w:tcPr>
          <w:p w14:paraId="60DA05AA">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5552" w:type="dxa"/>
            <w:vAlign w:val="center"/>
          </w:tcPr>
          <w:p w14:paraId="05B4937D">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提供履行合同所必须的设备和专业技术能力的证明</w:t>
            </w:r>
          </w:p>
        </w:tc>
        <w:tc>
          <w:tcPr>
            <w:tcW w:w="709" w:type="dxa"/>
            <w:vAlign w:val="center"/>
          </w:tcPr>
          <w:p w14:paraId="02C184C1">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0F18DAD7">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3B3F0841">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4C7A7967">
            <w:pPr>
              <w:adjustRightInd w:val="0"/>
              <w:snapToGrid w:val="0"/>
              <w:spacing w:line="240" w:lineRule="auto"/>
              <w:jc w:val="center"/>
              <w:rPr>
                <w:rFonts w:ascii="宋体" w:hAnsi="宋体" w:cs="宋体"/>
                <w:color w:val="auto"/>
                <w:kern w:val="0"/>
                <w:sz w:val="24"/>
                <w:highlight w:val="none"/>
              </w:rPr>
            </w:pPr>
          </w:p>
        </w:tc>
      </w:tr>
      <w:tr w14:paraId="1041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9" w:type="dxa"/>
            <w:vAlign w:val="center"/>
          </w:tcPr>
          <w:p w14:paraId="15DE1354">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5552" w:type="dxa"/>
            <w:vAlign w:val="center"/>
          </w:tcPr>
          <w:p w14:paraId="17B446C0">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提供开标时间前六个月内任一个月的依法缴纳税收的缴款凭据证明材料</w:t>
            </w:r>
          </w:p>
        </w:tc>
        <w:tc>
          <w:tcPr>
            <w:tcW w:w="709" w:type="dxa"/>
            <w:vAlign w:val="center"/>
          </w:tcPr>
          <w:p w14:paraId="4A8BD6EC">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34798719">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0D12C434">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4C02A18D">
            <w:pPr>
              <w:adjustRightInd w:val="0"/>
              <w:snapToGrid w:val="0"/>
              <w:spacing w:line="240" w:lineRule="auto"/>
              <w:jc w:val="center"/>
              <w:rPr>
                <w:rFonts w:ascii="宋体" w:hAnsi="宋体" w:cs="宋体"/>
                <w:color w:val="auto"/>
                <w:kern w:val="0"/>
                <w:sz w:val="24"/>
                <w:highlight w:val="none"/>
              </w:rPr>
            </w:pPr>
          </w:p>
        </w:tc>
      </w:tr>
      <w:tr w14:paraId="245B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9" w:type="dxa"/>
            <w:vAlign w:val="center"/>
          </w:tcPr>
          <w:p w14:paraId="2073C183">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5552" w:type="dxa"/>
            <w:vAlign w:val="center"/>
          </w:tcPr>
          <w:p w14:paraId="2E341D5E">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提供开标前六个月内任一个月的依法缴纳社会保障资金的缴款凭据证明材料</w:t>
            </w:r>
          </w:p>
        </w:tc>
        <w:tc>
          <w:tcPr>
            <w:tcW w:w="709" w:type="dxa"/>
            <w:vAlign w:val="center"/>
          </w:tcPr>
          <w:p w14:paraId="3DAF2980">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156C7844">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5949D85E">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0CA53A92">
            <w:pPr>
              <w:adjustRightInd w:val="0"/>
              <w:snapToGrid w:val="0"/>
              <w:spacing w:line="240" w:lineRule="auto"/>
              <w:jc w:val="center"/>
              <w:rPr>
                <w:rFonts w:ascii="宋体" w:hAnsi="宋体" w:cs="宋体"/>
                <w:color w:val="auto"/>
                <w:kern w:val="0"/>
                <w:sz w:val="24"/>
                <w:highlight w:val="none"/>
              </w:rPr>
            </w:pPr>
          </w:p>
        </w:tc>
      </w:tr>
      <w:tr w14:paraId="1096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709" w:type="dxa"/>
            <w:vAlign w:val="center"/>
          </w:tcPr>
          <w:p w14:paraId="68E96E66">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5552" w:type="dxa"/>
            <w:vAlign w:val="center"/>
          </w:tcPr>
          <w:p w14:paraId="16CCA548">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提供按给定格式填写并签章诚信投标声明函</w:t>
            </w:r>
          </w:p>
        </w:tc>
        <w:tc>
          <w:tcPr>
            <w:tcW w:w="709" w:type="dxa"/>
            <w:vAlign w:val="center"/>
          </w:tcPr>
          <w:p w14:paraId="3E3EF612">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646D5E81">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379D6DBC">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21063EF7">
            <w:pPr>
              <w:adjustRightInd w:val="0"/>
              <w:snapToGrid w:val="0"/>
              <w:spacing w:line="240" w:lineRule="auto"/>
              <w:jc w:val="center"/>
              <w:rPr>
                <w:rFonts w:ascii="宋体" w:hAnsi="宋体" w:cs="宋体"/>
                <w:color w:val="auto"/>
                <w:kern w:val="0"/>
                <w:sz w:val="24"/>
                <w:highlight w:val="none"/>
              </w:rPr>
            </w:pPr>
          </w:p>
        </w:tc>
      </w:tr>
      <w:tr w14:paraId="198B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709" w:type="dxa"/>
            <w:vAlign w:val="center"/>
          </w:tcPr>
          <w:p w14:paraId="211B34B6">
            <w:pPr>
              <w:adjustRightInd w:val="0"/>
              <w:snapToGrid w:val="0"/>
              <w:spacing w:line="240" w:lineRule="auto"/>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7</w:t>
            </w:r>
          </w:p>
        </w:tc>
        <w:tc>
          <w:tcPr>
            <w:tcW w:w="5552" w:type="dxa"/>
            <w:vAlign w:val="center"/>
          </w:tcPr>
          <w:p w14:paraId="497136E8">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截至开标时间未被“信用中国”网站（www.creditchina.gov.cn）列入失信被执行人和重大税收违法案件当事人名单，不是中国政府采购网（www.ccgp.gov.cn）政府采购严重违法失信行为记录名单中被财政部门禁止参加政府采购活动的供应商（处罚决定规定的时间和地域范围内）</w:t>
            </w:r>
          </w:p>
        </w:tc>
        <w:tc>
          <w:tcPr>
            <w:tcW w:w="709" w:type="dxa"/>
            <w:vAlign w:val="center"/>
          </w:tcPr>
          <w:p w14:paraId="59B903B0">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5450715D">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31EF7ADF">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12AE5B1F">
            <w:pPr>
              <w:adjustRightInd w:val="0"/>
              <w:snapToGrid w:val="0"/>
              <w:spacing w:line="240" w:lineRule="auto"/>
              <w:jc w:val="center"/>
              <w:rPr>
                <w:rFonts w:ascii="宋体" w:hAnsi="宋体" w:cs="宋体"/>
                <w:color w:val="auto"/>
                <w:kern w:val="0"/>
                <w:sz w:val="24"/>
                <w:highlight w:val="none"/>
              </w:rPr>
            </w:pPr>
          </w:p>
        </w:tc>
      </w:tr>
      <w:tr w14:paraId="1D2D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709" w:type="dxa"/>
            <w:vAlign w:val="center"/>
          </w:tcPr>
          <w:p w14:paraId="046CC747">
            <w:pPr>
              <w:adjustRightInd w:val="0"/>
              <w:snapToGrid w:val="0"/>
              <w:spacing w:line="240" w:lineRule="auto"/>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8</w:t>
            </w:r>
          </w:p>
        </w:tc>
        <w:tc>
          <w:tcPr>
            <w:tcW w:w="5552" w:type="dxa"/>
            <w:vAlign w:val="center"/>
          </w:tcPr>
          <w:p w14:paraId="5F61FDF6">
            <w:pPr>
              <w:adjustRightInd w:val="0"/>
              <w:snapToGrid w:val="0"/>
              <w:spacing w:line="24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提供了有效的“中小企业声明函”或“监狱企业证明”或“残疾人福利性单位声明函”</w:t>
            </w:r>
          </w:p>
        </w:tc>
        <w:tc>
          <w:tcPr>
            <w:tcW w:w="709" w:type="dxa"/>
            <w:vAlign w:val="center"/>
          </w:tcPr>
          <w:p w14:paraId="218F9202">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29092710">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520CDDB7">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7546DC0A">
            <w:pPr>
              <w:adjustRightInd w:val="0"/>
              <w:snapToGrid w:val="0"/>
              <w:spacing w:line="240" w:lineRule="auto"/>
              <w:jc w:val="center"/>
              <w:rPr>
                <w:rFonts w:ascii="宋体" w:hAnsi="宋体" w:cs="宋体"/>
                <w:color w:val="auto"/>
                <w:kern w:val="0"/>
                <w:sz w:val="24"/>
                <w:highlight w:val="none"/>
              </w:rPr>
            </w:pPr>
          </w:p>
        </w:tc>
      </w:tr>
      <w:tr w14:paraId="03F1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709" w:type="dxa"/>
            <w:vAlign w:val="center"/>
          </w:tcPr>
          <w:p w14:paraId="3D4DBE9E">
            <w:pPr>
              <w:adjustRightInd w:val="0"/>
              <w:snapToGrid w:val="0"/>
              <w:spacing w:line="240" w:lineRule="auto"/>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9</w:t>
            </w:r>
          </w:p>
        </w:tc>
        <w:tc>
          <w:tcPr>
            <w:tcW w:w="5552" w:type="dxa"/>
            <w:vAlign w:val="center"/>
          </w:tcPr>
          <w:p w14:paraId="61E2BA9A">
            <w:pPr>
              <w:adjustRightInd w:val="0"/>
              <w:snapToGrid w:val="0"/>
              <w:spacing w:line="240" w:lineRule="auto"/>
              <w:jc w:val="left"/>
              <w:rPr>
                <w:rFonts w:hint="eastAsia" w:ascii="宋体" w:hAnsi="宋体" w:cs="宋体"/>
                <w:color w:val="auto"/>
                <w:kern w:val="0"/>
                <w:sz w:val="24"/>
                <w:highlight w:val="none"/>
              </w:rPr>
            </w:pPr>
            <w:r>
              <w:rPr>
                <w:rFonts w:hint="eastAsia"/>
                <w:color w:val="auto"/>
                <w:sz w:val="24"/>
                <w:highlight w:val="none"/>
              </w:rPr>
              <w:t>投标人关联单位的说明符合情况</w:t>
            </w:r>
          </w:p>
        </w:tc>
        <w:tc>
          <w:tcPr>
            <w:tcW w:w="709" w:type="dxa"/>
            <w:vAlign w:val="center"/>
          </w:tcPr>
          <w:p w14:paraId="37C91EF8">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2F895DCC">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3C170667">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0E981384">
            <w:pPr>
              <w:adjustRightInd w:val="0"/>
              <w:snapToGrid w:val="0"/>
              <w:spacing w:line="240" w:lineRule="auto"/>
              <w:jc w:val="center"/>
              <w:rPr>
                <w:rFonts w:ascii="宋体" w:hAnsi="宋体" w:cs="宋体"/>
                <w:color w:val="auto"/>
                <w:kern w:val="0"/>
                <w:sz w:val="24"/>
                <w:highlight w:val="none"/>
              </w:rPr>
            </w:pPr>
          </w:p>
        </w:tc>
      </w:tr>
      <w:tr w14:paraId="0DD6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261" w:type="dxa"/>
            <w:gridSpan w:val="2"/>
            <w:vAlign w:val="center"/>
          </w:tcPr>
          <w:p w14:paraId="23E5ED10">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审查结论</w:t>
            </w:r>
          </w:p>
        </w:tc>
        <w:tc>
          <w:tcPr>
            <w:tcW w:w="709" w:type="dxa"/>
            <w:vAlign w:val="center"/>
          </w:tcPr>
          <w:p w14:paraId="4667B558">
            <w:pPr>
              <w:adjustRightInd w:val="0"/>
              <w:snapToGrid w:val="0"/>
              <w:spacing w:line="240" w:lineRule="auto"/>
              <w:jc w:val="center"/>
              <w:rPr>
                <w:rFonts w:ascii="宋体" w:hAnsi="宋体" w:cs="宋体"/>
                <w:color w:val="auto"/>
                <w:kern w:val="0"/>
                <w:sz w:val="24"/>
                <w:highlight w:val="none"/>
              </w:rPr>
            </w:pPr>
          </w:p>
        </w:tc>
        <w:tc>
          <w:tcPr>
            <w:tcW w:w="709" w:type="dxa"/>
            <w:vAlign w:val="center"/>
          </w:tcPr>
          <w:p w14:paraId="443C6B17">
            <w:pPr>
              <w:adjustRightInd w:val="0"/>
              <w:snapToGrid w:val="0"/>
              <w:spacing w:line="240" w:lineRule="auto"/>
              <w:jc w:val="center"/>
              <w:rPr>
                <w:rFonts w:ascii="宋体" w:hAnsi="宋体" w:cs="宋体"/>
                <w:color w:val="auto"/>
                <w:kern w:val="0"/>
                <w:sz w:val="24"/>
                <w:highlight w:val="none"/>
              </w:rPr>
            </w:pPr>
          </w:p>
        </w:tc>
        <w:tc>
          <w:tcPr>
            <w:tcW w:w="690" w:type="dxa"/>
            <w:vAlign w:val="center"/>
          </w:tcPr>
          <w:p w14:paraId="773650F5">
            <w:pPr>
              <w:adjustRightInd w:val="0"/>
              <w:snapToGrid w:val="0"/>
              <w:spacing w:line="240" w:lineRule="auto"/>
              <w:jc w:val="center"/>
              <w:rPr>
                <w:rFonts w:ascii="宋体" w:hAnsi="宋体" w:cs="宋体"/>
                <w:color w:val="auto"/>
                <w:kern w:val="0"/>
                <w:sz w:val="24"/>
                <w:highlight w:val="none"/>
              </w:rPr>
            </w:pPr>
          </w:p>
        </w:tc>
        <w:tc>
          <w:tcPr>
            <w:tcW w:w="758" w:type="dxa"/>
            <w:vAlign w:val="center"/>
          </w:tcPr>
          <w:p w14:paraId="7FA674CD">
            <w:pPr>
              <w:adjustRightInd w:val="0"/>
              <w:snapToGrid w:val="0"/>
              <w:spacing w:line="240" w:lineRule="auto"/>
              <w:jc w:val="center"/>
              <w:rPr>
                <w:rFonts w:ascii="宋体" w:hAnsi="宋体" w:cs="宋体"/>
                <w:color w:val="auto"/>
                <w:kern w:val="0"/>
                <w:sz w:val="24"/>
                <w:highlight w:val="none"/>
              </w:rPr>
            </w:pPr>
          </w:p>
        </w:tc>
      </w:tr>
      <w:tr w14:paraId="00F8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9127" w:type="dxa"/>
            <w:gridSpan w:val="6"/>
            <w:vAlign w:val="center"/>
          </w:tcPr>
          <w:p w14:paraId="5667A894">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备注：（有不符合项的，需在此处详细写明理由）</w:t>
            </w:r>
          </w:p>
        </w:tc>
      </w:tr>
      <w:tr w14:paraId="5648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709" w:type="dxa"/>
            <w:vAlign w:val="center"/>
          </w:tcPr>
          <w:p w14:paraId="5E6FEBE6">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审查</w:t>
            </w:r>
          </w:p>
          <w:p w14:paraId="38181FA3">
            <w:pPr>
              <w:adjustRightInd w:val="0"/>
              <w:snapToGrid w:val="0"/>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人员</w:t>
            </w:r>
          </w:p>
        </w:tc>
        <w:tc>
          <w:tcPr>
            <w:tcW w:w="8418" w:type="dxa"/>
            <w:gridSpan w:val="5"/>
            <w:vAlign w:val="center"/>
          </w:tcPr>
          <w:p w14:paraId="0176A71B">
            <w:pPr>
              <w:adjustRightInd w:val="0"/>
              <w:snapToGrid w:val="0"/>
              <w:spacing w:line="240" w:lineRule="auto"/>
              <w:rPr>
                <w:rFonts w:ascii="宋体" w:hAnsi="宋体" w:cs="宋体"/>
                <w:color w:val="auto"/>
                <w:kern w:val="0"/>
                <w:sz w:val="24"/>
                <w:highlight w:val="none"/>
              </w:rPr>
            </w:pPr>
            <w:r>
              <w:rPr>
                <w:rFonts w:hint="eastAsia" w:ascii="宋体" w:hAnsi="宋体" w:cs="宋体"/>
                <w:color w:val="auto"/>
                <w:kern w:val="0"/>
                <w:sz w:val="24"/>
                <w:highlight w:val="none"/>
              </w:rPr>
              <w:t>签字：</w:t>
            </w:r>
          </w:p>
          <w:p w14:paraId="530F8452">
            <w:pPr>
              <w:adjustRightInd w:val="0"/>
              <w:snapToGrid w:val="0"/>
              <w:spacing w:line="24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年   月   日</w:t>
            </w:r>
          </w:p>
        </w:tc>
      </w:tr>
    </w:tbl>
    <w:p w14:paraId="3504E201">
      <w:pPr>
        <w:adjustRightInd w:val="0"/>
        <w:snapToGrid w:val="0"/>
        <w:spacing w:line="360" w:lineRule="auto"/>
        <w:ind w:firstLine="482"/>
        <w:jc w:val="left"/>
        <w:rPr>
          <w:rFonts w:ascii="宋体" w:hAnsi="宋体" w:cs="宋体"/>
          <w:b/>
          <w:color w:val="auto"/>
          <w:kern w:val="0"/>
          <w:sz w:val="24"/>
          <w:highlight w:val="none"/>
        </w:rPr>
      </w:pPr>
    </w:p>
    <w:p w14:paraId="4C9EA162">
      <w:pPr>
        <w:adjustRightInd w:val="0"/>
        <w:snapToGrid w:val="0"/>
        <w:spacing w:line="360" w:lineRule="auto"/>
        <w:ind w:firstLine="482"/>
        <w:jc w:val="left"/>
        <w:rPr>
          <w:rFonts w:ascii="宋体" w:hAnsi="宋体" w:cs="宋体"/>
          <w:b/>
          <w:color w:val="auto"/>
          <w:kern w:val="0"/>
          <w:sz w:val="24"/>
          <w:highlight w:val="none"/>
        </w:rPr>
      </w:pPr>
      <w:r>
        <w:rPr>
          <w:rFonts w:hint="eastAsia" w:ascii="宋体" w:hAnsi="宋体" w:cs="宋体"/>
          <w:b/>
          <w:color w:val="auto"/>
          <w:kern w:val="0"/>
          <w:sz w:val="24"/>
          <w:highlight w:val="none"/>
        </w:rPr>
        <w:t>说明：</w:t>
      </w:r>
    </w:p>
    <w:p w14:paraId="084C2F2A">
      <w:pPr>
        <w:adjustRightInd w:val="0"/>
        <w:snapToGrid w:val="0"/>
        <w:spacing w:line="360" w:lineRule="auto"/>
        <w:ind w:firstLine="482"/>
        <w:jc w:val="left"/>
        <w:rPr>
          <w:rFonts w:ascii="宋体" w:hAnsi="宋体" w:cs="宋体"/>
          <w:b/>
          <w:color w:val="auto"/>
          <w:kern w:val="0"/>
          <w:sz w:val="24"/>
          <w:highlight w:val="none"/>
        </w:rPr>
      </w:pPr>
      <w:r>
        <w:rPr>
          <w:rFonts w:hint="eastAsia" w:ascii="宋体" w:hAnsi="宋体" w:cs="宋体"/>
          <w:b/>
          <w:color w:val="auto"/>
          <w:kern w:val="0"/>
          <w:sz w:val="24"/>
          <w:highlight w:val="none"/>
        </w:rPr>
        <w:t>1．该表仅适用于政府采购货物和服务项目的资格审查，由采购人代表或采购代理机构负责。</w:t>
      </w:r>
    </w:p>
    <w:p w14:paraId="318C2556">
      <w:pPr>
        <w:adjustRightInd w:val="0"/>
        <w:snapToGrid w:val="0"/>
        <w:spacing w:line="360" w:lineRule="auto"/>
        <w:ind w:firstLine="482"/>
        <w:jc w:val="left"/>
        <w:rPr>
          <w:rFonts w:ascii="宋体" w:hAnsi="宋体" w:cs="宋体"/>
          <w:b/>
          <w:color w:val="auto"/>
          <w:kern w:val="0"/>
          <w:sz w:val="24"/>
          <w:highlight w:val="none"/>
        </w:rPr>
      </w:pPr>
      <w:r>
        <w:rPr>
          <w:rFonts w:hint="eastAsia" w:ascii="宋体" w:hAnsi="宋体" w:cs="宋体"/>
          <w:b/>
          <w:color w:val="auto"/>
          <w:kern w:val="0"/>
          <w:sz w:val="24"/>
          <w:highlight w:val="none"/>
        </w:rPr>
        <w:t>2．应根据招标文件设定的“供应商资格条件”选择确定具体的审查内容。</w:t>
      </w:r>
    </w:p>
    <w:p w14:paraId="10985380">
      <w:pPr>
        <w:adjustRightInd w:val="0"/>
        <w:snapToGrid w:val="0"/>
        <w:spacing w:line="360" w:lineRule="auto"/>
        <w:ind w:firstLine="482"/>
        <w:jc w:val="left"/>
        <w:rPr>
          <w:rFonts w:ascii="宋体" w:hAnsi="宋体" w:cs="宋体"/>
          <w:b/>
          <w:color w:val="auto"/>
          <w:kern w:val="0"/>
          <w:sz w:val="24"/>
          <w:highlight w:val="none"/>
        </w:rPr>
      </w:pPr>
      <w:r>
        <w:rPr>
          <w:rFonts w:hint="eastAsia" w:ascii="宋体" w:hAnsi="宋体" w:cs="宋体"/>
          <w:b/>
          <w:color w:val="auto"/>
          <w:kern w:val="0"/>
          <w:sz w:val="24"/>
          <w:highlight w:val="none"/>
        </w:rPr>
        <w:t>3．审查情况或结论合格打√，不合格打×，不合格原因应在备注栏内详细说明。</w:t>
      </w:r>
    </w:p>
    <w:p w14:paraId="067E7A36">
      <w:pPr>
        <w:adjustRightInd w:val="0"/>
        <w:snapToGrid w:val="0"/>
        <w:spacing w:line="360" w:lineRule="auto"/>
        <w:ind w:firstLine="482"/>
        <w:jc w:val="left"/>
        <w:rPr>
          <w:rFonts w:ascii="宋体" w:hAnsi="宋体" w:cs="宋体"/>
          <w:b/>
          <w:color w:val="auto"/>
          <w:kern w:val="0"/>
          <w:sz w:val="24"/>
          <w:highlight w:val="none"/>
        </w:rPr>
      </w:pPr>
    </w:p>
    <w:p w14:paraId="48F70AF8">
      <w:pPr>
        <w:widowControl/>
        <w:jc w:val="left"/>
        <w:rPr>
          <w:rFonts w:ascii="宋体" w:hAnsi="宋体" w:cs="宋体"/>
          <w:b/>
          <w:color w:val="auto"/>
          <w:kern w:val="0"/>
          <w:sz w:val="24"/>
          <w:highlight w:val="none"/>
        </w:rPr>
      </w:pPr>
      <w:r>
        <w:rPr>
          <w:rFonts w:ascii="宋体" w:hAnsi="宋体" w:cs="宋体"/>
          <w:b/>
          <w:color w:val="auto"/>
          <w:kern w:val="0"/>
          <w:sz w:val="24"/>
          <w:highlight w:val="none"/>
        </w:rPr>
        <w:br w:type="page"/>
      </w:r>
    </w:p>
    <w:p w14:paraId="2BA293A8">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符合性审查表</w:t>
      </w:r>
      <w:bookmarkEnd w:id="156"/>
      <w:bookmarkEnd w:id="157"/>
    </w:p>
    <w:tbl>
      <w:tblPr>
        <w:tblStyle w:val="8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863"/>
        <w:gridCol w:w="714"/>
        <w:gridCol w:w="714"/>
        <w:gridCol w:w="714"/>
        <w:gridCol w:w="714"/>
        <w:gridCol w:w="714"/>
      </w:tblGrid>
      <w:tr w14:paraId="04FE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25" w:type="dxa"/>
            <w:vMerge w:val="restart"/>
            <w:vAlign w:val="center"/>
          </w:tcPr>
          <w:p w14:paraId="4A9C60C5">
            <w:pPr>
              <w:pStyle w:val="21"/>
              <w:snapToGrid w:val="0"/>
              <w:ind w:firstLine="0" w:firstLineChars="0"/>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4863" w:type="dxa"/>
            <w:vMerge w:val="restart"/>
            <w:vAlign w:val="center"/>
          </w:tcPr>
          <w:p w14:paraId="68FC04D4">
            <w:pPr>
              <w:autoSpaceDE w:val="0"/>
              <w:autoSpaceDN w:val="0"/>
              <w:adjustRightInd w:val="0"/>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审查内容</w:t>
            </w:r>
          </w:p>
        </w:tc>
        <w:tc>
          <w:tcPr>
            <w:tcW w:w="3570" w:type="dxa"/>
            <w:gridSpan w:val="5"/>
            <w:vAlign w:val="center"/>
          </w:tcPr>
          <w:p w14:paraId="5CF1E450">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投标人</w:t>
            </w:r>
          </w:p>
        </w:tc>
      </w:tr>
      <w:tr w14:paraId="6190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825" w:type="dxa"/>
            <w:vMerge w:val="continue"/>
            <w:vAlign w:val="center"/>
          </w:tcPr>
          <w:p w14:paraId="237B7DA1">
            <w:pPr>
              <w:autoSpaceDE w:val="0"/>
              <w:autoSpaceDN w:val="0"/>
              <w:adjustRightInd w:val="0"/>
              <w:snapToGrid w:val="0"/>
              <w:ind w:firstLine="480"/>
              <w:jc w:val="center"/>
              <w:rPr>
                <w:rFonts w:ascii="宋体" w:hAnsi="宋体" w:cs="宋体"/>
                <w:color w:val="auto"/>
                <w:kern w:val="0"/>
                <w:sz w:val="24"/>
                <w:highlight w:val="none"/>
              </w:rPr>
            </w:pPr>
          </w:p>
        </w:tc>
        <w:tc>
          <w:tcPr>
            <w:tcW w:w="4863" w:type="dxa"/>
            <w:vMerge w:val="continue"/>
            <w:vAlign w:val="center"/>
          </w:tcPr>
          <w:p w14:paraId="71A4B4B4">
            <w:pPr>
              <w:autoSpaceDE w:val="0"/>
              <w:autoSpaceDN w:val="0"/>
              <w:adjustRightInd w:val="0"/>
              <w:snapToGrid w:val="0"/>
              <w:ind w:firstLine="480"/>
              <w:jc w:val="center"/>
              <w:rPr>
                <w:rFonts w:ascii="宋体" w:hAnsi="宋体" w:cs="宋体"/>
                <w:color w:val="auto"/>
                <w:kern w:val="0"/>
                <w:sz w:val="24"/>
                <w:highlight w:val="none"/>
              </w:rPr>
            </w:pPr>
          </w:p>
        </w:tc>
        <w:tc>
          <w:tcPr>
            <w:tcW w:w="714" w:type="dxa"/>
            <w:vAlign w:val="center"/>
          </w:tcPr>
          <w:p w14:paraId="1895E7C4">
            <w:pPr>
              <w:snapToGrid w:val="0"/>
              <w:ind w:firstLine="480"/>
              <w:jc w:val="center"/>
              <w:rPr>
                <w:rFonts w:ascii="宋体" w:hAnsi="宋体" w:cs="宋体"/>
                <w:color w:val="auto"/>
                <w:kern w:val="0"/>
                <w:sz w:val="24"/>
                <w:highlight w:val="none"/>
              </w:rPr>
            </w:pPr>
          </w:p>
        </w:tc>
        <w:tc>
          <w:tcPr>
            <w:tcW w:w="714" w:type="dxa"/>
            <w:vAlign w:val="center"/>
          </w:tcPr>
          <w:p w14:paraId="215D5091">
            <w:pPr>
              <w:snapToGrid w:val="0"/>
              <w:ind w:firstLine="480"/>
              <w:jc w:val="center"/>
              <w:rPr>
                <w:rFonts w:ascii="宋体" w:hAnsi="宋体" w:cs="宋体"/>
                <w:color w:val="auto"/>
                <w:kern w:val="0"/>
                <w:sz w:val="24"/>
                <w:highlight w:val="none"/>
              </w:rPr>
            </w:pPr>
          </w:p>
        </w:tc>
        <w:tc>
          <w:tcPr>
            <w:tcW w:w="714" w:type="dxa"/>
            <w:vAlign w:val="center"/>
          </w:tcPr>
          <w:p w14:paraId="6FFFF4D0">
            <w:pPr>
              <w:snapToGrid w:val="0"/>
              <w:ind w:firstLine="480"/>
              <w:jc w:val="center"/>
              <w:rPr>
                <w:rFonts w:ascii="宋体" w:hAnsi="宋体" w:cs="宋体"/>
                <w:color w:val="auto"/>
                <w:kern w:val="0"/>
                <w:sz w:val="24"/>
                <w:highlight w:val="none"/>
              </w:rPr>
            </w:pPr>
          </w:p>
        </w:tc>
        <w:tc>
          <w:tcPr>
            <w:tcW w:w="714" w:type="dxa"/>
            <w:vAlign w:val="center"/>
          </w:tcPr>
          <w:p w14:paraId="7DF8D2CF">
            <w:pPr>
              <w:snapToGrid w:val="0"/>
              <w:ind w:firstLine="480"/>
              <w:jc w:val="center"/>
              <w:rPr>
                <w:rFonts w:ascii="宋体" w:hAnsi="宋体" w:cs="宋体"/>
                <w:color w:val="auto"/>
                <w:kern w:val="0"/>
                <w:sz w:val="24"/>
                <w:highlight w:val="none"/>
              </w:rPr>
            </w:pPr>
          </w:p>
        </w:tc>
        <w:tc>
          <w:tcPr>
            <w:tcW w:w="714" w:type="dxa"/>
            <w:vAlign w:val="center"/>
          </w:tcPr>
          <w:p w14:paraId="037238A6">
            <w:pPr>
              <w:snapToGrid w:val="0"/>
              <w:ind w:firstLine="480"/>
              <w:jc w:val="center"/>
              <w:rPr>
                <w:rFonts w:ascii="宋体" w:hAnsi="宋体" w:cs="宋体"/>
                <w:color w:val="auto"/>
                <w:kern w:val="0"/>
                <w:sz w:val="24"/>
                <w:highlight w:val="none"/>
              </w:rPr>
            </w:pPr>
          </w:p>
        </w:tc>
      </w:tr>
      <w:tr w14:paraId="1525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25" w:type="dxa"/>
            <w:vAlign w:val="center"/>
          </w:tcPr>
          <w:p w14:paraId="79870A27">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w:t>
            </w:r>
          </w:p>
        </w:tc>
        <w:tc>
          <w:tcPr>
            <w:tcW w:w="4863" w:type="dxa"/>
            <w:vAlign w:val="center"/>
          </w:tcPr>
          <w:p w14:paraId="17909ACE">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投标文件中的投标函加盖投标人公章，法定代表人（或委托代理人）印章（或签字），投标函件内容齐全；</w:t>
            </w:r>
          </w:p>
        </w:tc>
        <w:tc>
          <w:tcPr>
            <w:tcW w:w="714" w:type="dxa"/>
            <w:vAlign w:val="center"/>
          </w:tcPr>
          <w:p w14:paraId="14F56946">
            <w:pPr>
              <w:pStyle w:val="21"/>
              <w:snapToGrid w:val="0"/>
              <w:ind w:firstLine="480"/>
              <w:jc w:val="left"/>
              <w:rPr>
                <w:rFonts w:ascii="宋体" w:hAnsi="宋体" w:cs="宋体"/>
                <w:color w:val="auto"/>
                <w:kern w:val="0"/>
                <w:sz w:val="24"/>
                <w:highlight w:val="none"/>
              </w:rPr>
            </w:pPr>
          </w:p>
        </w:tc>
        <w:tc>
          <w:tcPr>
            <w:tcW w:w="714" w:type="dxa"/>
            <w:vAlign w:val="center"/>
          </w:tcPr>
          <w:p w14:paraId="2B40B3E1">
            <w:pPr>
              <w:pStyle w:val="21"/>
              <w:snapToGrid w:val="0"/>
              <w:ind w:firstLine="480"/>
              <w:jc w:val="left"/>
              <w:rPr>
                <w:rFonts w:ascii="宋体" w:hAnsi="宋体" w:cs="宋体"/>
                <w:color w:val="auto"/>
                <w:kern w:val="0"/>
                <w:sz w:val="24"/>
                <w:highlight w:val="none"/>
              </w:rPr>
            </w:pPr>
          </w:p>
        </w:tc>
        <w:tc>
          <w:tcPr>
            <w:tcW w:w="714" w:type="dxa"/>
            <w:vAlign w:val="center"/>
          </w:tcPr>
          <w:p w14:paraId="5768389B">
            <w:pPr>
              <w:pStyle w:val="21"/>
              <w:snapToGrid w:val="0"/>
              <w:ind w:firstLine="480"/>
              <w:jc w:val="left"/>
              <w:rPr>
                <w:rFonts w:ascii="宋体" w:hAnsi="宋体" w:cs="宋体"/>
                <w:color w:val="auto"/>
                <w:kern w:val="0"/>
                <w:sz w:val="24"/>
                <w:highlight w:val="none"/>
              </w:rPr>
            </w:pPr>
          </w:p>
        </w:tc>
        <w:tc>
          <w:tcPr>
            <w:tcW w:w="714" w:type="dxa"/>
            <w:vAlign w:val="center"/>
          </w:tcPr>
          <w:p w14:paraId="765CAD5A">
            <w:pPr>
              <w:pStyle w:val="21"/>
              <w:snapToGrid w:val="0"/>
              <w:ind w:firstLine="480"/>
              <w:jc w:val="left"/>
              <w:rPr>
                <w:rFonts w:ascii="宋体" w:hAnsi="宋体" w:cs="宋体"/>
                <w:color w:val="auto"/>
                <w:kern w:val="0"/>
                <w:sz w:val="24"/>
                <w:highlight w:val="none"/>
              </w:rPr>
            </w:pPr>
          </w:p>
        </w:tc>
        <w:tc>
          <w:tcPr>
            <w:tcW w:w="714" w:type="dxa"/>
            <w:vAlign w:val="center"/>
          </w:tcPr>
          <w:p w14:paraId="651F122C">
            <w:pPr>
              <w:pStyle w:val="21"/>
              <w:snapToGrid w:val="0"/>
              <w:ind w:firstLine="480"/>
              <w:jc w:val="left"/>
              <w:rPr>
                <w:rFonts w:ascii="宋体" w:hAnsi="宋体" w:cs="宋体"/>
                <w:color w:val="auto"/>
                <w:kern w:val="0"/>
                <w:sz w:val="24"/>
                <w:highlight w:val="none"/>
              </w:rPr>
            </w:pPr>
          </w:p>
        </w:tc>
      </w:tr>
      <w:tr w14:paraId="020B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5" w:type="dxa"/>
            <w:vAlign w:val="center"/>
          </w:tcPr>
          <w:p w14:paraId="29C9F1F3">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c>
          <w:tcPr>
            <w:tcW w:w="4863" w:type="dxa"/>
            <w:vAlign w:val="center"/>
          </w:tcPr>
          <w:p w14:paraId="61689071">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法定代表人委托代理人具有合法、有效的委托书原件；</w:t>
            </w:r>
          </w:p>
        </w:tc>
        <w:tc>
          <w:tcPr>
            <w:tcW w:w="714" w:type="dxa"/>
            <w:vAlign w:val="center"/>
          </w:tcPr>
          <w:p w14:paraId="3BA1A1EA">
            <w:pPr>
              <w:pStyle w:val="21"/>
              <w:snapToGrid w:val="0"/>
              <w:ind w:firstLine="480"/>
              <w:jc w:val="left"/>
              <w:rPr>
                <w:rFonts w:ascii="宋体" w:hAnsi="宋体" w:cs="宋体"/>
                <w:color w:val="auto"/>
                <w:kern w:val="0"/>
                <w:sz w:val="24"/>
                <w:highlight w:val="none"/>
              </w:rPr>
            </w:pPr>
          </w:p>
        </w:tc>
        <w:tc>
          <w:tcPr>
            <w:tcW w:w="714" w:type="dxa"/>
            <w:vAlign w:val="center"/>
          </w:tcPr>
          <w:p w14:paraId="3A289915">
            <w:pPr>
              <w:pStyle w:val="21"/>
              <w:snapToGrid w:val="0"/>
              <w:ind w:firstLine="480"/>
              <w:jc w:val="left"/>
              <w:rPr>
                <w:rFonts w:ascii="宋体" w:hAnsi="宋体" w:cs="宋体"/>
                <w:color w:val="auto"/>
                <w:kern w:val="0"/>
                <w:sz w:val="24"/>
                <w:highlight w:val="none"/>
              </w:rPr>
            </w:pPr>
          </w:p>
        </w:tc>
        <w:tc>
          <w:tcPr>
            <w:tcW w:w="714" w:type="dxa"/>
            <w:vAlign w:val="center"/>
          </w:tcPr>
          <w:p w14:paraId="2FFCD5D2">
            <w:pPr>
              <w:pStyle w:val="21"/>
              <w:snapToGrid w:val="0"/>
              <w:ind w:firstLine="480"/>
              <w:jc w:val="left"/>
              <w:rPr>
                <w:rFonts w:ascii="宋体" w:hAnsi="宋体" w:cs="宋体"/>
                <w:color w:val="auto"/>
                <w:kern w:val="0"/>
                <w:sz w:val="24"/>
                <w:highlight w:val="none"/>
              </w:rPr>
            </w:pPr>
          </w:p>
        </w:tc>
        <w:tc>
          <w:tcPr>
            <w:tcW w:w="714" w:type="dxa"/>
            <w:vAlign w:val="center"/>
          </w:tcPr>
          <w:p w14:paraId="1926ADAF">
            <w:pPr>
              <w:pStyle w:val="21"/>
              <w:snapToGrid w:val="0"/>
              <w:ind w:firstLine="480"/>
              <w:jc w:val="left"/>
              <w:rPr>
                <w:rFonts w:ascii="宋体" w:hAnsi="宋体" w:cs="宋体"/>
                <w:color w:val="auto"/>
                <w:kern w:val="0"/>
                <w:sz w:val="24"/>
                <w:highlight w:val="none"/>
              </w:rPr>
            </w:pPr>
          </w:p>
        </w:tc>
        <w:tc>
          <w:tcPr>
            <w:tcW w:w="714" w:type="dxa"/>
            <w:vAlign w:val="center"/>
          </w:tcPr>
          <w:p w14:paraId="4B6D2392">
            <w:pPr>
              <w:pStyle w:val="21"/>
              <w:snapToGrid w:val="0"/>
              <w:ind w:firstLine="480"/>
              <w:jc w:val="left"/>
              <w:rPr>
                <w:rFonts w:ascii="宋体" w:hAnsi="宋体" w:cs="宋体"/>
                <w:color w:val="auto"/>
                <w:kern w:val="0"/>
                <w:sz w:val="24"/>
                <w:highlight w:val="none"/>
              </w:rPr>
            </w:pPr>
          </w:p>
        </w:tc>
      </w:tr>
      <w:tr w14:paraId="3EB4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25" w:type="dxa"/>
            <w:vAlign w:val="center"/>
          </w:tcPr>
          <w:p w14:paraId="0CC2DCD5">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p>
        </w:tc>
        <w:tc>
          <w:tcPr>
            <w:tcW w:w="4863" w:type="dxa"/>
            <w:vAlign w:val="center"/>
          </w:tcPr>
          <w:p w14:paraId="4095D374">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投标文件按规定格式填写，内容齐全、关键字迹清晰，投标文件正、副本数量符合招标文件要求；</w:t>
            </w:r>
          </w:p>
        </w:tc>
        <w:tc>
          <w:tcPr>
            <w:tcW w:w="714" w:type="dxa"/>
            <w:vAlign w:val="center"/>
          </w:tcPr>
          <w:p w14:paraId="05749D85">
            <w:pPr>
              <w:pStyle w:val="21"/>
              <w:snapToGrid w:val="0"/>
              <w:ind w:firstLine="480"/>
              <w:jc w:val="left"/>
              <w:rPr>
                <w:rFonts w:ascii="宋体" w:hAnsi="宋体" w:cs="宋体"/>
                <w:color w:val="auto"/>
                <w:kern w:val="0"/>
                <w:sz w:val="24"/>
                <w:highlight w:val="none"/>
              </w:rPr>
            </w:pPr>
          </w:p>
        </w:tc>
        <w:tc>
          <w:tcPr>
            <w:tcW w:w="714" w:type="dxa"/>
            <w:vAlign w:val="center"/>
          </w:tcPr>
          <w:p w14:paraId="4D24EA5E">
            <w:pPr>
              <w:pStyle w:val="21"/>
              <w:snapToGrid w:val="0"/>
              <w:ind w:firstLine="480"/>
              <w:jc w:val="left"/>
              <w:rPr>
                <w:rFonts w:ascii="宋体" w:hAnsi="宋体" w:cs="宋体"/>
                <w:color w:val="auto"/>
                <w:kern w:val="0"/>
                <w:sz w:val="24"/>
                <w:highlight w:val="none"/>
              </w:rPr>
            </w:pPr>
          </w:p>
        </w:tc>
        <w:tc>
          <w:tcPr>
            <w:tcW w:w="714" w:type="dxa"/>
            <w:vAlign w:val="center"/>
          </w:tcPr>
          <w:p w14:paraId="51EC5DCD">
            <w:pPr>
              <w:pStyle w:val="21"/>
              <w:snapToGrid w:val="0"/>
              <w:ind w:firstLine="480"/>
              <w:jc w:val="left"/>
              <w:rPr>
                <w:rFonts w:ascii="宋体" w:hAnsi="宋体" w:cs="宋体"/>
                <w:color w:val="auto"/>
                <w:kern w:val="0"/>
                <w:sz w:val="24"/>
                <w:highlight w:val="none"/>
              </w:rPr>
            </w:pPr>
          </w:p>
        </w:tc>
        <w:tc>
          <w:tcPr>
            <w:tcW w:w="714" w:type="dxa"/>
            <w:vAlign w:val="center"/>
          </w:tcPr>
          <w:p w14:paraId="7B8D85B2">
            <w:pPr>
              <w:pStyle w:val="21"/>
              <w:snapToGrid w:val="0"/>
              <w:ind w:firstLine="480"/>
              <w:jc w:val="left"/>
              <w:rPr>
                <w:rFonts w:ascii="宋体" w:hAnsi="宋体" w:cs="宋体"/>
                <w:color w:val="auto"/>
                <w:kern w:val="0"/>
                <w:sz w:val="24"/>
                <w:highlight w:val="none"/>
              </w:rPr>
            </w:pPr>
          </w:p>
        </w:tc>
        <w:tc>
          <w:tcPr>
            <w:tcW w:w="714" w:type="dxa"/>
            <w:vAlign w:val="center"/>
          </w:tcPr>
          <w:p w14:paraId="58A05CCA">
            <w:pPr>
              <w:pStyle w:val="21"/>
              <w:snapToGrid w:val="0"/>
              <w:ind w:firstLine="480"/>
              <w:jc w:val="left"/>
              <w:rPr>
                <w:rFonts w:ascii="宋体" w:hAnsi="宋体" w:cs="宋体"/>
                <w:color w:val="auto"/>
                <w:kern w:val="0"/>
                <w:sz w:val="24"/>
                <w:highlight w:val="none"/>
              </w:rPr>
            </w:pPr>
          </w:p>
        </w:tc>
      </w:tr>
      <w:tr w14:paraId="6D7C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0F1C5E86">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4</w:t>
            </w:r>
          </w:p>
        </w:tc>
        <w:tc>
          <w:tcPr>
            <w:tcW w:w="4863" w:type="dxa"/>
            <w:vAlign w:val="center"/>
          </w:tcPr>
          <w:p w14:paraId="47A4214D">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投标人未递交两份或多份内容不同的投标文件，在一份投标文件中对同一项有且只有一个报价，有两个或多个报价时声明了哪一个有效（按招标文件规定提交备选方案的除外）；</w:t>
            </w:r>
          </w:p>
        </w:tc>
        <w:tc>
          <w:tcPr>
            <w:tcW w:w="714" w:type="dxa"/>
            <w:vAlign w:val="center"/>
          </w:tcPr>
          <w:p w14:paraId="7ADD61CE">
            <w:pPr>
              <w:pStyle w:val="21"/>
              <w:snapToGrid w:val="0"/>
              <w:ind w:firstLine="480"/>
              <w:jc w:val="left"/>
              <w:rPr>
                <w:rFonts w:ascii="宋体" w:hAnsi="宋体" w:cs="宋体"/>
                <w:color w:val="auto"/>
                <w:kern w:val="0"/>
                <w:sz w:val="24"/>
                <w:highlight w:val="none"/>
              </w:rPr>
            </w:pPr>
          </w:p>
        </w:tc>
        <w:tc>
          <w:tcPr>
            <w:tcW w:w="714" w:type="dxa"/>
            <w:vAlign w:val="center"/>
          </w:tcPr>
          <w:p w14:paraId="55832885">
            <w:pPr>
              <w:pStyle w:val="21"/>
              <w:snapToGrid w:val="0"/>
              <w:ind w:firstLine="480"/>
              <w:jc w:val="left"/>
              <w:rPr>
                <w:rFonts w:ascii="宋体" w:hAnsi="宋体" w:cs="宋体"/>
                <w:color w:val="auto"/>
                <w:kern w:val="0"/>
                <w:sz w:val="24"/>
                <w:highlight w:val="none"/>
              </w:rPr>
            </w:pPr>
          </w:p>
        </w:tc>
        <w:tc>
          <w:tcPr>
            <w:tcW w:w="714" w:type="dxa"/>
            <w:vAlign w:val="center"/>
          </w:tcPr>
          <w:p w14:paraId="4B7275FE">
            <w:pPr>
              <w:pStyle w:val="21"/>
              <w:snapToGrid w:val="0"/>
              <w:ind w:firstLine="480"/>
              <w:jc w:val="left"/>
              <w:rPr>
                <w:rFonts w:ascii="宋体" w:hAnsi="宋体" w:cs="宋体"/>
                <w:color w:val="auto"/>
                <w:kern w:val="0"/>
                <w:sz w:val="24"/>
                <w:highlight w:val="none"/>
              </w:rPr>
            </w:pPr>
          </w:p>
        </w:tc>
        <w:tc>
          <w:tcPr>
            <w:tcW w:w="714" w:type="dxa"/>
            <w:vAlign w:val="center"/>
          </w:tcPr>
          <w:p w14:paraId="2702FF33">
            <w:pPr>
              <w:pStyle w:val="21"/>
              <w:snapToGrid w:val="0"/>
              <w:ind w:firstLine="480"/>
              <w:jc w:val="left"/>
              <w:rPr>
                <w:rFonts w:ascii="宋体" w:hAnsi="宋体" w:cs="宋体"/>
                <w:color w:val="auto"/>
                <w:kern w:val="0"/>
                <w:sz w:val="24"/>
                <w:highlight w:val="none"/>
              </w:rPr>
            </w:pPr>
          </w:p>
        </w:tc>
        <w:tc>
          <w:tcPr>
            <w:tcW w:w="714" w:type="dxa"/>
            <w:vAlign w:val="center"/>
          </w:tcPr>
          <w:p w14:paraId="56120437">
            <w:pPr>
              <w:pStyle w:val="21"/>
              <w:snapToGrid w:val="0"/>
              <w:ind w:firstLine="480"/>
              <w:jc w:val="left"/>
              <w:rPr>
                <w:rFonts w:ascii="宋体" w:hAnsi="宋体" w:cs="宋体"/>
                <w:color w:val="auto"/>
                <w:kern w:val="0"/>
                <w:sz w:val="24"/>
                <w:highlight w:val="none"/>
              </w:rPr>
            </w:pPr>
          </w:p>
        </w:tc>
      </w:tr>
      <w:tr w14:paraId="2908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11043BC5">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5</w:t>
            </w:r>
          </w:p>
        </w:tc>
        <w:tc>
          <w:tcPr>
            <w:tcW w:w="4863" w:type="dxa"/>
            <w:vAlign w:val="center"/>
          </w:tcPr>
          <w:p w14:paraId="536C3718">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投标报价未超出项目预算、最高限价</w:t>
            </w:r>
            <w:r>
              <w:rPr>
                <w:rFonts w:hint="eastAsia" w:ascii="宋体" w:hAnsi="宋体" w:cs="宋体"/>
                <w:color w:val="auto"/>
                <w:kern w:val="0"/>
                <w:sz w:val="24"/>
                <w:highlight w:val="none"/>
                <w:lang w:eastAsia="zh-CN"/>
              </w:rPr>
              <w:t>、单价未超过单价限价</w:t>
            </w:r>
            <w:r>
              <w:rPr>
                <w:rFonts w:hint="eastAsia" w:ascii="宋体" w:hAnsi="宋体" w:cs="宋体"/>
                <w:color w:val="auto"/>
                <w:kern w:val="0"/>
                <w:sz w:val="24"/>
                <w:highlight w:val="none"/>
              </w:rPr>
              <w:t>；</w:t>
            </w:r>
          </w:p>
        </w:tc>
        <w:tc>
          <w:tcPr>
            <w:tcW w:w="714" w:type="dxa"/>
            <w:vAlign w:val="center"/>
          </w:tcPr>
          <w:p w14:paraId="16A6B2BD">
            <w:pPr>
              <w:pStyle w:val="21"/>
              <w:snapToGrid w:val="0"/>
              <w:ind w:firstLine="480"/>
              <w:jc w:val="left"/>
              <w:rPr>
                <w:rFonts w:ascii="宋体" w:hAnsi="宋体" w:cs="宋体"/>
                <w:color w:val="auto"/>
                <w:kern w:val="0"/>
                <w:sz w:val="24"/>
                <w:highlight w:val="none"/>
              </w:rPr>
            </w:pPr>
          </w:p>
        </w:tc>
        <w:tc>
          <w:tcPr>
            <w:tcW w:w="714" w:type="dxa"/>
            <w:vAlign w:val="center"/>
          </w:tcPr>
          <w:p w14:paraId="6B845192">
            <w:pPr>
              <w:pStyle w:val="21"/>
              <w:snapToGrid w:val="0"/>
              <w:ind w:firstLine="480"/>
              <w:jc w:val="left"/>
              <w:rPr>
                <w:rFonts w:ascii="宋体" w:hAnsi="宋体" w:cs="宋体"/>
                <w:color w:val="auto"/>
                <w:kern w:val="0"/>
                <w:sz w:val="24"/>
                <w:highlight w:val="none"/>
              </w:rPr>
            </w:pPr>
          </w:p>
        </w:tc>
        <w:tc>
          <w:tcPr>
            <w:tcW w:w="714" w:type="dxa"/>
            <w:vAlign w:val="center"/>
          </w:tcPr>
          <w:p w14:paraId="5FFEE1DC">
            <w:pPr>
              <w:pStyle w:val="21"/>
              <w:snapToGrid w:val="0"/>
              <w:ind w:firstLine="480"/>
              <w:jc w:val="left"/>
              <w:rPr>
                <w:rFonts w:ascii="宋体" w:hAnsi="宋体" w:cs="宋体"/>
                <w:color w:val="auto"/>
                <w:kern w:val="0"/>
                <w:sz w:val="24"/>
                <w:highlight w:val="none"/>
              </w:rPr>
            </w:pPr>
          </w:p>
        </w:tc>
        <w:tc>
          <w:tcPr>
            <w:tcW w:w="714" w:type="dxa"/>
            <w:vAlign w:val="center"/>
          </w:tcPr>
          <w:p w14:paraId="4540DF56">
            <w:pPr>
              <w:pStyle w:val="21"/>
              <w:snapToGrid w:val="0"/>
              <w:ind w:firstLine="480"/>
              <w:jc w:val="left"/>
              <w:rPr>
                <w:rFonts w:ascii="宋体" w:hAnsi="宋体" w:cs="宋体"/>
                <w:color w:val="auto"/>
                <w:kern w:val="0"/>
                <w:sz w:val="24"/>
                <w:highlight w:val="none"/>
              </w:rPr>
            </w:pPr>
          </w:p>
        </w:tc>
        <w:tc>
          <w:tcPr>
            <w:tcW w:w="714" w:type="dxa"/>
            <w:vAlign w:val="center"/>
          </w:tcPr>
          <w:p w14:paraId="62177A8B">
            <w:pPr>
              <w:pStyle w:val="21"/>
              <w:snapToGrid w:val="0"/>
              <w:ind w:firstLine="480"/>
              <w:jc w:val="left"/>
              <w:rPr>
                <w:rFonts w:ascii="宋体" w:hAnsi="宋体" w:cs="宋体"/>
                <w:color w:val="auto"/>
                <w:kern w:val="0"/>
                <w:sz w:val="24"/>
                <w:highlight w:val="none"/>
              </w:rPr>
            </w:pPr>
          </w:p>
        </w:tc>
      </w:tr>
      <w:tr w14:paraId="3530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1279BD6C">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6</w:t>
            </w:r>
          </w:p>
        </w:tc>
        <w:tc>
          <w:tcPr>
            <w:tcW w:w="4863" w:type="dxa"/>
            <w:vAlign w:val="center"/>
          </w:tcPr>
          <w:p w14:paraId="2476607F">
            <w:pPr>
              <w:pStyle w:val="21"/>
              <w:snapToGrid w:val="0"/>
              <w:ind w:firstLine="0" w:firstLineChars="0"/>
              <w:jc w:val="left"/>
              <w:rPr>
                <w:rFonts w:ascii="宋体" w:hAnsi="宋体" w:cs="宋体"/>
                <w:color w:val="auto"/>
                <w:kern w:val="0"/>
                <w:sz w:val="24"/>
                <w:highlight w:val="none"/>
              </w:rPr>
            </w:pPr>
            <w:r>
              <w:rPr>
                <w:rFonts w:hint="eastAsia" w:ascii="宋体" w:hAnsi="宋体" w:cs="宋体"/>
                <w:color w:val="auto"/>
                <w:kern w:val="0"/>
                <w:sz w:val="24"/>
                <w:highlight w:val="none"/>
              </w:rPr>
              <w:t>投标文件中“★”条款未出现负偏离，完全满足采购人技术要求；</w:t>
            </w:r>
          </w:p>
        </w:tc>
        <w:tc>
          <w:tcPr>
            <w:tcW w:w="714" w:type="dxa"/>
            <w:vAlign w:val="center"/>
          </w:tcPr>
          <w:p w14:paraId="28BED4D8">
            <w:pPr>
              <w:pStyle w:val="21"/>
              <w:snapToGrid w:val="0"/>
              <w:ind w:firstLine="480"/>
              <w:jc w:val="left"/>
              <w:rPr>
                <w:rFonts w:ascii="宋体" w:hAnsi="宋体" w:cs="宋体"/>
                <w:color w:val="auto"/>
                <w:kern w:val="0"/>
                <w:sz w:val="24"/>
                <w:highlight w:val="none"/>
              </w:rPr>
            </w:pPr>
          </w:p>
        </w:tc>
        <w:tc>
          <w:tcPr>
            <w:tcW w:w="714" w:type="dxa"/>
            <w:vAlign w:val="center"/>
          </w:tcPr>
          <w:p w14:paraId="0571E89B">
            <w:pPr>
              <w:pStyle w:val="21"/>
              <w:snapToGrid w:val="0"/>
              <w:ind w:firstLine="480"/>
              <w:jc w:val="left"/>
              <w:rPr>
                <w:rFonts w:ascii="宋体" w:hAnsi="宋体" w:cs="宋体"/>
                <w:color w:val="auto"/>
                <w:kern w:val="0"/>
                <w:sz w:val="24"/>
                <w:highlight w:val="none"/>
              </w:rPr>
            </w:pPr>
          </w:p>
        </w:tc>
        <w:tc>
          <w:tcPr>
            <w:tcW w:w="714" w:type="dxa"/>
            <w:vAlign w:val="center"/>
          </w:tcPr>
          <w:p w14:paraId="359C5102">
            <w:pPr>
              <w:pStyle w:val="21"/>
              <w:snapToGrid w:val="0"/>
              <w:ind w:firstLine="480"/>
              <w:jc w:val="left"/>
              <w:rPr>
                <w:rFonts w:ascii="宋体" w:hAnsi="宋体" w:cs="宋体"/>
                <w:color w:val="auto"/>
                <w:kern w:val="0"/>
                <w:sz w:val="24"/>
                <w:highlight w:val="none"/>
              </w:rPr>
            </w:pPr>
          </w:p>
        </w:tc>
        <w:tc>
          <w:tcPr>
            <w:tcW w:w="714" w:type="dxa"/>
            <w:vAlign w:val="center"/>
          </w:tcPr>
          <w:p w14:paraId="4750BAA8">
            <w:pPr>
              <w:pStyle w:val="21"/>
              <w:snapToGrid w:val="0"/>
              <w:ind w:firstLine="480"/>
              <w:jc w:val="left"/>
              <w:rPr>
                <w:rFonts w:ascii="宋体" w:hAnsi="宋体" w:cs="宋体"/>
                <w:color w:val="auto"/>
                <w:kern w:val="0"/>
                <w:sz w:val="24"/>
                <w:highlight w:val="none"/>
              </w:rPr>
            </w:pPr>
          </w:p>
        </w:tc>
        <w:tc>
          <w:tcPr>
            <w:tcW w:w="714" w:type="dxa"/>
            <w:vAlign w:val="center"/>
          </w:tcPr>
          <w:p w14:paraId="3DEC8954">
            <w:pPr>
              <w:pStyle w:val="21"/>
              <w:snapToGrid w:val="0"/>
              <w:ind w:firstLine="480"/>
              <w:jc w:val="left"/>
              <w:rPr>
                <w:rFonts w:ascii="宋体" w:hAnsi="宋体" w:cs="宋体"/>
                <w:color w:val="auto"/>
                <w:kern w:val="0"/>
                <w:sz w:val="24"/>
                <w:highlight w:val="none"/>
              </w:rPr>
            </w:pPr>
          </w:p>
        </w:tc>
      </w:tr>
      <w:tr w14:paraId="6369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4A10B118">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7</w:t>
            </w:r>
          </w:p>
        </w:tc>
        <w:tc>
          <w:tcPr>
            <w:tcW w:w="4863" w:type="dxa"/>
            <w:vAlign w:val="center"/>
          </w:tcPr>
          <w:p w14:paraId="116D9CD9">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投标有效期满足招标文件要求；</w:t>
            </w:r>
          </w:p>
        </w:tc>
        <w:tc>
          <w:tcPr>
            <w:tcW w:w="714" w:type="dxa"/>
            <w:vAlign w:val="center"/>
          </w:tcPr>
          <w:p w14:paraId="7A1E8502">
            <w:pPr>
              <w:pStyle w:val="21"/>
              <w:snapToGrid w:val="0"/>
              <w:ind w:firstLine="480"/>
              <w:jc w:val="left"/>
              <w:rPr>
                <w:rFonts w:ascii="宋体" w:hAnsi="宋体" w:cs="宋体"/>
                <w:color w:val="auto"/>
                <w:kern w:val="0"/>
                <w:sz w:val="24"/>
                <w:highlight w:val="none"/>
              </w:rPr>
            </w:pPr>
          </w:p>
        </w:tc>
        <w:tc>
          <w:tcPr>
            <w:tcW w:w="714" w:type="dxa"/>
            <w:vAlign w:val="center"/>
          </w:tcPr>
          <w:p w14:paraId="233AC12A">
            <w:pPr>
              <w:pStyle w:val="21"/>
              <w:snapToGrid w:val="0"/>
              <w:ind w:firstLine="480"/>
              <w:jc w:val="left"/>
              <w:rPr>
                <w:rFonts w:ascii="宋体" w:hAnsi="宋体" w:cs="宋体"/>
                <w:color w:val="auto"/>
                <w:kern w:val="0"/>
                <w:sz w:val="24"/>
                <w:highlight w:val="none"/>
              </w:rPr>
            </w:pPr>
          </w:p>
        </w:tc>
        <w:tc>
          <w:tcPr>
            <w:tcW w:w="714" w:type="dxa"/>
            <w:vAlign w:val="center"/>
          </w:tcPr>
          <w:p w14:paraId="7C22217B">
            <w:pPr>
              <w:pStyle w:val="21"/>
              <w:snapToGrid w:val="0"/>
              <w:ind w:firstLine="480"/>
              <w:jc w:val="left"/>
              <w:rPr>
                <w:rFonts w:ascii="宋体" w:hAnsi="宋体" w:cs="宋体"/>
                <w:color w:val="auto"/>
                <w:kern w:val="0"/>
                <w:sz w:val="24"/>
                <w:highlight w:val="none"/>
              </w:rPr>
            </w:pPr>
          </w:p>
        </w:tc>
        <w:tc>
          <w:tcPr>
            <w:tcW w:w="714" w:type="dxa"/>
            <w:vAlign w:val="center"/>
          </w:tcPr>
          <w:p w14:paraId="79D11566">
            <w:pPr>
              <w:pStyle w:val="21"/>
              <w:snapToGrid w:val="0"/>
              <w:ind w:firstLine="480"/>
              <w:jc w:val="left"/>
              <w:rPr>
                <w:rFonts w:ascii="宋体" w:hAnsi="宋体" w:cs="宋体"/>
                <w:color w:val="auto"/>
                <w:kern w:val="0"/>
                <w:sz w:val="24"/>
                <w:highlight w:val="none"/>
              </w:rPr>
            </w:pPr>
          </w:p>
        </w:tc>
        <w:tc>
          <w:tcPr>
            <w:tcW w:w="714" w:type="dxa"/>
            <w:vAlign w:val="center"/>
          </w:tcPr>
          <w:p w14:paraId="52D714B3">
            <w:pPr>
              <w:pStyle w:val="21"/>
              <w:snapToGrid w:val="0"/>
              <w:ind w:firstLine="480"/>
              <w:jc w:val="left"/>
              <w:rPr>
                <w:rFonts w:ascii="宋体" w:hAnsi="宋体" w:cs="宋体"/>
                <w:color w:val="auto"/>
                <w:kern w:val="0"/>
                <w:sz w:val="24"/>
                <w:highlight w:val="none"/>
              </w:rPr>
            </w:pPr>
          </w:p>
        </w:tc>
      </w:tr>
      <w:tr w14:paraId="4C98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635027D4">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8</w:t>
            </w:r>
          </w:p>
        </w:tc>
        <w:tc>
          <w:tcPr>
            <w:tcW w:w="4863" w:type="dxa"/>
            <w:vAlign w:val="center"/>
          </w:tcPr>
          <w:p w14:paraId="43DD56EF">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投标文件未附有采购人不能接受的条件，对合同中约定的采购人的权利和投标人的义务方面未造成限制；</w:t>
            </w:r>
          </w:p>
        </w:tc>
        <w:tc>
          <w:tcPr>
            <w:tcW w:w="714" w:type="dxa"/>
            <w:vAlign w:val="center"/>
          </w:tcPr>
          <w:p w14:paraId="2C1F020B">
            <w:pPr>
              <w:pStyle w:val="21"/>
              <w:snapToGrid w:val="0"/>
              <w:ind w:firstLine="480"/>
              <w:jc w:val="left"/>
              <w:rPr>
                <w:rFonts w:ascii="宋体" w:hAnsi="宋体" w:cs="宋体"/>
                <w:color w:val="auto"/>
                <w:kern w:val="0"/>
                <w:sz w:val="24"/>
                <w:highlight w:val="none"/>
              </w:rPr>
            </w:pPr>
          </w:p>
        </w:tc>
        <w:tc>
          <w:tcPr>
            <w:tcW w:w="714" w:type="dxa"/>
            <w:vAlign w:val="center"/>
          </w:tcPr>
          <w:p w14:paraId="022E0C2B">
            <w:pPr>
              <w:pStyle w:val="21"/>
              <w:snapToGrid w:val="0"/>
              <w:ind w:firstLine="480"/>
              <w:jc w:val="left"/>
              <w:rPr>
                <w:rFonts w:ascii="宋体" w:hAnsi="宋体" w:cs="宋体"/>
                <w:color w:val="auto"/>
                <w:kern w:val="0"/>
                <w:sz w:val="24"/>
                <w:highlight w:val="none"/>
              </w:rPr>
            </w:pPr>
          </w:p>
        </w:tc>
        <w:tc>
          <w:tcPr>
            <w:tcW w:w="714" w:type="dxa"/>
            <w:vAlign w:val="center"/>
          </w:tcPr>
          <w:p w14:paraId="31E80ACF">
            <w:pPr>
              <w:pStyle w:val="21"/>
              <w:snapToGrid w:val="0"/>
              <w:ind w:firstLine="480"/>
              <w:jc w:val="left"/>
              <w:rPr>
                <w:rFonts w:ascii="宋体" w:hAnsi="宋体" w:cs="宋体"/>
                <w:color w:val="auto"/>
                <w:kern w:val="0"/>
                <w:sz w:val="24"/>
                <w:highlight w:val="none"/>
              </w:rPr>
            </w:pPr>
          </w:p>
        </w:tc>
        <w:tc>
          <w:tcPr>
            <w:tcW w:w="714" w:type="dxa"/>
            <w:vAlign w:val="center"/>
          </w:tcPr>
          <w:p w14:paraId="1289CACB">
            <w:pPr>
              <w:pStyle w:val="21"/>
              <w:snapToGrid w:val="0"/>
              <w:ind w:firstLine="480"/>
              <w:jc w:val="left"/>
              <w:rPr>
                <w:rFonts w:ascii="宋体" w:hAnsi="宋体" w:cs="宋体"/>
                <w:color w:val="auto"/>
                <w:kern w:val="0"/>
                <w:sz w:val="24"/>
                <w:highlight w:val="none"/>
              </w:rPr>
            </w:pPr>
          </w:p>
        </w:tc>
        <w:tc>
          <w:tcPr>
            <w:tcW w:w="714" w:type="dxa"/>
            <w:vAlign w:val="center"/>
          </w:tcPr>
          <w:p w14:paraId="4439557F">
            <w:pPr>
              <w:pStyle w:val="21"/>
              <w:snapToGrid w:val="0"/>
              <w:ind w:firstLine="480"/>
              <w:jc w:val="left"/>
              <w:rPr>
                <w:rFonts w:ascii="宋体" w:hAnsi="宋体" w:cs="宋体"/>
                <w:color w:val="auto"/>
                <w:kern w:val="0"/>
                <w:sz w:val="24"/>
                <w:highlight w:val="none"/>
              </w:rPr>
            </w:pPr>
          </w:p>
        </w:tc>
      </w:tr>
      <w:tr w14:paraId="0EA2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25" w:type="dxa"/>
            <w:vAlign w:val="center"/>
          </w:tcPr>
          <w:p w14:paraId="38268406">
            <w:pPr>
              <w:pStyle w:val="21"/>
              <w:snapToGrid w:val="0"/>
              <w:ind w:firstLine="0" w:firstLineChars="0"/>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9</w:t>
            </w:r>
          </w:p>
        </w:tc>
        <w:tc>
          <w:tcPr>
            <w:tcW w:w="4863" w:type="dxa"/>
            <w:vAlign w:val="center"/>
          </w:tcPr>
          <w:p w14:paraId="79BCDAA0">
            <w:pPr>
              <w:snapToGrid w:val="0"/>
              <w:rPr>
                <w:rFonts w:ascii="宋体" w:hAnsi="宋体" w:cs="宋体"/>
                <w:color w:val="auto"/>
                <w:kern w:val="0"/>
                <w:sz w:val="24"/>
                <w:highlight w:val="none"/>
              </w:rPr>
            </w:pPr>
            <w:r>
              <w:rPr>
                <w:rFonts w:hint="eastAsia" w:ascii="宋体" w:hAnsi="宋体" w:cs="宋体"/>
                <w:color w:val="auto"/>
                <w:kern w:val="0"/>
                <w:sz w:val="24"/>
                <w:highlight w:val="none"/>
              </w:rPr>
              <w:t>投标人投标文件中供货期、质保期满足招标文件要求，偏离表内容齐全；</w:t>
            </w:r>
          </w:p>
        </w:tc>
        <w:tc>
          <w:tcPr>
            <w:tcW w:w="714" w:type="dxa"/>
            <w:vAlign w:val="center"/>
          </w:tcPr>
          <w:p w14:paraId="1B04751F">
            <w:pPr>
              <w:pStyle w:val="21"/>
              <w:snapToGrid w:val="0"/>
              <w:ind w:firstLine="480"/>
              <w:jc w:val="left"/>
              <w:rPr>
                <w:rFonts w:ascii="宋体" w:hAnsi="宋体" w:cs="宋体"/>
                <w:color w:val="auto"/>
                <w:kern w:val="0"/>
                <w:sz w:val="24"/>
                <w:highlight w:val="none"/>
              </w:rPr>
            </w:pPr>
          </w:p>
        </w:tc>
        <w:tc>
          <w:tcPr>
            <w:tcW w:w="714" w:type="dxa"/>
            <w:vAlign w:val="center"/>
          </w:tcPr>
          <w:p w14:paraId="3A57A64D">
            <w:pPr>
              <w:pStyle w:val="21"/>
              <w:snapToGrid w:val="0"/>
              <w:ind w:firstLine="480"/>
              <w:jc w:val="left"/>
              <w:rPr>
                <w:rFonts w:ascii="宋体" w:hAnsi="宋体" w:cs="宋体"/>
                <w:color w:val="auto"/>
                <w:kern w:val="0"/>
                <w:sz w:val="24"/>
                <w:highlight w:val="none"/>
              </w:rPr>
            </w:pPr>
          </w:p>
        </w:tc>
        <w:tc>
          <w:tcPr>
            <w:tcW w:w="714" w:type="dxa"/>
            <w:vAlign w:val="center"/>
          </w:tcPr>
          <w:p w14:paraId="31BE214B">
            <w:pPr>
              <w:pStyle w:val="21"/>
              <w:snapToGrid w:val="0"/>
              <w:ind w:firstLine="480"/>
              <w:jc w:val="left"/>
              <w:rPr>
                <w:rFonts w:ascii="宋体" w:hAnsi="宋体" w:cs="宋体"/>
                <w:color w:val="auto"/>
                <w:kern w:val="0"/>
                <w:sz w:val="24"/>
                <w:highlight w:val="none"/>
              </w:rPr>
            </w:pPr>
          </w:p>
        </w:tc>
        <w:tc>
          <w:tcPr>
            <w:tcW w:w="714" w:type="dxa"/>
            <w:vAlign w:val="center"/>
          </w:tcPr>
          <w:p w14:paraId="329A114E">
            <w:pPr>
              <w:pStyle w:val="21"/>
              <w:snapToGrid w:val="0"/>
              <w:ind w:firstLine="480"/>
              <w:jc w:val="left"/>
              <w:rPr>
                <w:rFonts w:ascii="宋体" w:hAnsi="宋体" w:cs="宋体"/>
                <w:color w:val="auto"/>
                <w:kern w:val="0"/>
                <w:sz w:val="24"/>
                <w:highlight w:val="none"/>
              </w:rPr>
            </w:pPr>
          </w:p>
        </w:tc>
        <w:tc>
          <w:tcPr>
            <w:tcW w:w="714" w:type="dxa"/>
            <w:vAlign w:val="center"/>
          </w:tcPr>
          <w:p w14:paraId="78576CB9">
            <w:pPr>
              <w:pStyle w:val="21"/>
              <w:snapToGrid w:val="0"/>
              <w:ind w:firstLine="480"/>
              <w:jc w:val="left"/>
              <w:rPr>
                <w:rFonts w:ascii="宋体" w:hAnsi="宋体" w:cs="宋体"/>
                <w:color w:val="auto"/>
                <w:kern w:val="0"/>
                <w:sz w:val="24"/>
                <w:highlight w:val="none"/>
              </w:rPr>
            </w:pPr>
          </w:p>
        </w:tc>
      </w:tr>
      <w:tr w14:paraId="109D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825" w:type="dxa"/>
            <w:vAlign w:val="center"/>
          </w:tcPr>
          <w:p w14:paraId="04BE249A">
            <w:pPr>
              <w:pStyle w:val="21"/>
              <w:snapToGrid w:val="0"/>
              <w:ind w:firstLine="0" w:firstLineChars="0"/>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10</w:t>
            </w:r>
          </w:p>
        </w:tc>
        <w:tc>
          <w:tcPr>
            <w:tcW w:w="4863" w:type="dxa"/>
            <w:vAlign w:val="center"/>
          </w:tcPr>
          <w:p w14:paraId="2227DB2F">
            <w:pPr>
              <w:pStyle w:val="21"/>
              <w:snapToGrid w:val="0"/>
              <w:ind w:firstLine="0" w:firstLineChars="0"/>
              <w:jc w:val="left"/>
              <w:rPr>
                <w:rFonts w:ascii="宋体" w:hAnsi="宋体" w:cs="宋体"/>
                <w:color w:val="auto"/>
                <w:kern w:val="0"/>
                <w:sz w:val="24"/>
                <w:highlight w:val="none"/>
              </w:rPr>
            </w:pPr>
            <w:r>
              <w:rPr>
                <w:rFonts w:hint="eastAsia" w:ascii="宋体" w:hAnsi="宋体" w:cs="宋体"/>
                <w:color w:val="auto"/>
                <w:kern w:val="0"/>
                <w:sz w:val="24"/>
                <w:highlight w:val="none"/>
              </w:rPr>
              <w:t>符合法律、法规和招标文件规定的其他实质性要求。</w:t>
            </w:r>
          </w:p>
        </w:tc>
        <w:tc>
          <w:tcPr>
            <w:tcW w:w="714" w:type="dxa"/>
            <w:vAlign w:val="center"/>
          </w:tcPr>
          <w:p w14:paraId="5D3C73CA">
            <w:pPr>
              <w:pStyle w:val="21"/>
              <w:snapToGrid w:val="0"/>
              <w:ind w:firstLine="480"/>
              <w:jc w:val="left"/>
              <w:rPr>
                <w:rFonts w:ascii="宋体" w:hAnsi="宋体" w:cs="宋体"/>
                <w:color w:val="auto"/>
                <w:kern w:val="0"/>
                <w:sz w:val="24"/>
                <w:highlight w:val="none"/>
              </w:rPr>
            </w:pPr>
          </w:p>
        </w:tc>
        <w:tc>
          <w:tcPr>
            <w:tcW w:w="714" w:type="dxa"/>
            <w:vAlign w:val="center"/>
          </w:tcPr>
          <w:p w14:paraId="5A08FC77">
            <w:pPr>
              <w:pStyle w:val="21"/>
              <w:snapToGrid w:val="0"/>
              <w:ind w:firstLine="480"/>
              <w:jc w:val="left"/>
              <w:rPr>
                <w:rFonts w:ascii="宋体" w:hAnsi="宋体" w:cs="宋体"/>
                <w:color w:val="auto"/>
                <w:kern w:val="0"/>
                <w:sz w:val="24"/>
                <w:highlight w:val="none"/>
              </w:rPr>
            </w:pPr>
          </w:p>
        </w:tc>
        <w:tc>
          <w:tcPr>
            <w:tcW w:w="714" w:type="dxa"/>
            <w:vAlign w:val="center"/>
          </w:tcPr>
          <w:p w14:paraId="725B80C8">
            <w:pPr>
              <w:pStyle w:val="21"/>
              <w:snapToGrid w:val="0"/>
              <w:ind w:firstLine="480"/>
              <w:jc w:val="left"/>
              <w:rPr>
                <w:rFonts w:ascii="宋体" w:hAnsi="宋体" w:cs="宋体"/>
                <w:color w:val="auto"/>
                <w:kern w:val="0"/>
                <w:sz w:val="24"/>
                <w:highlight w:val="none"/>
              </w:rPr>
            </w:pPr>
          </w:p>
        </w:tc>
        <w:tc>
          <w:tcPr>
            <w:tcW w:w="714" w:type="dxa"/>
            <w:vAlign w:val="center"/>
          </w:tcPr>
          <w:p w14:paraId="452ED4C7">
            <w:pPr>
              <w:pStyle w:val="21"/>
              <w:snapToGrid w:val="0"/>
              <w:ind w:firstLine="480"/>
              <w:jc w:val="left"/>
              <w:rPr>
                <w:rFonts w:ascii="宋体" w:hAnsi="宋体" w:cs="宋体"/>
                <w:color w:val="auto"/>
                <w:kern w:val="0"/>
                <w:sz w:val="24"/>
                <w:highlight w:val="none"/>
              </w:rPr>
            </w:pPr>
          </w:p>
        </w:tc>
        <w:tc>
          <w:tcPr>
            <w:tcW w:w="714" w:type="dxa"/>
            <w:vAlign w:val="center"/>
          </w:tcPr>
          <w:p w14:paraId="773E67AB">
            <w:pPr>
              <w:pStyle w:val="21"/>
              <w:snapToGrid w:val="0"/>
              <w:ind w:firstLine="480"/>
              <w:jc w:val="left"/>
              <w:rPr>
                <w:rFonts w:ascii="宋体" w:hAnsi="宋体" w:cs="宋体"/>
                <w:color w:val="auto"/>
                <w:kern w:val="0"/>
                <w:sz w:val="24"/>
                <w:highlight w:val="none"/>
              </w:rPr>
            </w:pPr>
          </w:p>
        </w:tc>
      </w:tr>
      <w:tr w14:paraId="5615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825" w:type="dxa"/>
            <w:vAlign w:val="center"/>
          </w:tcPr>
          <w:p w14:paraId="038C2834">
            <w:pPr>
              <w:pStyle w:val="21"/>
              <w:snapToGrid w:val="0"/>
              <w:ind w:firstLine="0" w:firstLineChars="0"/>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11</w:t>
            </w:r>
          </w:p>
        </w:tc>
        <w:tc>
          <w:tcPr>
            <w:tcW w:w="4863" w:type="dxa"/>
            <w:vAlign w:val="center"/>
          </w:tcPr>
          <w:p w14:paraId="70EE4A55">
            <w:pPr>
              <w:pStyle w:val="21"/>
              <w:snapToGrid w:val="0"/>
              <w:ind w:firstLine="0" w:firstLineChars="0"/>
              <w:jc w:val="left"/>
              <w:rPr>
                <w:rFonts w:hint="eastAsia" w:ascii="宋体" w:hAnsi="宋体" w:cs="宋体"/>
                <w:color w:val="auto"/>
                <w:kern w:val="0"/>
                <w:sz w:val="24"/>
                <w:highlight w:val="none"/>
              </w:rPr>
            </w:pPr>
            <w:r>
              <w:rPr>
                <w:rFonts w:hint="eastAsia" w:ascii="Times New Roman" w:hAnsi="Times New Roman"/>
                <w:color w:val="auto"/>
                <w:kern w:val="2"/>
                <w:sz w:val="24"/>
                <w:szCs w:val="24"/>
                <w:highlight w:val="none"/>
              </w:rPr>
              <w:t>各投标人所投核心产品的品牌是否达到三家以上（表格内具体列明每家投标人的品牌）</w:t>
            </w:r>
          </w:p>
        </w:tc>
        <w:tc>
          <w:tcPr>
            <w:tcW w:w="714" w:type="dxa"/>
            <w:vAlign w:val="center"/>
          </w:tcPr>
          <w:p w14:paraId="5549369B">
            <w:pPr>
              <w:pStyle w:val="21"/>
              <w:snapToGrid w:val="0"/>
              <w:ind w:firstLine="480"/>
              <w:jc w:val="left"/>
              <w:rPr>
                <w:rFonts w:ascii="宋体" w:hAnsi="宋体" w:cs="宋体"/>
                <w:color w:val="auto"/>
                <w:kern w:val="0"/>
                <w:sz w:val="24"/>
                <w:highlight w:val="none"/>
              </w:rPr>
            </w:pPr>
          </w:p>
        </w:tc>
        <w:tc>
          <w:tcPr>
            <w:tcW w:w="714" w:type="dxa"/>
            <w:vAlign w:val="center"/>
          </w:tcPr>
          <w:p w14:paraId="7D7B1B9A">
            <w:pPr>
              <w:pStyle w:val="21"/>
              <w:snapToGrid w:val="0"/>
              <w:ind w:firstLine="480"/>
              <w:jc w:val="left"/>
              <w:rPr>
                <w:rFonts w:ascii="宋体" w:hAnsi="宋体" w:cs="宋体"/>
                <w:color w:val="auto"/>
                <w:kern w:val="0"/>
                <w:sz w:val="24"/>
                <w:highlight w:val="none"/>
              </w:rPr>
            </w:pPr>
          </w:p>
        </w:tc>
        <w:tc>
          <w:tcPr>
            <w:tcW w:w="714" w:type="dxa"/>
            <w:vAlign w:val="center"/>
          </w:tcPr>
          <w:p w14:paraId="5200F560">
            <w:pPr>
              <w:pStyle w:val="21"/>
              <w:snapToGrid w:val="0"/>
              <w:ind w:firstLine="480"/>
              <w:jc w:val="left"/>
              <w:rPr>
                <w:rFonts w:ascii="宋体" w:hAnsi="宋体" w:cs="宋体"/>
                <w:color w:val="auto"/>
                <w:kern w:val="0"/>
                <w:sz w:val="24"/>
                <w:highlight w:val="none"/>
              </w:rPr>
            </w:pPr>
          </w:p>
        </w:tc>
        <w:tc>
          <w:tcPr>
            <w:tcW w:w="714" w:type="dxa"/>
            <w:vAlign w:val="center"/>
          </w:tcPr>
          <w:p w14:paraId="3F2D5434">
            <w:pPr>
              <w:pStyle w:val="21"/>
              <w:snapToGrid w:val="0"/>
              <w:ind w:firstLine="480"/>
              <w:jc w:val="left"/>
              <w:rPr>
                <w:rFonts w:ascii="宋体" w:hAnsi="宋体" w:cs="宋体"/>
                <w:color w:val="auto"/>
                <w:kern w:val="0"/>
                <w:sz w:val="24"/>
                <w:highlight w:val="none"/>
              </w:rPr>
            </w:pPr>
          </w:p>
        </w:tc>
        <w:tc>
          <w:tcPr>
            <w:tcW w:w="714" w:type="dxa"/>
            <w:vAlign w:val="center"/>
          </w:tcPr>
          <w:p w14:paraId="10E943E5">
            <w:pPr>
              <w:pStyle w:val="21"/>
              <w:snapToGrid w:val="0"/>
              <w:ind w:firstLine="480"/>
              <w:jc w:val="left"/>
              <w:rPr>
                <w:rFonts w:ascii="宋体" w:hAnsi="宋体" w:cs="宋体"/>
                <w:color w:val="auto"/>
                <w:kern w:val="0"/>
                <w:sz w:val="24"/>
                <w:highlight w:val="none"/>
              </w:rPr>
            </w:pPr>
          </w:p>
        </w:tc>
      </w:tr>
      <w:tr w14:paraId="20E0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5688" w:type="dxa"/>
            <w:gridSpan w:val="2"/>
            <w:vAlign w:val="center"/>
          </w:tcPr>
          <w:p w14:paraId="793374E9">
            <w:pPr>
              <w:pStyle w:val="21"/>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审查结论</w:t>
            </w:r>
          </w:p>
        </w:tc>
        <w:tc>
          <w:tcPr>
            <w:tcW w:w="714" w:type="dxa"/>
            <w:vAlign w:val="center"/>
          </w:tcPr>
          <w:p w14:paraId="146EA6BD">
            <w:pPr>
              <w:pStyle w:val="21"/>
              <w:snapToGrid w:val="0"/>
              <w:ind w:firstLine="480"/>
              <w:jc w:val="center"/>
              <w:rPr>
                <w:rFonts w:ascii="宋体" w:hAnsi="宋体" w:cs="宋体"/>
                <w:color w:val="auto"/>
                <w:kern w:val="0"/>
                <w:sz w:val="24"/>
                <w:highlight w:val="none"/>
              </w:rPr>
            </w:pPr>
          </w:p>
        </w:tc>
        <w:tc>
          <w:tcPr>
            <w:tcW w:w="714" w:type="dxa"/>
            <w:vAlign w:val="center"/>
          </w:tcPr>
          <w:p w14:paraId="31207C4F">
            <w:pPr>
              <w:pStyle w:val="21"/>
              <w:snapToGrid w:val="0"/>
              <w:ind w:firstLine="480"/>
              <w:jc w:val="center"/>
              <w:rPr>
                <w:rFonts w:ascii="宋体" w:hAnsi="宋体" w:cs="宋体"/>
                <w:color w:val="auto"/>
                <w:kern w:val="0"/>
                <w:sz w:val="24"/>
                <w:highlight w:val="none"/>
              </w:rPr>
            </w:pPr>
          </w:p>
        </w:tc>
        <w:tc>
          <w:tcPr>
            <w:tcW w:w="714" w:type="dxa"/>
            <w:vAlign w:val="center"/>
          </w:tcPr>
          <w:p w14:paraId="10C1D36F">
            <w:pPr>
              <w:pStyle w:val="21"/>
              <w:snapToGrid w:val="0"/>
              <w:ind w:firstLine="480"/>
              <w:jc w:val="center"/>
              <w:rPr>
                <w:rFonts w:ascii="宋体" w:hAnsi="宋体" w:cs="宋体"/>
                <w:color w:val="auto"/>
                <w:kern w:val="0"/>
                <w:sz w:val="24"/>
                <w:highlight w:val="none"/>
              </w:rPr>
            </w:pPr>
          </w:p>
        </w:tc>
        <w:tc>
          <w:tcPr>
            <w:tcW w:w="714" w:type="dxa"/>
            <w:vAlign w:val="center"/>
          </w:tcPr>
          <w:p w14:paraId="12CEF007">
            <w:pPr>
              <w:pStyle w:val="21"/>
              <w:snapToGrid w:val="0"/>
              <w:ind w:firstLine="480"/>
              <w:jc w:val="center"/>
              <w:rPr>
                <w:rFonts w:ascii="宋体" w:hAnsi="宋体" w:cs="宋体"/>
                <w:color w:val="auto"/>
                <w:kern w:val="0"/>
                <w:sz w:val="24"/>
                <w:highlight w:val="none"/>
              </w:rPr>
            </w:pPr>
          </w:p>
        </w:tc>
        <w:tc>
          <w:tcPr>
            <w:tcW w:w="714" w:type="dxa"/>
            <w:vAlign w:val="center"/>
          </w:tcPr>
          <w:p w14:paraId="7CDB3AFD">
            <w:pPr>
              <w:pStyle w:val="21"/>
              <w:snapToGrid w:val="0"/>
              <w:ind w:firstLine="480"/>
              <w:jc w:val="center"/>
              <w:rPr>
                <w:rFonts w:ascii="宋体" w:hAnsi="宋体" w:cs="宋体"/>
                <w:color w:val="auto"/>
                <w:kern w:val="0"/>
                <w:sz w:val="24"/>
                <w:highlight w:val="none"/>
              </w:rPr>
            </w:pPr>
          </w:p>
        </w:tc>
      </w:tr>
      <w:tr w14:paraId="1CBE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9258" w:type="dxa"/>
            <w:gridSpan w:val="7"/>
            <w:vAlign w:val="center"/>
          </w:tcPr>
          <w:p w14:paraId="1F45171D">
            <w:pPr>
              <w:pStyle w:val="21"/>
              <w:snapToGrid w:val="0"/>
              <w:ind w:firstLine="0" w:firstLineChars="0"/>
              <w:rPr>
                <w:rFonts w:ascii="宋体" w:hAnsi="宋体" w:cs="宋体"/>
                <w:color w:val="auto"/>
                <w:kern w:val="0"/>
                <w:sz w:val="24"/>
                <w:highlight w:val="none"/>
              </w:rPr>
            </w:pPr>
            <w:r>
              <w:rPr>
                <w:rFonts w:hint="eastAsia" w:ascii="宋体" w:hAnsi="宋体" w:cs="宋体"/>
                <w:color w:val="auto"/>
                <w:kern w:val="0"/>
                <w:sz w:val="24"/>
                <w:highlight w:val="none"/>
              </w:rPr>
              <w:t xml:space="preserve">评委签字：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 xml:space="preserve">年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 xml:space="preserve">月 </w:t>
            </w:r>
            <w:r>
              <w:rPr>
                <w:rFonts w:ascii="宋体" w:hAnsi="宋体" w:cs="宋体"/>
                <w:color w:val="auto"/>
                <w:kern w:val="0"/>
                <w:sz w:val="24"/>
                <w:highlight w:val="none"/>
              </w:rPr>
              <w:t xml:space="preserve">  </w:t>
            </w:r>
            <w:r>
              <w:rPr>
                <w:rFonts w:hint="eastAsia" w:ascii="宋体" w:hAnsi="宋体" w:cs="宋体"/>
                <w:color w:val="auto"/>
                <w:kern w:val="0"/>
                <w:sz w:val="24"/>
                <w:highlight w:val="none"/>
              </w:rPr>
              <w:t>日</w:t>
            </w:r>
          </w:p>
        </w:tc>
      </w:tr>
    </w:tbl>
    <w:p w14:paraId="4F1DE374">
      <w:pPr>
        <w:snapToGrid w:val="0"/>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 xml:space="preserve">注：1.合格项打√，不合格项打×，不合格原因请在备注栏内注明。 </w:t>
      </w:r>
    </w:p>
    <w:p w14:paraId="6BBB2DFB">
      <w:pPr>
        <w:widowControl/>
        <w:jc w:val="left"/>
        <w:rPr>
          <w:rFonts w:ascii="宋体" w:hAnsi="宋体" w:cs="宋体"/>
          <w:b/>
          <w:color w:val="auto"/>
          <w:kern w:val="0"/>
          <w:szCs w:val="21"/>
          <w:highlight w:val="none"/>
        </w:rPr>
      </w:pPr>
      <w:r>
        <w:rPr>
          <w:rFonts w:ascii="宋体" w:hAnsi="宋体" w:cs="宋体"/>
          <w:b/>
          <w:color w:val="auto"/>
          <w:kern w:val="0"/>
          <w:szCs w:val="21"/>
          <w:highlight w:val="none"/>
        </w:rPr>
        <w:br w:type="page"/>
      </w:r>
    </w:p>
    <w:p w14:paraId="7A91FC0A">
      <w:pPr>
        <w:snapToGrid w:val="0"/>
        <w:spacing w:line="360" w:lineRule="auto"/>
        <w:jc w:val="left"/>
        <w:outlineLvl w:val="0"/>
        <w:rPr>
          <w:rFonts w:ascii="宋体" w:hAnsi="宋体" w:cs="宋体"/>
          <w:b/>
          <w:color w:val="auto"/>
          <w:kern w:val="0"/>
          <w:sz w:val="32"/>
          <w:szCs w:val="32"/>
          <w:highlight w:val="none"/>
        </w:rPr>
      </w:pPr>
      <w:bookmarkStart w:id="158" w:name="_Toc2147_WPSOffice_Level1"/>
      <w:bookmarkStart w:id="159" w:name="_Toc23969_WPSOffice_Level1"/>
      <w:r>
        <w:rPr>
          <w:rFonts w:hint="eastAsia" w:ascii="宋体" w:hAnsi="宋体" w:cs="宋体"/>
          <w:b/>
          <w:color w:val="auto"/>
          <w:kern w:val="0"/>
          <w:sz w:val="32"/>
          <w:szCs w:val="32"/>
          <w:highlight w:val="none"/>
        </w:rPr>
        <w:t>附件一：评分标准</w:t>
      </w:r>
      <w:bookmarkEnd w:id="158"/>
      <w:bookmarkEnd w:id="159"/>
    </w:p>
    <w:tbl>
      <w:tblPr>
        <w:tblStyle w:val="88"/>
        <w:tblW w:w="9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50"/>
        <w:gridCol w:w="709"/>
        <w:gridCol w:w="6778"/>
      </w:tblGrid>
      <w:tr w14:paraId="48F5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46" w:type="dxa"/>
            <w:vAlign w:val="center"/>
          </w:tcPr>
          <w:p w14:paraId="0C4ED2CC">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p>
        </w:tc>
        <w:tc>
          <w:tcPr>
            <w:tcW w:w="850" w:type="dxa"/>
            <w:vAlign w:val="center"/>
          </w:tcPr>
          <w:p w14:paraId="56E9F49F">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分项名称</w:t>
            </w:r>
          </w:p>
        </w:tc>
        <w:tc>
          <w:tcPr>
            <w:tcW w:w="709" w:type="dxa"/>
            <w:vAlign w:val="center"/>
          </w:tcPr>
          <w:p w14:paraId="7FE4BF96">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满分分值</w:t>
            </w:r>
          </w:p>
        </w:tc>
        <w:tc>
          <w:tcPr>
            <w:tcW w:w="6778" w:type="dxa"/>
            <w:vAlign w:val="center"/>
          </w:tcPr>
          <w:p w14:paraId="38D56A4E">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13DA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846" w:type="dxa"/>
            <w:vAlign w:val="center"/>
          </w:tcPr>
          <w:p w14:paraId="617DB93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价格得分</w:t>
            </w:r>
          </w:p>
        </w:tc>
        <w:tc>
          <w:tcPr>
            <w:tcW w:w="850" w:type="dxa"/>
            <w:vAlign w:val="center"/>
          </w:tcPr>
          <w:p w14:paraId="6C16029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w:t>
            </w:r>
          </w:p>
          <w:p w14:paraId="28B9541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w:t>
            </w:r>
          </w:p>
        </w:tc>
        <w:tc>
          <w:tcPr>
            <w:tcW w:w="709" w:type="dxa"/>
            <w:vAlign w:val="center"/>
          </w:tcPr>
          <w:p w14:paraId="064A593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6778" w:type="dxa"/>
            <w:vAlign w:val="center"/>
          </w:tcPr>
          <w:p w14:paraId="5F9834E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满足招标文件要求且投标价格最低的投标人的投标报价为评 </w:t>
            </w:r>
          </w:p>
          <w:p w14:paraId="23DBA31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标基准价，其价格分为满分。其他投标人价格得分=（评标基准 </w:t>
            </w:r>
          </w:p>
          <w:p w14:paraId="07EEB1B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bidi="ar"/>
              </w:rPr>
              <w:t>价/投标报价）×30</w:t>
            </w:r>
            <w:r>
              <w:rPr>
                <w:rFonts w:hint="eastAsia" w:ascii="宋体" w:hAnsi="宋体" w:cs="宋体"/>
                <w:color w:val="auto"/>
                <w:kern w:val="0"/>
                <w:sz w:val="24"/>
                <w:szCs w:val="24"/>
                <w:highlight w:val="none"/>
                <w:lang w:eastAsia="zh-CN" w:bidi="ar"/>
              </w:rPr>
              <w:t>。</w:t>
            </w:r>
          </w:p>
        </w:tc>
      </w:tr>
      <w:tr w14:paraId="2DDF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6" w:type="dxa"/>
            <w:vAlign w:val="center"/>
          </w:tcPr>
          <w:p w14:paraId="749C7C4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技术得分</w:t>
            </w:r>
          </w:p>
        </w:tc>
        <w:tc>
          <w:tcPr>
            <w:tcW w:w="850" w:type="dxa"/>
            <w:vAlign w:val="center"/>
          </w:tcPr>
          <w:p w14:paraId="7F05B48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满足产品技术参数要求情况</w:t>
            </w:r>
          </w:p>
        </w:tc>
        <w:tc>
          <w:tcPr>
            <w:tcW w:w="709" w:type="dxa"/>
            <w:vAlign w:val="center"/>
          </w:tcPr>
          <w:p w14:paraId="5F9EDEB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48.2</w:t>
            </w:r>
          </w:p>
        </w:tc>
        <w:tc>
          <w:tcPr>
            <w:tcW w:w="6778" w:type="dxa"/>
            <w:vAlign w:val="top"/>
          </w:tcPr>
          <w:p w14:paraId="3C75181D">
            <w:pPr>
              <w:spacing w:line="360" w:lineRule="auto"/>
              <w:rPr>
                <w:rFonts w:hint="eastAsia" w:cs="宋体"/>
                <w:color w:val="auto"/>
                <w:sz w:val="24"/>
                <w:highlight w:val="none"/>
              </w:rPr>
            </w:pPr>
            <w:r>
              <w:rPr>
                <w:rFonts w:hint="eastAsia" w:cs="宋体"/>
                <w:color w:val="auto"/>
                <w:sz w:val="24"/>
                <w:highlight w:val="none"/>
              </w:rPr>
              <w:t>1、对标注为“★”的技术条款，须完全满足，任何偏离都有可能被视为未做出实质性响应；</w:t>
            </w:r>
          </w:p>
          <w:p w14:paraId="0DBBA524">
            <w:pPr>
              <w:spacing w:line="360" w:lineRule="auto"/>
              <w:rPr>
                <w:rFonts w:hint="eastAsia" w:cs="宋体"/>
                <w:color w:val="auto"/>
                <w:sz w:val="24"/>
                <w:highlight w:val="none"/>
              </w:rPr>
            </w:pPr>
            <w:r>
              <w:rPr>
                <w:rFonts w:hint="eastAsia" w:cs="宋体"/>
                <w:color w:val="auto"/>
                <w:sz w:val="24"/>
                <w:highlight w:val="none"/>
              </w:rPr>
              <w:t>2、每有一项“▲”项参数完全满足要求或正偏离得</w:t>
            </w:r>
            <w:r>
              <w:rPr>
                <w:rFonts w:hint="eastAsia" w:cs="宋体"/>
                <w:color w:val="auto"/>
                <w:sz w:val="24"/>
                <w:highlight w:val="none"/>
                <w:lang w:val="en-US" w:eastAsia="zh-CN"/>
              </w:rPr>
              <w:t>2</w:t>
            </w:r>
            <w:r>
              <w:rPr>
                <w:rFonts w:hint="eastAsia" w:cs="宋体"/>
                <w:color w:val="auto"/>
                <w:sz w:val="24"/>
                <w:highlight w:val="none"/>
              </w:rPr>
              <w:t>分（部分满足的不得分，共</w:t>
            </w:r>
            <w:r>
              <w:rPr>
                <w:rFonts w:hint="eastAsia" w:cs="宋体"/>
                <w:color w:val="auto"/>
                <w:sz w:val="24"/>
                <w:highlight w:val="none"/>
                <w:lang w:val="en-US" w:eastAsia="zh-CN"/>
              </w:rPr>
              <w:t>12</w:t>
            </w:r>
            <w:r>
              <w:rPr>
                <w:rFonts w:hint="eastAsia" w:cs="宋体"/>
                <w:color w:val="auto"/>
                <w:sz w:val="24"/>
                <w:highlight w:val="none"/>
              </w:rPr>
              <w:t>项），满分</w:t>
            </w:r>
            <w:r>
              <w:rPr>
                <w:rFonts w:hint="eastAsia" w:cs="宋体"/>
                <w:color w:val="auto"/>
                <w:sz w:val="24"/>
                <w:highlight w:val="none"/>
                <w:lang w:val="en-US" w:eastAsia="zh-CN"/>
              </w:rPr>
              <w:t>24</w:t>
            </w:r>
            <w:r>
              <w:rPr>
                <w:rFonts w:hint="eastAsia" w:cs="宋体"/>
                <w:color w:val="auto"/>
                <w:sz w:val="24"/>
                <w:highlight w:val="none"/>
              </w:rPr>
              <w:t>分。</w:t>
            </w:r>
          </w:p>
          <w:p w14:paraId="65B9C1E4">
            <w:pPr>
              <w:spacing w:line="360" w:lineRule="auto"/>
              <w:rPr>
                <w:rFonts w:hint="eastAsia" w:cs="宋体"/>
                <w:color w:val="auto"/>
                <w:sz w:val="24"/>
                <w:highlight w:val="none"/>
              </w:rPr>
            </w:pPr>
            <w:r>
              <w:rPr>
                <w:rFonts w:hint="eastAsia" w:cs="宋体"/>
                <w:color w:val="auto"/>
                <w:sz w:val="24"/>
                <w:highlight w:val="none"/>
              </w:rPr>
              <w:t>3、每有一项非“★”、非“▲”项参数完全满足要求或正偏离得0.</w:t>
            </w:r>
            <w:r>
              <w:rPr>
                <w:rFonts w:hint="eastAsia" w:cs="宋体"/>
                <w:color w:val="auto"/>
                <w:sz w:val="24"/>
                <w:highlight w:val="none"/>
                <w:lang w:val="en-US" w:eastAsia="zh-CN"/>
              </w:rPr>
              <w:t>1</w:t>
            </w:r>
            <w:r>
              <w:rPr>
                <w:rFonts w:hint="eastAsia" w:cs="宋体"/>
                <w:color w:val="auto"/>
                <w:sz w:val="24"/>
                <w:highlight w:val="none"/>
              </w:rPr>
              <w:t>分（部分满足的不得分，共</w:t>
            </w:r>
            <w:r>
              <w:rPr>
                <w:rFonts w:hint="eastAsia" w:cs="宋体"/>
                <w:color w:val="auto"/>
                <w:sz w:val="24"/>
                <w:highlight w:val="none"/>
                <w:lang w:val="en-US" w:eastAsia="zh-CN"/>
              </w:rPr>
              <w:t>242</w:t>
            </w:r>
            <w:r>
              <w:rPr>
                <w:rFonts w:hint="eastAsia" w:cs="宋体"/>
                <w:color w:val="auto"/>
                <w:sz w:val="24"/>
                <w:highlight w:val="none"/>
              </w:rPr>
              <w:t>项），满分</w:t>
            </w:r>
            <w:r>
              <w:rPr>
                <w:rFonts w:hint="eastAsia" w:cs="宋体"/>
                <w:color w:val="auto"/>
                <w:sz w:val="24"/>
                <w:highlight w:val="none"/>
                <w:lang w:val="en-US" w:eastAsia="zh-CN"/>
              </w:rPr>
              <w:t>24.2</w:t>
            </w:r>
            <w:r>
              <w:rPr>
                <w:rFonts w:hint="eastAsia" w:cs="宋体"/>
                <w:color w:val="auto"/>
                <w:sz w:val="24"/>
                <w:highlight w:val="none"/>
              </w:rPr>
              <w:t>分。</w:t>
            </w:r>
          </w:p>
          <w:p w14:paraId="1A517D67">
            <w:pPr>
              <w:spacing w:line="360" w:lineRule="auto"/>
              <w:rPr>
                <w:rFonts w:hint="eastAsia" w:cs="宋体"/>
                <w:color w:val="auto"/>
                <w:sz w:val="24"/>
                <w:highlight w:val="none"/>
              </w:rPr>
            </w:pPr>
            <w:r>
              <w:rPr>
                <w:rFonts w:hint="eastAsia" w:cs="宋体"/>
                <w:color w:val="auto"/>
                <w:sz w:val="24"/>
                <w:highlight w:val="none"/>
              </w:rPr>
              <w:t>注：</w:t>
            </w:r>
          </w:p>
          <w:p w14:paraId="046D3155">
            <w:pPr>
              <w:spacing w:line="360" w:lineRule="auto"/>
              <w:rPr>
                <w:rFonts w:hint="eastAsia" w:cs="宋体"/>
                <w:color w:val="auto"/>
                <w:sz w:val="24"/>
                <w:highlight w:val="none"/>
              </w:rPr>
            </w:pPr>
            <w:r>
              <w:rPr>
                <w:rFonts w:hint="eastAsia" w:cs="宋体"/>
                <w:color w:val="auto"/>
                <w:sz w:val="24"/>
                <w:highlight w:val="none"/>
              </w:rPr>
              <w:t>1、该项最少得分为0分；</w:t>
            </w:r>
          </w:p>
          <w:p w14:paraId="6A25BA64">
            <w:pPr>
              <w:spacing w:line="360" w:lineRule="auto"/>
              <w:rPr>
                <w:rFonts w:hint="eastAsia" w:cs="宋体"/>
                <w:color w:val="auto"/>
                <w:sz w:val="24"/>
                <w:highlight w:val="none"/>
              </w:rPr>
            </w:pPr>
            <w:r>
              <w:rPr>
                <w:rFonts w:hint="eastAsia" w:cs="宋体"/>
                <w:color w:val="auto"/>
                <w:sz w:val="24"/>
                <w:highlight w:val="none"/>
              </w:rPr>
              <w:t>2、对于产品技术性能指标采用语言文字描述的技术条款，如果投标文件响应内容与之有差异，投标人应证明文件全面具体说明响应内容的有效性，否则不被认定为无偏离或正偏离；</w:t>
            </w:r>
          </w:p>
          <w:p w14:paraId="7620D201">
            <w:pPr>
              <w:spacing w:line="360" w:lineRule="auto"/>
              <w:rPr>
                <w:rFonts w:hint="eastAsia" w:cs="宋体"/>
                <w:color w:val="auto"/>
                <w:sz w:val="24"/>
                <w:highlight w:val="none"/>
              </w:rPr>
            </w:pPr>
            <w:r>
              <w:rPr>
                <w:rFonts w:hint="eastAsia" w:cs="宋体"/>
                <w:color w:val="auto"/>
                <w:sz w:val="24"/>
                <w:highlight w:val="none"/>
              </w:rPr>
              <w:t>3、标注为“★”的技术条款、响应为正偏离的技术条款，须有证明文件附于投标文件中，并提供产品描述、产品彩页图片、产品外观照片和说明书等高清版彩色文件；</w:t>
            </w:r>
          </w:p>
          <w:p w14:paraId="7EA6506C">
            <w:pPr>
              <w:spacing w:line="360" w:lineRule="auto"/>
              <w:rPr>
                <w:rFonts w:hint="eastAsia" w:cs="宋体"/>
                <w:color w:val="auto"/>
                <w:sz w:val="24"/>
                <w:highlight w:val="none"/>
              </w:rPr>
            </w:pPr>
            <w:r>
              <w:rPr>
                <w:rFonts w:hint="eastAsia" w:cs="宋体"/>
                <w:color w:val="auto"/>
                <w:sz w:val="24"/>
                <w:highlight w:val="none"/>
              </w:rPr>
              <w:t>4、如发现投标文件为蓄意伪造，则投标文件将被拒绝。</w:t>
            </w:r>
          </w:p>
          <w:p w14:paraId="455AF665">
            <w:pPr>
              <w:spacing w:line="360" w:lineRule="auto"/>
              <w:rPr>
                <w:rFonts w:hint="eastAsia" w:ascii="宋体" w:hAnsi="宋体" w:eastAsia="宋体" w:cs="宋体"/>
                <w:color w:val="auto"/>
                <w:sz w:val="24"/>
                <w:szCs w:val="24"/>
                <w:highlight w:val="none"/>
                <w:lang w:eastAsia="zh-CN"/>
              </w:rPr>
            </w:pPr>
            <w:r>
              <w:rPr>
                <w:rFonts w:hint="eastAsia" w:cs="宋体"/>
                <w:color w:val="auto"/>
                <w:sz w:val="24"/>
                <w:highlight w:val="none"/>
              </w:rPr>
              <w:t>5、仅对技术指标及主要配置进行评审</w:t>
            </w:r>
            <w:r>
              <w:rPr>
                <w:rFonts w:hint="eastAsia" w:cs="宋体"/>
                <w:color w:val="auto"/>
                <w:sz w:val="24"/>
                <w:highlight w:val="none"/>
                <w:lang w:eastAsia="zh-CN"/>
              </w:rPr>
              <w:t>。</w:t>
            </w:r>
          </w:p>
        </w:tc>
      </w:tr>
      <w:tr w14:paraId="33BF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846" w:type="dxa"/>
            <w:vMerge w:val="restart"/>
            <w:vAlign w:val="center"/>
          </w:tcPr>
          <w:p w14:paraId="091FE6E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商务得分</w:t>
            </w:r>
          </w:p>
        </w:tc>
        <w:tc>
          <w:tcPr>
            <w:tcW w:w="850" w:type="dxa"/>
            <w:vAlign w:val="center"/>
          </w:tcPr>
          <w:p w14:paraId="554A3B3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近三年业绩</w:t>
            </w:r>
          </w:p>
        </w:tc>
        <w:tc>
          <w:tcPr>
            <w:tcW w:w="709" w:type="dxa"/>
            <w:vAlign w:val="center"/>
          </w:tcPr>
          <w:p w14:paraId="5E31B1E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6778" w:type="dxa"/>
            <w:vAlign w:val="center"/>
          </w:tcPr>
          <w:p w14:paraId="54B1F5E1">
            <w:pPr>
              <w:pStyle w:val="99"/>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highlight w:val="none"/>
              </w:rPr>
            </w:pPr>
            <w:r>
              <w:rPr>
                <w:rFonts w:hint="eastAsia" w:ascii="宋体" w:hAnsi="宋体" w:cs="宋体"/>
                <w:color w:val="auto"/>
                <w:highlight w:val="none"/>
              </w:rPr>
              <w:t>提供近三年（2023年1月1日至今）类似项目业绩（以供货合同或中标通知书及供货明细为准，时间以合同签订时间</w:t>
            </w:r>
            <w:r>
              <w:rPr>
                <w:rFonts w:hint="eastAsia" w:ascii="宋体" w:hAnsi="宋体" w:cs="宋体"/>
                <w:color w:val="auto"/>
                <w:highlight w:val="none"/>
                <w:lang w:eastAsia="zh-CN"/>
              </w:rPr>
              <w:t>或中标通知书时间</w:t>
            </w:r>
            <w:r>
              <w:rPr>
                <w:rFonts w:hint="eastAsia" w:ascii="宋体" w:hAnsi="宋体" w:cs="宋体"/>
                <w:color w:val="auto"/>
                <w:highlight w:val="none"/>
              </w:rPr>
              <w:t>为准），每提供一份得1分，累计最多得5分。</w:t>
            </w:r>
          </w:p>
          <w:p w14:paraId="4C0F487F">
            <w:pPr>
              <w:pStyle w:val="99"/>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highlight w:val="none"/>
              </w:rPr>
            </w:pPr>
            <w:r>
              <w:rPr>
                <w:rFonts w:hint="eastAsia" w:ascii="宋体" w:hAnsi="宋体" w:cs="宋体"/>
                <w:color w:val="auto"/>
                <w:highlight w:val="none"/>
                <w:lang w:eastAsia="zh-CN"/>
              </w:rPr>
              <w:t>注：</w:t>
            </w:r>
            <w:r>
              <w:rPr>
                <w:rFonts w:hint="eastAsia" w:ascii="宋体" w:hAnsi="宋体" w:cs="宋体"/>
                <w:color w:val="auto"/>
                <w:highlight w:val="none"/>
              </w:rPr>
              <w:t>提供的证明材料均不得遮挡涂黑，否则不予认定加分。</w:t>
            </w:r>
          </w:p>
        </w:tc>
      </w:tr>
      <w:tr w14:paraId="1B2D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46" w:type="dxa"/>
            <w:vMerge w:val="continue"/>
            <w:vAlign w:val="center"/>
          </w:tcPr>
          <w:p w14:paraId="7ACBCAB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p>
        </w:tc>
        <w:tc>
          <w:tcPr>
            <w:tcW w:w="850" w:type="dxa"/>
            <w:vAlign w:val="center"/>
          </w:tcPr>
          <w:p w14:paraId="64D5A9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供货及安装实施方案</w:t>
            </w:r>
          </w:p>
        </w:tc>
        <w:tc>
          <w:tcPr>
            <w:tcW w:w="709" w:type="dxa"/>
            <w:vAlign w:val="center"/>
          </w:tcPr>
          <w:p w14:paraId="5209EBC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highlight w:val="none"/>
              </w:rPr>
              <w:t>6</w:t>
            </w:r>
          </w:p>
        </w:tc>
        <w:tc>
          <w:tcPr>
            <w:tcW w:w="6778" w:type="dxa"/>
            <w:vAlign w:val="center"/>
          </w:tcPr>
          <w:p w14:paraId="2D5FA19C">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b/>
                <w:bCs/>
                <w:color w:val="auto"/>
                <w:sz w:val="24"/>
                <w:highlight w:val="none"/>
              </w:rPr>
            </w:pPr>
            <w:r>
              <w:rPr>
                <w:rFonts w:hint="eastAsia" w:ascii="宋体" w:hAnsi="宋体" w:cs="宋体"/>
                <w:b/>
                <w:bCs/>
                <w:color w:val="auto"/>
                <w:sz w:val="24"/>
                <w:highlight w:val="none"/>
              </w:rPr>
              <w:t>1.供货</w:t>
            </w:r>
            <w:r>
              <w:rPr>
                <w:rFonts w:ascii="宋体" w:hAnsi="宋体" w:cs="宋体"/>
                <w:b/>
                <w:bCs/>
                <w:color w:val="auto"/>
                <w:sz w:val="24"/>
                <w:highlight w:val="none"/>
                <w:lang w:eastAsia="zh-Hans"/>
              </w:rPr>
              <w:t>安装</w:t>
            </w:r>
            <w:r>
              <w:rPr>
                <w:rFonts w:ascii="宋体" w:hAnsi="宋体" w:cs="宋体"/>
                <w:b/>
                <w:bCs/>
                <w:color w:val="auto"/>
                <w:sz w:val="24"/>
                <w:highlight w:val="none"/>
              </w:rPr>
              <w:t>方案（满分3分）：</w:t>
            </w:r>
          </w:p>
          <w:p w14:paraId="4C0DAE7E">
            <w:pPr>
              <w:keepNext w:val="0"/>
              <w:keepLines w:val="0"/>
              <w:pageBreakBefore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根据投标人提供的供货安装方案</w:t>
            </w:r>
            <w:r>
              <w:rPr>
                <w:rFonts w:ascii="宋体" w:hAnsi="宋体"/>
                <w:color w:val="auto"/>
                <w:sz w:val="24"/>
                <w:highlight w:val="none"/>
              </w:rPr>
              <w:t>进行综合评审</w:t>
            </w:r>
            <w:r>
              <w:rPr>
                <w:rFonts w:hint="eastAsia" w:ascii="宋体" w:hAnsi="宋体"/>
                <w:color w:val="auto"/>
                <w:sz w:val="24"/>
                <w:highlight w:val="none"/>
              </w:rPr>
              <w:t>：</w:t>
            </w:r>
          </w:p>
          <w:p w14:paraId="7F29FAA4">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1</w:t>
            </w:r>
            <w:r>
              <w:rPr>
                <w:rFonts w:hint="eastAsia" w:ascii="宋体" w:hAnsi="宋体" w:cs="宋体"/>
                <w:color w:val="auto"/>
                <w:sz w:val="24"/>
                <w:highlight w:val="none"/>
              </w:rPr>
              <w:t>）</w:t>
            </w:r>
            <w:r>
              <w:rPr>
                <w:rFonts w:hint="eastAsia"/>
                <w:color w:val="auto"/>
                <w:sz w:val="24"/>
                <w:highlight w:val="none"/>
                <w:lang w:bidi="en-US"/>
              </w:rPr>
              <w:t>供货安装方案</w:t>
            </w:r>
            <w:r>
              <w:rPr>
                <w:rFonts w:hint="eastAsia" w:ascii="宋体" w:hAnsi="宋体" w:cs="宋体"/>
                <w:color w:val="auto"/>
                <w:sz w:val="24"/>
                <w:highlight w:val="none"/>
              </w:rPr>
              <w:t>内容</w:t>
            </w:r>
            <w:r>
              <w:rPr>
                <w:rFonts w:ascii="宋体" w:hAnsi="宋体" w:cs="宋体"/>
                <w:color w:val="auto"/>
                <w:sz w:val="24"/>
                <w:highlight w:val="none"/>
                <w:lang w:eastAsia="zh-Hans"/>
              </w:rPr>
              <w:t>全面合理、针对性强，能够充分满足</w:t>
            </w:r>
            <w:r>
              <w:rPr>
                <w:rFonts w:hint="eastAsia" w:ascii="宋体" w:hAnsi="宋体" w:cs="宋体"/>
                <w:color w:val="auto"/>
                <w:sz w:val="24"/>
                <w:highlight w:val="none"/>
              </w:rPr>
              <w:t>项目</w:t>
            </w:r>
            <w:r>
              <w:rPr>
                <w:rFonts w:ascii="宋体" w:hAnsi="宋体" w:cs="宋体"/>
                <w:color w:val="auto"/>
                <w:sz w:val="24"/>
                <w:highlight w:val="none"/>
                <w:lang w:eastAsia="zh-Hans"/>
              </w:rPr>
              <w:t>需求(得</w:t>
            </w:r>
            <w:r>
              <w:rPr>
                <w:rFonts w:ascii="宋体" w:hAnsi="宋体" w:cs="宋体"/>
                <w:color w:val="auto"/>
                <w:sz w:val="24"/>
                <w:highlight w:val="none"/>
              </w:rPr>
              <w:t>3</w:t>
            </w:r>
            <w:r>
              <w:rPr>
                <w:rFonts w:ascii="宋体" w:hAnsi="宋体" w:cs="宋体"/>
                <w:color w:val="auto"/>
                <w:sz w:val="24"/>
                <w:highlight w:val="none"/>
                <w:lang w:eastAsia="zh-Hans"/>
              </w:rPr>
              <w:t>分)；</w:t>
            </w:r>
          </w:p>
          <w:p w14:paraId="1FE26EE0">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2</w:t>
            </w:r>
            <w:r>
              <w:rPr>
                <w:rFonts w:hint="eastAsia" w:ascii="宋体" w:hAnsi="宋体" w:cs="宋体"/>
                <w:color w:val="auto"/>
                <w:sz w:val="24"/>
                <w:highlight w:val="none"/>
              </w:rPr>
              <w:t>）</w:t>
            </w:r>
            <w:r>
              <w:rPr>
                <w:rFonts w:hint="eastAsia"/>
                <w:color w:val="auto"/>
                <w:sz w:val="24"/>
                <w:highlight w:val="none"/>
                <w:lang w:bidi="en-US"/>
              </w:rPr>
              <w:t>供货安装方案</w:t>
            </w:r>
            <w:r>
              <w:rPr>
                <w:rFonts w:hint="eastAsia" w:ascii="宋体" w:hAnsi="宋体" w:cs="宋体"/>
                <w:color w:val="auto"/>
                <w:sz w:val="24"/>
                <w:highlight w:val="none"/>
              </w:rPr>
              <w:t>内容完整</w:t>
            </w:r>
            <w:r>
              <w:rPr>
                <w:rFonts w:ascii="宋体" w:hAnsi="宋体" w:cs="宋体"/>
                <w:color w:val="auto"/>
                <w:sz w:val="24"/>
                <w:highlight w:val="none"/>
                <w:lang w:eastAsia="zh-Hans"/>
              </w:rPr>
              <w:t>，</w:t>
            </w:r>
            <w:r>
              <w:rPr>
                <w:rFonts w:hint="eastAsia" w:ascii="宋体" w:hAnsi="宋体" w:cs="宋体"/>
                <w:color w:val="auto"/>
                <w:sz w:val="24"/>
                <w:highlight w:val="none"/>
                <w:lang w:eastAsia="zh-Hans"/>
              </w:rPr>
              <w:t>但方案内容存在缺陷的</w:t>
            </w:r>
            <w:r>
              <w:rPr>
                <w:rFonts w:ascii="宋体" w:hAnsi="宋体" w:cs="宋体"/>
                <w:color w:val="auto"/>
                <w:sz w:val="24"/>
                <w:highlight w:val="none"/>
                <w:lang w:eastAsia="zh-Hans"/>
              </w:rPr>
              <w:t xml:space="preserve"> (得</w:t>
            </w:r>
            <w:r>
              <w:rPr>
                <w:rFonts w:hint="eastAsia" w:ascii="宋体" w:hAnsi="宋体" w:cs="宋体"/>
                <w:color w:val="auto"/>
                <w:sz w:val="24"/>
                <w:highlight w:val="none"/>
              </w:rPr>
              <w:t>2</w:t>
            </w:r>
            <w:r>
              <w:rPr>
                <w:rFonts w:ascii="宋体" w:hAnsi="宋体" w:cs="宋体"/>
                <w:color w:val="auto"/>
                <w:sz w:val="24"/>
                <w:highlight w:val="none"/>
                <w:lang w:eastAsia="zh-Hans"/>
              </w:rPr>
              <w:t>分)。</w:t>
            </w:r>
          </w:p>
          <w:p w14:paraId="62748F39">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3</w:t>
            </w:r>
            <w:r>
              <w:rPr>
                <w:rFonts w:hint="eastAsia" w:ascii="宋体" w:hAnsi="宋体" w:cs="宋体"/>
                <w:color w:val="auto"/>
                <w:sz w:val="24"/>
                <w:highlight w:val="none"/>
              </w:rPr>
              <w:t>）方案内容存在不符合项目需求的</w:t>
            </w:r>
            <w:r>
              <w:rPr>
                <w:rFonts w:ascii="宋体" w:hAnsi="宋体" w:cs="宋体"/>
                <w:color w:val="auto"/>
                <w:sz w:val="24"/>
                <w:highlight w:val="none"/>
                <w:lang w:eastAsia="zh-Hans"/>
              </w:rPr>
              <w:t xml:space="preserve"> (得1分)。</w:t>
            </w:r>
          </w:p>
          <w:p w14:paraId="00EAFCE3">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b/>
                <w:bCs/>
                <w:color w:val="auto"/>
                <w:sz w:val="24"/>
                <w:highlight w:val="none"/>
                <w:lang w:eastAsia="zh-Hans"/>
              </w:rPr>
            </w:pPr>
            <w:r>
              <w:rPr>
                <w:rFonts w:hint="eastAsia" w:ascii="宋体" w:hAnsi="宋体" w:cs="宋体"/>
                <w:b/>
                <w:bCs/>
                <w:color w:val="auto"/>
                <w:sz w:val="24"/>
                <w:highlight w:val="none"/>
                <w:lang w:eastAsia="zh-Hans"/>
              </w:rPr>
              <w:t>2</w:t>
            </w:r>
            <w:r>
              <w:rPr>
                <w:rFonts w:ascii="宋体" w:hAnsi="宋体" w:cs="宋体"/>
                <w:b/>
                <w:bCs/>
                <w:color w:val="auto"/>
                <w:sz w:val="24"/>
                <w:highlight w:val="none"/>
                <w:lang w:eastAsia="zh-Hans"/>
              </w:rPr>
              <w:t>.提供</w:t>
            </w:r>
            <w:r>
              <w:rPr>
                <w:rFonts w:hint="eastAsia" w:ascii="宋体" w:hAnsi="宋体" w:cs="宋体"/>
                <w:b/>
                <w:bCs/>
                <w:color w:val="auto"/>
                <w:sz w:val="24"/>
                <w:highlight w:val="none"/>
              </w:rPr>
              <w:t>调试验收</w:t>
            </w:r>
            <w:r>
              <w:rPr>
                <w:rFonts w:ascii="宋体" w:hAnsi="宋体" w:cs="宋体"/>
                <w:b/>
                <w:bCs/>
                <w:color w:val="auto"/>
                <w:sz w:val="24"/>
                <w:highlight w:val="none"/>
                <w:lang w:eastAsia="zh-Hans"/>
              </w:rPr>
              <w:t>服务保证措施</w:t>
            </w:r>
            <w:r>
              <w:rPr>
                <w:rFonts w:hint="eastAsia" w:ascii="宋体" w:hAnsi="宋体" w:cs="宋体"/>
                <w:b/>
                <w:bCs/>
                <w:color w:val="auto"/>
                <w:sz w:val="24"/>
                <w:highlight w:val="none"/>
                <w:lang w:eastAsia="zh-Hans"/>
              </w:rPr>
              <w:t>（满分</w:t>
            </w:r>
            <w:r>
              <w:rPr>
                <w:rFonts w:ascii="宋体" w:hAnsi="宋体" w:cs="宋体"/>
                <w:b/>
                <w:bCs/>
                <w:color w:val="auto"/>
                <w:sz w:val="24"/>
                <w:highlight w:val="none"/>
              </w:rPr>
              <w:t>3</w:t>
            </w:r>
            <w:r>
              <w:rPr>
                <w:rFonts w:hint="eastAsia" w:ascii="宋体" w:hAnsi="宋体" w:cs="宋体"/>
                <w:b/>
                <w:bCs/>
                <w:color w:val="auto"/>
                <w:sz w:val="24"/>
                <w:highlight w:val="none"/>
                <w:lang w:eastAsia="zh-Hans"/>
              </w:rPr>
              <w:t>分）：</w:t>
            </w:r>
          </w:p>
          <w:p w14:paraId="46D741DD">
            <w:pPr>
              <w:keepNext w:val="0"/>
              <w:keepLines w:val="0"/>
              <w:pageBreakBefore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根据投标人提供的调试验收服务保证措施</w:t>
            </w:r>
            <w:r>
              <w:rPr>
                <w:rFonts w:ascii="宋体" w:hAnsi="宋体"/>
                <w:color w:val="auto"/>
                <w:sz w:val="24"/>
                <w:highlight w:val="none"/>
              </w:rPr>
              <w:t>进行综合评审</w:t>
            </w:r>
            <w:r>
              <w:rPr>
                <w:rFonts w:hint="eastAsia" w:ascii="宋体" w:hAnsi="宋体"/>
                <w:color w:val="auto"/>
                <w:sz w:val="24"/>
                <w:highlight w:val="none"/>
              </w:rPr>
              <w:t>：</w:t>
            </w:r>
          </w:p>
          <w:p w14:paraId="35ACD049">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1</w:t>
            </w:r>
            <w:r>
              <w:rPr>
                <w:rFonts w:hint="eastAsia" w:ascii="宋体" w:hAnsi="宋体" w:cs="宋体"/>
                <w:color w:val="auto"/>
                <w:sz w:val="24"/>
                <w:highlight w:val="none"/>
              </w:rPr>
              <w:t>）调试验收服务保证措施内容</w:t>
            </w:r>
            <w:r>
              <w:rPr>
                <w:rFonts w:ascii="宋体" w:hAnsi="宋体" w:cs="宋体"/>
                <w:color w:val="auto"/>
                <w:sz w:val="24"/>
                <w:highlight w:val="none"/>
                <w:lang w:eastAsia="zh-Hans"/>
              </w:rPr>
              <w:t>全面合理、针对性强，能够充分满足</w:t>
            </w:r>
            <w:r>
              <w:rPr>
                <w:rFonts w:hint="eastAsia" w:ascii="宋体" w:hAnsi="宋体" w:cs="宋体"/>
                <w:color w:val="auto"/>
                <w:sz w:val="24"/>
                <w:highlight w:val="none"/>
              </w:rPr>
              <w:t>项目</w:t>
            </w:r>
            <w:r>
              <w:rPr>
                <w:rFonts w:ascii="宋体" w:hAnsi="宋体" w:cs="宋体"/>
                <w:color w:val="auto"/>
                <w:sz w:val="24"/>
                <w:highlight w:val="none"/>
                <w:lang w:eastAsia="zh-Hans"/>
              </w:rPr>
              <w:t>需求(得</w:t>
            </w:r>
            <w:r>
              <w:rPr>
                <w:rFonts w:ascii="宋体" w:hAnsi="宋体" w:cs="宋体"/>
                <w:color w:val="auto"/>
                <w:sz w:val="24"/>
                <w:highlight w:val="none"/>
              </w:rPr>
              <w:t>3</w:t>
            </w:r>
            <w:r>
              <w:rPr>
                <w:rFonts w:ascii="宋体" w:hAnsi="宋体" w:cs="宋体"/>
                <w:color w:val="auto"/>
                <w:sz w:val="24"/>
                <w:highlight w:val="none"/>
                <w:lang w:eastAsia="zh-Hans"/>
              </w:rPr>
              <w:t>分)；</w:t>
            </w:r>
          </w:p>
          <w:p w14:paraId="586ECEE8">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2</w:t>
            </w:r>
            <w:r>
              <w:rPr>
                <w:rFonts w:hint="eastAsia" w:ascii="宋体" w:hAnsi="宋体" w:cs="宋体"/>
                <w:color w:val="auto"/>
                <w:sz w:val="24"/>
                <w:highlight w:val="none"/>
              </w:rPr>
              <w:t>）调试验收服务保证措施内容完整</w:t>
            </w:r>
            <w:r>
              <w:rPr>
                <w:rFonts w:ascii="宋体" w:hAnsi="宋体" w:cs="宋体"/>
                <w:color w:val="auto"/>
                <w:sz w:val="24"/>
                <w:highlight w:val="none"/>
                <w:lang w:eastAsia="zh-Hans"/>
              </w:rPr>
              <w:t>，</w:t>
            </w:r>
            <w:r>
              <w:rPr>
                <w:rFonts w:hint="eastAsia" w:ascii="宋体" w:hAnsi="宋体" w:cs="宋体"/>
                <w:color w:val="auto"/>
                <w:sz w:val="24"/>
                <w:highlight w:val="none"/>
                <w:lang w:eastAsia="zh-Hans"/>
              </w:rPr>
              <w:t>但方案内容存在缺陷的</w:t>
            </w:r>
            <w:r>
              <w:rPr>
                <w:rFonts w:ascii="宋体" w:hAnsi="宋体" w:cs="宋体"/>
                <w:color w:val="auto"/>
                <w:sz w:val="24"/>
                <w:highlight w:val="none"/>
                <w:lang w:eastAsia="zh-Hans"/>
              </w:rPr>
              <w:t xml:space="preserve"> (得</w:t>
            </w:r>
            <w:r>
              <w:rPr>
                <w:rFonts w:hint="eastAsia" w:ascii="宋体" w:hAnsi="宋体" w:cs="宋体"/>
                <w:color w:val="auto"/>
                <w:sz w:val="24"/>
                <w:highlight w:val="none"/>
              </w:rPr>
              <w:t>2</w:t>
            </w:r>
            <w:r>
              <w:rPr>
                <w:rFonts w:ascii="宋体" w:hAnsi="宋体" w:cs="宋体"/>
                <w:color w:val="auto"/>
                <w:sz w:val="24"/>
                <w:highlight w:val="none"/>
                <w:lang w:eastAsia="zh-Hans"/>
              </w:rPr>
              <w:t>分)。</w:t>
            </w:r>
          </w:p>
          <w:p w14:paraId="0C9BD1B7">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3</w:t>
            </w:r>
            <w:r>
              <w:rPr>
                <w:rFonts w:hint="eastAsia" w:ascii="宋体" w:hAnsi="宋体" w:cs="宋体"/>
                <w:color w:val="auto"/>
                <w:sz w:val="24"/>
                <w:highlight w:val="none"/>
              </w:rPr>
              <w:t>）调试验收服务保证措施内容存在不符合项目需求的</w:t>
            </w:r>
            <w:r>
              <w:rPr>
                <w:rFonts w:ascii="宋体" w:hAnsi="宋体" w:cs="宋体"/>
                <w:color w:val="auto"/>
                <w:sz w:val="24"/>
                <w:highlight w:val="none"/>
                <w:lang w:eastAsia="zh-Hans"/>
              </w:rPr>
              <w:t xml:space="preserve"> (得1分)。</w:t>
            </w:r>
          </w:p>
          <w:p w14:paraId="63437647">
            <w:pPr>
              <w:keepNext w:val="0"/>
              <w:keepLines w:val="0"/>
              <w:pageBreakBefore w:val="0"/>
              <w:kinsoku/>
              <w:wordWrap/>
              <w:overflowPunct/>
              <w:topLinePunct w:val="0"/>
              <w:autoSpaceDE/>
              <w:autoSpaceDN/>
              <w:bidi w:val="0"/>
              <w:adjustRightInd/>
              <w:snapToGrid/>
              <w:spacing w:line="360" w:lineRule="auto"/>
              <w:textAlignment w:val="auto"/>
              <w:rPr>
                <w:color w:val="auto"/>
                <w:sz w:val="24"/>
                <w:highlight w:val="none"/>
                <w:lang w:eastAsia="zh-Hans" w:bidi="en-US"/>
              </w:rPr>
            </w:pPr>
            <w:r>
              <w:rPr>
                <w:rFonts w:hint="eastAsia"/>
                <w:color w:val="auto"/>
                <w:sz w:val="24"/>
                <w:highlight w:val="none"/>
                <w:lang w:bidi="en-US"/>
              </w:rPr>
              <w:t>注：</w:t>
            </w:r>
            <w:r>
              <w:rPr>
                <w:rFonts w:hint="eastAsia"/>
                <w:color w:val="auto"/>
                <w:sz w:val="24"/>
                <w:highlight w:val="none"/>
                <w:lang w:eastAsia="zh-Hans" w:bidi="en-US"/>
              </w:rPr>
              <w:t>未提供不得分。</w:t>
            </w:r>
          </w:p>
          <w:p w14:paraId="19BC4FC7">
            <w:pPr>
              <w:keepNext w:val="0"/>
              <w:keepLines w:val="0"/>
              <w:pageBreakBefore w:val="0"/>
              <w:kinsoku/>
              <w:wordWrap/>
              <w:overflowPunct/>
              <w:topLinePunct w:val="0"/>
              <w:autoSpaceDE/>
              <w:autoSpaceDN/>
              <w:bidi w:val="0"/>
              <w:adjustRightInd/>
              <w:snapToGrid/>
              <w:spacing w:line="360" w:lineRule="auto"/>
              <w:textAlignment w:val="auto"/>
              <w:rPr>
                <w:color w:val="auto"/>
                <w:sz w:val="24"/>
                <w:highlight w:val="none"/>
                <w:lang w:eastAsia="zh-Hans" w:bidi="en-US"/>
              </w:rPr>
            </w:pPr>
            <w:r>
              <w:rPr>
                <w:rFonts w:hint="eastAsia"/>
                <w:color w:val="auto"/>
                <w:sz w:val="24"/>
                <w:highlight w:val="none"/>
                <w:lang w:eastAsia="zh-Hans" w:bidi="en-US"/>
              </w:rPr>
              <w:t>缺陷是指方案内容与项目需求不完全一致、存在相互矛盾内容以及未针对本项目编写的任意一种情形。</w:t>
            </w:r>
          </w:p>
          <w:p w14:paraId="0408A07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color w:val="auto"/>
                <w:sz w:val="24"/>
                <w:highlight w:val="none"/>
                <w:lang w:eastAsia="zh-Hans" w:bidi="en-US"/>
              </w:rPr>
              <w:t>不符合项目需求是指存在与本项目执行无关的内容、存在相关内容在实际操作中不能运用的任意一种情形。</w:t>
            </w:r>
          </w:p>
        </w:tc>
      </w:tr>
      <w:tr w14:paraId="2CC9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46" w:type="dxa"/>
            <w:vMerge w:val="continue"/>
            <w:vAlign w:val="center"/>
          </w:tcPr>
          <w:p w14:paraId="7053732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p>
        </w:tc>
        <w:tc>
          <w:tcPr>
            <w:tcW w:w="850" w:type="dxa"/>
            <w:vAlign w:val="center"/>
          </w:tcPr>
          <w:p w14:paraId="0753E6A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color w:val="auto"/>
                <w:sz w:val="24"/>
                <w:highlight w:val="none"/>
                <w:lang w:bidi="en-US"/>
              </w:rPr>
              <w:t>售后服务方案</w:t>
            </w:r>
          </w:p>
        </w:tc>
        <w:tc>
          <w:tcPr>
            <w:tcW w:w="709" w:type="dxa"/>
            <w:vAlign w:val="center"/>
          </w:tcPr>
          <w:p w14:paraId="4D078EA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ascii="宋体" w:hAnsi="宋体" w:cs="宋体"/>
                <w:color w:val="auto"/>
                <w:sz w:val="24"/>
                <w:highlight w:val="none"/>
              </w:rPr>
              <w:t>6</w:t>
            </w:r>
          </w:p>
        </w:tc>
        <w:tc>
          <w:tcPr>
            <w:tcW w:w="6778" w:type="dxa"/>
            <w:vAlign w:val="center"/>
          </w:tcPr>
          <w:p w14:paraId="2392B59C">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b/>
                <w:bCs/>
                <w:color w:val="auto"/>
                <w:sz w:val="24"/>
                <w:highlight w:val="none"/>
                <w:lang w:eastAsia="zh-Hans"/>
              </w:rPr>
            </w:pPr>
            <w:r>
              <w:rPr>
                <w:rFonts w:hint="eastAsia" w:ascii="宋体" w:hAnsi="宋体" w:cs="宋体"/>
                <w:b/>
                <w:bCs/>
                <w:color w:val="auto"/>
                <w:sz w:val="24"/>
                <w:highlight w:val="none"/>
              </w:rPr>
              <w:t>1.</w:t>
            </w:r>
            <w:r>
              <w:rPr>
                <w:rFonts w:ascii="宋体" w:hAnsi="宋体" w:cs="宋体"/>
                <w:b/>
                <w:bCs/>
                <w:color w:val="auto"/>
                <w:sz w:val="24"/>
                <w:highlight w:val="none"/>
                <w:lang w:eastAsia="zh-Hans"/>
              </w:rPr>
              <w:t>售后服务</w:t>
            </w:r>
            <w:r>
              <w:rPr>
                <w:rFonts w:ascii="宋体" w:hAnsi="宋体" w:cs="宋体"/>
                <w:b/>
                <w:bCs/>
                <w:color w:val="auto"/>
                <w:sz w:val="24"/>
                <w:highlight w:val="none"/>
              </w:rPr>
              <w:t>方案</w:t>
            </w:r>
            <w:r>
              <w:rPr>
                <w:rFonts w:ascii="宋体" w:hAnsi="宋体" w:cs="宋体"/>
                <w:b/>
                <w:bCs/>
                <w:color w:val="auto"/>
                <w:sz w:val="24"/>
                <w:highlight w:val="none"/>
                <w:lang w:eastAsia="zh-Hans"/>
              </w:rPr>
              <w:t>（满分</w:t>
            </w:r>
            <w:r>
              <w:rPr>
                <w:rFonts w:ascii="宋体" w:hAnsi="宋体" w:cs="宋体"/>
                <w:b/>
                <w:bCs/>
                <w:color w:val="auto"/>
                <w:sz w:val="24"/>
                <w:highlight w:val="none"/>
              </w:rPr>
              <w:t>3</w:t>
            </w:r>
            <w:r>
              <w:rPr>
                <w:rFonts w:ascii="宋体" w:hAnsi="宋体" w:cs="宋体"/>
                <w:b/>
                <w:bCs/>
                <w:color w:val="auto"/>
                <w:sz w:val="24"/>
                <w:highlight w:val="none"/>
                <w:lang w:eastAsia="zh-Hans"/>
              </w:rPr>
              <w:t>分）</w:t>
            </w:r>
          </w:p>
          <w:p w14:paraId="63305CC1">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b/>
                <w:bCs/>
                <w:color w:val="auto"/>
                <w:sz w:val="24"/>
                <w:highlight w:val="none"/>
              </w:rPr>
            </w:pPr>
            <w:r>
              <w:rPr>
                <w:rFonts w:ascii="宋体" w:hAnsi="宋体"/>
                <w:color w:val="auto"/>
                <w:sz w:val="24"/>
                <w:highlight w:val="none"/>
              </w:rPr>
              <w:t>根据投标人提供的售后服务方案（包括但不限于</w:t>
            </w:r>
            <w:r>
              <w:rPr>
                <w:rFonts w:ascii="宋体" w:hAnsi="宋体" w:cs="宋体"/>
                <w:color w:val="auto"/>
                <w:sz w:val="24"/>
                <w:highlight w:val="none"/>
                <w:lang w:eastAsia="zh-Hans"/>
              </w:rPr>
              <w:t>售后响应时间</w:t>
            </w:r>
            <w:r>
              <w:rPr>
                <w:rFonts w:ascii="宋体" w:hAnsi="宋体"/>
                <w:color w:val="auto"/>
                <w:sz w:val="24"/>
                <w:highlight w:val="none"/>
              </w:rPr>
              <w:t>、</w:t>
            </w:r>
            <w:r>
              <w:rPr>
                <w:rFonts w:ascii="宋体" w:hAnsi="宋体" w:cs="宋体"/>
                <w:color w:val="auto"/>
                <w:sz w:val="24"/>
                <w:highlight w:val="none"/>
                <w:lang w:eastAsia="zh-Hans"/>
              </w:rPr>
              <w:t>维修方案</w:t>
            </w:r>
            <w:r>
              <w:rPr>
                <w:rFonts w:ascii="宋体" w:hAnsi="宋体"/>
                <w:color w:val="auto"/>
                <w:sz w:val="24"/>
                <w:highlight w:val="none"/>
              </w:rPr>
              <w:t>、</w:t>
            </w:r>
            <w:r>
              <w:rPr>
                <w:rFonts w:hint="eastAsia" w:ascii="宋体" w:hAnsi="宋体"/>
                <w:color w:val="auto"/>
                <w:sz w:val="24"/>
                <w:highlight w:val="none"/>
              </w:rPr>
              <w:t>质保期承诺、质保期内质量保证措施、</w:t>
            </w:r>
            <w:r>
              <w:rPr>
                <w:rFonts w:ascii="宋体" w:hAnsi="宋体"/>
                <w:color w:val="auto"/>
                <w:sz w:val="24"/>
                <w:highlight w:val="none"/>
              </w:rPr>
              <w:t>应急措施等）进行综合评审</w:t>
            </w:r>
            <w:r>
              <w:rPr>
                <w:rFonts w:hint="eastAsia" w:ascii="宋体" w:hAnsi="宋体"/>
                <w:color w:val="auto"/>
                <w:sz w:val="24"/>
                <w:highlight w:val="none"/>
              </w:rPr>
              <w:t>：</w:t>
            </w:r>
          </w:p>
          <w:p w14:paraId="4FA500E0">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1</w:t>
            </w:r>
            <w:r>
              <w:rPr>
                <w:rFonts w:hint="eastAsia" w:ascii="宋体" w:hAnsi="宋体" w:cs="宋体"/>
                <w:color w:val="auto"/>
                <w:sz w:val="24"/>
                <w:highlight w:val="none"/>
              </w:rPr>
              <w:t>）</w:t>
            </w:r>
            <w:r>
              <w:rPr>
                <w:rFonts w:hint="eastAsia"/>
                <w:color w:val="auto"/>
                <w:sz w:val="24"/>
                <w:highlight w:val="none"/>
                <w:lang w:bidi="en-US"/>
              </w:rPr>
              <w:t>售后服务方案</w:t>
            </w:r>
            <w:r>
              <w:rPr>
                <w:rFonts w:hint="eastAsia" w:ascii="宋体" w:hAnsi="宋体" w:cs="宋体"/>
                <w:color w:val="auto"/>
                <w:sz w:val="24"/>
                <w:highlight w:val="none"/>
              </w:rPr>
              <w:t>内容</w:t>
            </w:r>
            <w:r>
              <w:rPr>
                <w:rFonts w:ascii="宋体" w:hAnsi="宋体" w:cs="宋体"/>
                <w:color w:val="auto"/>
                <w:sz w:val="24"/>
                <w:highlight w:val="none"/>
                <w:lang w:eastAsia="zh-Hans"/>
              </w:rPr>
              <w:t>全面合理、针对性强，能够充分满足</w:t>
            </w:r>
            <w:r>
              <w:rPr>
                <w:rFonts w:hint="eastAsia" w:ascii="宋体" w:hAnsi="宋体" w:cs="宋体"/>
                <w:color w:val="auto"/>
                <w:sz w:val="24"/>
                <w:highlight w:val="none"/>
              </w:rPr>
              <w:t>项目</w:t>
            </w:r>
            <w:r>
              <w:rPr>
                <w:rFonts w:ascii="宋体" w:hAnsi="宋体" w:cs="宋体"/>
                <w:color w:val="auto"/>
                <w:sz w:val="24"/>
                <w:highlight w:val="none"/>
                <w:lang w:eastAsia="zh-Hans"/>
              </w:rPr>
              <w:t>需求(得</w:t>
            </w:r>
            <w:r>
              <w:rPr>
                <w:rFonts w:ascii="宋体" w:hAnsi="宋体" w:cs="宋体"/>
                <w:color w:val="auto"/>
                <w:sz w:val="24"/>
                <w:highlight w:val="none"/>
              </w:rPr>
              <w:t>3</w:t>
            </w:r>
            <w:r>
              <w:rPr>
                <w:rFonts w:ascii="宋体" w:hAnsi="宋体" w:cs="宋体"/>
                <w:color w:val="auto"/>
                <w:sz w:val="24"/>
                <w:highlight w:val="none"/>
                <w:lang w:eastAsia="zh-Hans"/>
              </w:rPr>
              <w:t>分)；</w:t>
            </w:r>
          </w:p>
          <w:p w14:paraId="474E89B9">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2</w:t>
            </w:r>
            <w:r>
              <w:rPr>
                <w:rFonts w:hint="eastAsia" w:ascii="宋体" w:hAnsi="宋体" w:cs="宋体"/>
                <w:color w:val="auto"/>
                <w:sz w:val="24"/>
                <w:highlight w:val="none"/>
              </w:rPr>
              <w:t>）</w:t>
            </w:r>
            <w:r>
              <w:rPr>
                <w:rFonts w:hint="eastAsia"/>
                <w:color w:val="auto"/>
                <w:sz w:val="24"/>
                <w:highlight w:val="none"/>
                <w:lang w:bidi="en-US"/>
              </w:rPr>
              <w:t>售后服务方案</w:t>
            </w:r>
            <w:r>
              <w:rPr>
                <w:rFonts w:hint="eastAsia" w:ascii="宋体" w:hAnsi="宋体" w:cs="宋体"/>
                <w:color w:val="auto"/>
                <w:sz w:val="24"/>
                <w:highlight w:val="none"/>
              </w:rPr>
              <w:t>内容完整</w:t>
            </w:r>
            <w:r>
              <w:rPr>
                <w:rFonts w:ascii="宋体" w:hAnsi="宋体" w:cs="宋体"/>
                <w:color w:val="auto"/>
                <w:sz w:val="24"/>
                <w:highlight w:val="none"/>
                <w:lang w:eastAsia="zh-Hans"/>
              </w:rPr>
              <w:t>，</w:t>
            </w:r>
            <w:r>
              <w:rPr>
                <w:rFonts w:hint="eastAsia" w:ascii="宋体" w:hAnsi="宋体" w:cs="宋体"/>
                <w:color w:val="auto"/>
                <w:sz w:val="24"/>
                <w:highlight w:val="none"/>
                <w:lang w:eastAsia="zh-Hans"/>
              </w:rPr>
              <w:t>但方案内容存在缺陷的</w:t>
            </w:r>
            <w:r>
              <w:rPr>
                <w:rFonts w:ascii="宋体" w:hAnsi="宋体" w:cs="宋体"/>
                <w:color w:val="auto"/>
                <w:sz w:val="24"/>
                <w:highlight w:val="none"/>
                <w:lang w:eastAsia="zh-Hans"/>
              </w:rPr>
              <w:t xml:space="preserve"> (得</w:t>
            </w:r>
            <w:r>
              <w:rPr>
                <w:rFonts w:hint="eastAsia" w:ascii="宋体" w:hAnsi="宋体" w:cs="宋体"/>
                <w:color w:val="auto"/>
                <w:sz w:val="24"/>
                <w:highlight w:val="none"/>
              </w:rPr>
              <w:t>2</w:t>
            </w:r>
            <w:r>
              <w:rPr>
                <w:rFonts w:ascii="宋体" w:hAnsi="宋体" w:cs="宋体"/>
                <w:color w:val="auto"/>
                <w:sz w:val="24"/>
                <w:highlight w:val="none"/>
                <w:lang w:eastAsia="zh-Hans"/>
              </w:rPr>
              <w:t>分)。</w:t>
            </w:r>
          </w:p>
          <w:p w14:paraId="0E16F9F0">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hint="eastAsia" w:ascii="宋体" w:hAnsi="宋体" w:cs="宋体"/>
                <w:color w:val="auto"/>
                <w:sz w:val="24"/>
                <w:highlight w:val="none"/>
              </w:rPr>
              <w:t>3）方案内容存在不符合项目需求的，或方案中缺少上述应包括内容任意一项内容的</w:t>
            </w:r>
            <w:r>
              <w:rPr>
                <w:rFonts w:ascii="宋体" w:hAnsi="宋体" w:cs="宋体"/>
                <w:color w:val="auto"/>
                <w:sz w:val="24"/>
                <w:highlight w:val="none"/>
                <w:lang w:eastAsia="zh-Hans"/>
              </w:rPr>
              <w:t xml:space="preserve"> (得1分)。</w:t>
            </w:r>
          </w:p>
          <w:p w14:paraId="3781C882">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b/>
                <w:bCs/>
                <w:color w:val="auto"/>
                <w:sz w:val="24"/>
                <w:highlight w:val="none"/>
                <w:lang w:eastAsia="zh-Hans"/>
              </w:rPr>
            </w:pPr>
            <w:r>
              <w:rPr>
                <w:rFonts w:hint="eastAsia" w:ascii="宋体" w:hAnsi="宋体" w:cs="宋体"/>
                <w:b/>
                <w:bCs/>
                <w:color w:val="auto"/>
                <w:sz w:val="24"/>
                <w:highlight w:val="none"/>
              </w:rPr>
              <w:t>2.</w:t>
            </w:r>
            <w:r>
              <w:rPr>
                <w:rFonts w:hint="eastAsia" w:ascii="宋体" w:hAnsi="宋体" w:cs="宋体"/>
                <w:b/>
                <w:bCs/>
                <w:color w:val="auto"/>
                <w:sz w:val="24"/>
                <w:highlight w:val="none"/>
                <w:lang w:eastAsia="zh-Hans"/>
              </w:rPr>
              <w:t>技术支持承诺（满分</w:t>
            </w:r>
            <w:r>
              <w:rPr>
                <w:rFonts w:ascii="宋体" w:hAnsi="宋体" w:cs="宋体"/>
                <w:b/>
                <w:bCs/>
                <w:color w:val="auto"/>
                <w:sz w:val="24"/>
                <w:highlight w:val="none"/>
              </w:rPr>
              <w:t>3</w:t>
            </w:r>
            <w:r>
              <w:rPr>
                <w:rFonts w:hint="eastAsia" w:ascii="宋体" w:hAnsi="宋体" w:cs="宋体"/>
                <w:b/>
                <w:bCs/>
                <w:color w:val="auto"/>
                <w:sz w:val="24"/>
                <w:highlight w:val="none"/>
                <w:lang w:eastAsia="zh-Hans"/>
              </w:rPr>
              <w:t>分）</w:t>
            </w:r>
          </w:p>
          <w:p w14:paraId="01A041C1">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color w:val="auto"/>
                <w:sz w:val="24"/>
                <w:highlight w:val="none"/>
                <w:lang w:eastAsia="zh-Hans"/>
              </w:rPr>
            </w:pPr>
            <w:r>
              <w:rPr>
                <w:rFonts w:hint="eastAsia" w:ascii="宋体" w:hAnsi="宋体" w:cs="宋体"/>
                <w:color w:val="auto"/>
                <w:sz w:val="24"/>
                <w:highlight w:val="none"/>
              </w:rPr>
              <w:t>1）</w:t>
            </w:r>
            <w:r>
              <w:rPr>
                <w:rFonts w:hint="eastAsia" w:ascii="宋体" w:hAnsi="宋体" w:cs="宋体"/>
                <w:color w:val="auto"/>
                <w:sz w:val="24"/>
                <w:highlight w:val="none"/>
                <w:lang w:eastAsia="zh-Hans"/>
              </w:rPr>
              <w:t>投标人技术支持承诺内容</w:t>
            </w:r>
            <w:r>
              <w:rPr>
                <w:rFonts w:hint="eastAsia" w:ascii="宋体" w:hAnsi="宋体" w:cs="宋体"/>
                <w:color w:val="auto"/>
                <w:sz w:val="24"/>
                <w:highlight w:val="none"/>
              </w:rPr>
              <w:t>完全满足</w:t>
            </w:r>
            <w:r>
              <w:rPr>
                <w:rFonts w:hint="eastAsia" w:ascii="宋体" w:hAnsi="宋体" w:cs="宋体"/>
                <w:color w:val="auto"/>
                <w:sz w:val="24"/>
                <w:highlight w:val="none"/>
                <w:lang w:eastAsia="zh-Hans"/>
              </w:rPr>
              <w:t>招标要求，售后响应时间</w:t>
            </w:r>
            <w:r>
              <w:rPr>
                <w:rFonts w:hint="eastAsia" w:ascii="宋体" w:hAnsi="宋体" w:cs="宋体"/>
                <w:color w:val="auto"/>
                <w:sz w:val="24"/>
                <w:highlight w:val="none"/>
              </w:rPr>
              <w:t>完全满足甚至</w:t>
            </w:r>
            <w:r>
              <w:rPr>
                <w:rFonts w:hint="eastAsia" w:ascii="宋体" w:hAnsi="宋体" w:cs="宋体"/>
                <w:color w:val="auto"/>
                <w:sz w:val="24"/>
                <w:highlight w:val="none"/>
                <w:lang w:eastAsia="zh-Hans"/>
              </w:rPr>
              <w:t>优于采购人要求的(得</w:t>
            </w:r>
            <w:r>
              <w:rPr>
                <w:rFonts w:ascii="宋体" w:hAnsi="宋体" w:cs="宋体"/>
                <w:color w:val="auto"/>
                <w:sz w:val="24"/>
                <w:highlight w:val="none"/>
              </w:rPr>
              <w:t>3</w:t>
            </w:r>
            <w:r>
              <w:rPr>
                <w:rFonts w:hint="eastAsia" w:ascii="宋体" w:hAnsi="宋体" w:cs="宋体"/>
                <w:color w:val="auto"/>
                <w:sz w:val="24"/>
                <w:highlight w:val="none"/>
                <w:lang w:eastAsia="zh-Hans"/>
              </w:rPr>
              <w:t>分)；</w:t>
            </w:r>
          </w:p>
          <w:p w14:paraId="4FBB64CB">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color w:val="auto"/>
                <w:sz w:val="24"/>
                <w:highlight w:val="none"/>
                <w:lang w:eastAsia="zh-Hans"/>
              </w:rPr>
            </w:pPr>
            <w:r>
              <w:rPr>
                <w:rFonts w:hint="eastAsia" w:ascii="宋体" w:hAnsi="宋体" w:cs="宋体"/>
                <w:color w:val="auto"/>
                <w:sz w:val="24"/>
                <w:highlight w:val="none"/>
              </w:rPr>
              <w:t>2）</w:t>
            </w:r>
            <w:r>
              <w:rPr>
                <w:rFonts w:hint="eastAsia" w:ascii="宋体" w:hAnsi="宋体" w:cs="宋体"/>
                <w:color w:val="auto"/>
                <w:sz w:val="24"/>
                <w:highlight w:val="none"/>
                <w:lang w:eastAsia="zh-Hans"/>
              </w:rPr>
              <w:t>投标人技术支持承诺内容</w:t>
            </w:r>
            <w:r>
              <w:rPr>
                <w:rFonts w:hint="eastAsia" w:ascii="宋体" w:hAnsi="宋体" w:cs="宋体"/>
                <w:color w:val="auto"/>
                <w:sz w:val="24"/>
                <w:highlight w:val="none"/>
              </w:rPr>
              <w:t>满足</w:t>
            </w:r>
            <w:r>
              <w:rPr>
                <w:rFonts w:hint="eastAsia" w:ascii="宋体" w:hAnsi="宋体" w:cs="宋体"/>
                <w:color w:val="auto"/>
                <w:sz w:val="24"/>
                <w:highlight w:val="none"/>
                <w:lang w:eastAsia="zh-Hans"/>
              </w:rPr>
              <w:t>招标要求，但内容存在缺陷的</w:t>
            </w:r>
            <w:r>
              <w:rPr>
                <w:rFonts w:hint="eastAsia" w:ascii="宋体" w:hAnsi="宋体" w:cs="宋体"/>
                <w:color w:val="auto"/>
                <w:sz w:val="24"/>
                <w:highlight w:val="none"/>
              </w:rPr>
              <w:t>，</w:t>
            </w:r>
            <w:r>
              <w:rPr>
                <w:rFonts w:hint="eastAsia" w:ascii="宋体" w:hAnsi="宋体" w:cs="宋体"/>
                <w:color w:val="auto"/>
                <w:sz w:val="24"/>
                <w:highlight w:val="none"/>
                <w:lang w:eastAsia="zh-Hans"/>
              </w:rPr>
              <w:t>售后响应时间满足采购人要求的(得</w:t>
            </w:r>
            <w:r>
              <w:rPr>
                <w:rFonts w:hint="eastAsia" w:ascii="宋体" w:hAnsi="宋体" w:cs="宋体"/>
                <w:color w:val="auto"/>
                <w:sz w:val="24"/>
                <w:highlight w:val="none"/>
              </w:rPr>
              <w:t>2</w:t>
            </w:r>
            <w:r>
              <w:rPr>
                <w:rFonts w:hint="eastAsia" w:ascii="宋体" w:hAnsi="宋体" w:cs="宋体"/>
                <w:color w:val="auto"/>
                <w:sz w:val="24"/>
                <w:highlight w:val="none"/>
                <w:lang w:eastAsia="zh-Hans"/>
              </w:rPr>
              <w:t>分)；</w:t>
            </w:r>
          </w:p>
          <w:p w14:paraId="747E798F">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color w:val="auto"/>
                <w:sz w:val="24"/>
                <w:highlight w:val="none"/>
                <w:lang w:eastAsia="zh-Hans"/>
              </w:rPr>
            </w:pPr>
            <w:r>
              <w:rPr>
                <w:rFonts w:hint="eastAsia" w:ascii="宋体" w:hAnsi="宋体" w:cs="宋体"/>
                <w:color w:val="auto"/>
                <w:sz w:val="24"/>
                <w:highlight w:val="none"/>
              </w:rPr>
              <w:t>3）</w:t>
            </w:r>
            <w:r>
              <w:rPr>
                <w:rFonts w:hint="eastAsia" w:ascii="宋体" w:hAnsi="宋体" w:cs="宋体"/>
                <w:color w:val="auto"/>
                <w:sz w:val="24"/>
                <w:highlight w:val="none"/>
                <w:lang w:eastAsia="zh-Hans"/>
              </w:rPr>
              <w:t>投标人技术支持承诺内容</w:t>
            </w:r>
            <w:r>
              <w:rPr>
                <w:rFonts w:hint="eastAsia" w:ascii="宋体" w:hAnsi="宋体" w:cs="宋体"/>
                <w:color w:val="auto"/>
                <w:sz w:val="24"/>
                <w:highlight w:val="none"/>
              </w:rPr>
              <w:t>存在不符合项目需求的</w:t>
            </w:r>
            <w:r>
              <w:rPr>
                <w:rFonts w:hint="eastAsia" w:ascii="宋体" w:hAnsi="宋体" w:cs="宋体"/>
                <w:color w:val="auto"/>
                <w:sz w:val="24"/>
                <w:highlight w:val="none"/>
                <w:lang w:eastAsia="zh-Hans"/>
              </w:rPr>
              <w:t>，</w:t>
            </w:r>
            <w:r>
              <w:rPr>
                <w:rFonts w:hint="eastAsia" w:ascii="宋体" w:hAnsi="宋体" w:cs="宋体"/>
                <w:color w:val="auto"/>
                <w:sz w:val="24"/>
                <w:highlight w:val="none"/>
              </w:rPr>
              <w:t>或</w:t>
            </w:r>
            <w:r>
              <w:rPr>
                <w:rFonts w:hint="eastAsia" w:ascii="宋体" w:hAnsi="宋体" w:cs="宋体"/>
                <w:color w:val="auto"/>
                <w:sz w:val="24"/>
                <w:highlight w:val="none"/>
                <w:lang w:eastAsia="zh-Hans"/>
              </w:rPr>
              <w:t>售后响应时间</w:t>
            </w:r>
            <w:r>
              <w:rPr>
                <w:rFonts w:hint="eastAsia" w:ascii="宋体" w:hAnsi="宋体" w:cs="宋体"/>
                <w:color w:val="auto"/>
                <w:sz w:val="24"/>
                <w:highlight w:val="none"/>
              </w:rPr>
              <w:t>不明确</w:t>
            </w:r>
            <w:r>
              <w:rPr>
                <w:rFonts w:hint="eastAsia" w:ascii="宋体" w:hAnsi="宋体" w:cs="宋体"/>
                <w:color w:val="auto"/>
                <w:sz w:val="24"/>
                <w:highlight w:val="none"/>
                <w:lang w:eastAsia="zh-Hans"/>
              </w:rPr>
              <w:t>(得1分)。</w:t>
            </w:r>
          </w:p>
          <w:p w14:paraId="59A7D7DB">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color w:val="auto"/>
                <w:sz w:val="24"/>
                <w:highlight w:val="none"/>
                <w:lang w:eastAsia="zh-Hans"/>
              </w:rPr>
            </w:pPr>
            <w:r>
              <w:rPr>
                <w:rFonts w:hint="eastAsia" w:ascii="宋体" w:hAnsi="宋体" w:cs="宋体"/>
                <w:color w:val="auto"/>
                <w:sz w:val="24"/>
                <w:highlight w:val="none"/>
                <w:lang w:eastAsia="zh-Hans"/>
              </w:rPr>
              <w:t>注：未提供不得分。</w:t>
            </w:r>
          </w:p>
          <w:p w14:paraId="1826794D">
            <w:pPr>
              <w:keepNext w:val="0"/>
              <w:keepLines w:val="0"/>
              <w:pageBreakBefore w:val="0"/>
              <w:kinsoku/>
              <w:wordWrap/>
              <w:overflowPunct/>
              <w:topLinePunct w:val="0"/>
              <w:autoSpaceDE/>
              <w:autoSpaceDN/>
              <w:bidi w:val="0"/>
              <w:adjustRightInd/>
              <w:snapToGrid/>
              <w:spacing w:line="360" w:lineRule="auto"/>
              <w:jc w:val="left"/>
              <w:textAlignment w:val="auto"/>
              <w:rPr>
                <w:rFonts w:ascii="宋体" w:hAnsi="宋体" w:cs="宋体"/>
                <w:color w:val="auto"/>
                <w:sz w:val="24"/>
                <w:highlight w:val="none"/>
                <w:lang w:eastAsia="zh-Hans"/>
              </w:rPr>
            </w:pPr>
            <w:r>
              <w:rPr>
                <w:rFonts w:hint="eastAsia" w:ascii="宋体" w:hAnsi="宋体" w:cs="宋体"/>
                <w:color w:val="auto"/>
                <w:sz w:val="24"/>
                <w:highlight w:val="none"/>
                <w:lang w:eastAsia="zh-Hans"/>
              </w:rPr>
              <w:t>缺陷是指方案内容与项目需求不完全一致、存在相互矛盾内容以及未针对本项目编写的任意一种情形。</w:t>
            </w:r>
          </w:p>
          <w:p w14:paraId="1180028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color w:val="auto"/>
                <w:sz w:val="24"/>
                <w:szCs w:val="24"/>
                <w:highlight w:val="none"/>
              </w:rPr>
            </w:pPr>
            <w:r>
              <w:rPr>
                <w:rFonts w:hint="eastAsia" w:ascii="宋体" w:hAnsi="宋体" w:cs="宋体"/>
                <w:color w:val="auto"/>
                <w:sz w:val="24"/>
                <w:highlight w:val="none"/>
                <w:lang w:eastAsia="zh-Hans"/>
              </w:rPr>
              <w:t>不符合项目需求是指存在与本项目执行无关的内容、存在相关内容在实际操作中不能运用的任意一种情形。</w:t>
            </w:r>
          </w:p>
        </w:tc>
      </w:tr>
      <w:tr w14:paraId="2698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46" w:type="dxa"/>
            <w:vMerge w:val="continue"/>
            <w:vAlign w:val="center"/>
          </w:tcPr>
          <w:p w14:paraId="3BD5E13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p>
        </w:tc>
        <w:tc>
          <w:tcPr>
            <w:tcW w:w="850" w:type="dxa"/>
            <w:vAlign w:val="center"/>
          </w:tcPr>
          <w:p w14:paraId="7EB9A59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bidi="en-US"/>
              </w:rPr>
            </w:pPr>
            <w:r>
              <w:rPr>
                <w:rFonts w:hint="eastAsia" w:ascii="宋体" w:hAnsi="宋体" w:cs="宋体"/>
                <w:color w:val="auto"/>
                <w:sz w:val="24"/>
                <w:highlight w:val="none"/>
              </w:rPr>
              <w:t>培训方案</w:t>
            </w:r>
          </w:p>
        </w:tc>
        <w:tc>
          <w:tcPr>
            <w:tcW w:w="709" w:type="dxa"/>
            <w:vAlign w:val="center"/>
          </w:tcPr>
          <w:p w14:paraId="69FF735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highlight w:val="none"/>
                <w:lang w:val="en-US" w:eastAsia="zh-CN"/>
              </w:rPr>
              <w:t>4.8</w:t>
            </w:r>
          </w:p>
        </w:tc>
        <w:tc>
          <w:tcPr>
            <w:tcW w:w="6778" w:type="dxa"/>
            <w:vAlign w:val="center"/>
          </w:tcPr>
          <w:p w14:paraId="455AA079">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b/>
                <w:bCs/>
                <w:color w:val="auto"/>
                <w:sz w:val="24"/>
                <w:highlight w:val="none"/>
              </w:rPr>
            </w:pPr>
            <w:r>
              <w:rPr>
                <w:rFonts w:hint="eastAsia" w:ascii="宋体" w:hAnsi="宋体" w:cs="宋体"/>
                <w:b/>
                <w:bCs/>
                <w:color w:val="auto"/>
                <w:sz w:val="24"/>
                <w:highlight w:val="none"/>
              </w:rPr>
              <w:t>培训方案</w:t>
            </w:r>
            <w:r>
              <w:rPr>
                <w:rFonts w:ascii="宋体" w:hAnsi="宋体" w:cs="宋体"/>
                <w:b/>
                <w:bCs/>
                <w:color w:val="auto"/>
                <w:sz w:val="24"/>
                <w:highlight w:val="none"/>
              </w:rPr>
              <w:t>（满分</w:t>
            </w:r>
            <w:r>
              <w:rPr>
                <w:rFonts w:hint="eastAsia" w:ascii="宋体" w:hAnsi="宋体" w:cs="宋体"/>
                <w:b/>
                <w:bCs/>
                <w:color w:val="auto"/>
                <w:sz w:val="24"/>
                <w:highlight w:val="none"/>
                <w:lang w:val="en-US" w:eastAsia="zh-CN"/>
              </w:rPr>
              <w:t>4.8</w:t>
            </w:r>
            <w:r>
              <w:rPr>
                <w:rFonts w:ascii="宋体" w:hAnsi="宋体" w:cs="宋体"/>
                <w:b/>
                <w:bCs/>
                <w:color w:val="auto"/>
                <w:sz w:val="24"/>
                <w:highlight w:val="none"/>
              </w:rPr>
              <w:t>分）：</w:t>
            </w:r>
          </w:p>
          <w:p w14:paraId="72B5CCEE">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b/>
                <w:bCs/>
                <w:color w:val="auto"/>
                <w:sz w:val="24"/>
                <w:highlight w:val="none"/>
              </w:rPr>
            </w:pPr>
            <w:r>
              <w:rPr>
                <w:rFonts w:hint="eastAsia" w:ascii="宋体" w:hAnsi="宋体"/>
                <w:color w:val="auto"/>
                <w:sz w:val="24"/>
                <w:highlight w:val="none"/>
              </w:rPr>
              <w:t>根据</w:t>
            </w:r>
            <w:r>
              <w:rPr>
                <w:rFonts w:ascii="宋体" w:hAnsi="宋体"/>
                <w:color w:val="auto"/>
                <w:sz w:val="24"/>
                <w:highlight w:val="none"/>
              </w:rPr>
              <w:t>投标人的</w:t>
            </w:r>
            <w:r>
              <w:rPr>
                <w:rFonts w:hint="eastAsia" w:ascii="宋体" w:hAnsi="宋体"/>
                <w:color w:val="auto"/>
                <w:sz w:val="24"/>
                <w:highlight w:val="none"/>
              </w:rPr>
              <w:t>培训</w:t>
            </w:r>
            <w:r>
              <w:rPr>
                <w:rFonts w:ascii="宋体" w:hAnsi="宋体"/>
                <w:color w:val="auto"/>
                <w:sz w:val="24"/>
                <w:highlight w:val="none"/>
              </w:rPr>
              <w:t>方案（包括但不限于</w:t>
            </w:r>
            <w:r>
              <w:rPr>
                <w:rFonts w:hint="eastAsia" w:ascii="宋体" w:hAnsi="宋体"/>
                <w:color w:val="auto"/>
                <w:sz w:val="24"/>
                <w:highlight w:val="none"/>
              </w:rPr>
              <w:t>培训师资、培训内容、培训时间和进度安排等</w:t>
            </w:r>
            <w:r>
              <w:rPr>
                <w:rFonts w:ascii="宋体" w:hAnsi="宋体"/>
                <w:color w:val="auto"/>
                <w:sz w:val="24"/>
                <w:highlight w:val="none"/>
              </w:rPr>
              <w:t>等）进行综合评审：</w:t>
            </w:r>
          </w:p>
          <w:p w14:paraId="7BC251EA">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ascii="宋体" w:hAnsi="宋体" w:cs="宋体"/>
                <w:color w:val="auto"/>
                <w:sz w:val="24"/>
                <w:highlight w:val="none"/>
                <w:lang w:eastAsia="zh-Hans"/>
              </w:rPr>
              <w:t>1</w:t>
            </w:r>
            <w:r>
              <w:rPr>
                <w:rFonts w:hint="eastAsia" w:ascii="宋体" w:hAnsi="宋体" w:cs="宋体"/>
                <w:color w:val="auto"/>
                <w:sz w:val="24"/>
                <w:highlight w:val="none"/>
              </w:rPr>
              <w:t>.</w:t>
            </w:r>
            <w:r>
              <w:rPr>
                <w:rFonts w:ascii="宋体" w:hAnsi="宋体" w:cs="宋体"/>
                <w:color w:val="auto"/>
                <w:sz w:val="24"/>
                <w:highlight w:val="none"/>
                <w:lang w:eastAsia="zh-Hans"/>
              </w:rPr>
              <w:t>培训方案</w:t>
            </w:r>
            <w:r>
              <w:rPr>
                <w:rFonts w:hint="eastAsia" w:ascii="宋体" w:hAnsi="宋体" w:cs="宋体"/>
                <w:color w:val="auto"/>
                <w:sz w:val="24"/>
                <w:highlight w:val="none"/>
              </w:rPr>
              <w:t>内容</w:t>
            </w:r>
            <w:r>
              <w:rPr>
                <w:rFonts w:ascii="宋体" w:hAnsi="宋体" w:cs="宋体"/>
                <w:color w:val="auto"/>
                <w:sz w:val="24"/>
                <w:highlight w:val="none"/>
                <w:lang w:eastAsia="zh-Hans"/>
              </w:rPr>
              <w:t>全面合理、针对性强，能够充分满足</w:t>
            </w:r>
            <w:r>
              <w:rPr>
                <w:rFonts w:hint="eastAsia" w:ascii="宋体" w:hAnsi="宋体" w:cs="宋体"/>
                <w:color w:val="auto"/>
                <w:sz w:val="24"/>
                <w:highlight w:val="none"/>
              </w:rPr>
              <w:t>项目</w:t>
            </w:r>
            <w:r>
              <w:rPr>
                <w:rFonts w:ascii="宋体" w:hAnsi="宋体" w:cs="宋体"/>
                <w:color w:val="auto"/>
                <w:sz w:val="24"/>
                <w:highlight w:val="none"/>
                <w:lang w:eastAsia="zh-Hans"/>
              </w:rPr>
              <w:t>需求(得</w:t>
            </w:r>
            <w:r>
              <w:rPr>
                <w:rFonts w:hint="eastAsia" w:ascii="宋体" w:hAnsi="宋体" w:cs="宋体"/>
                <w:color w:val="auto"/>
                <w:sz w:val="24"/>
                <w:highlight w:val="none"/>
                <w:lang w:val="en-US" w:eastAsia="zh-CN"/>
              </w:rPr>
              <w:t>4.8</w:t>
            </w:r>
            <w:r>
              <w:rPr>
                <w:rFonts w:ascii="宋体" w:hAnsi="宋体" w:cs="宋体"/>
                <w:color w:val="auto"/>
                <w:sz w:val="24"/>
                <w:highlight w:val="none"/>
                <w:lang w:eastAsia="zh-Hans"/>
              </w:rPr>
              <w:t>分)；</w:t>
            </w:r>
          </w:p>
          <w:p w14:paraId="297AC615">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hint="eastAsia" w:ascii="宋体" w:hAnsi="宋体" w:cs="宋体"/>
                <w:color w:val="auto"/>
                <w:sz w:val="24"/>
                <w:highlight w:val="none"/>
              </w:rPr>
              <w:t>2.</w:t>
            </w:r>
            <w:r>
              <w:rPr>
                <w:rFonts w:ascii="宋体" w:hAnsi="宋体" w:cs="宋体"/>
                <w:color w:val="auto"/>
                <w:sz w:val="24"/>
                <w:highlight w:val="none"/>
                <w:lang w:eastAsia="zh-Hans"/>
              </w:rPr>
              <w:t>培训方案</w:t>
            </w:r>
            <w:r>
              <w:rPr>
                <w:rFonts w:hint="eastAsia" w:ascii="宋体" w:hAnsi="宋体" w:cs="宋体"/>
                <w:color w:val="auto"/>
                <w:sz w:val="24"/>
                <w:highlight w:val="none"/>
              </w:rPr>
              <w:t>内容完整</w:t>
            </w:r>
            <w:r>
              <w:rPr>
                <w:rFonts w:ascii="宋体" w:hAnsi="宋体" w:cs="宋体"/>
                <w:color w:val="auto"/>
                <w:sz w:val="24"/>
                <w:highlight w:val="none"/>
                <w:lang w:eastAsia="zh-Hans"/>
              </w:rPr>
              <w:t>，</w:t>
            </w:r>
            <w:r>
              <w:rPr>
                <w:rFonts w:hint="eastAsia" w:ascii="宋体" w:hAnsi="宋体" w:cs="宋体"/>
                <w:color w:val="auto"/>
                <w:sz w:val="24"/>
                <w:highlight w:val="none"/>
                <w:lang w:eastAsia="zh-Hans"/>
              </w:rPr>
              <w:t>但方案内容存在缺陷的</w:t>
            </w:r>
            <w:r>
              <w:rPr>
                <w:rFonts w:ascii="宋体" w:hAnsi="宋体" w:cs="宋体"/>
                <w:color w:val="auto"/>
                <w:sz w:val="24"/>
                <w:highlight w:val="none"/>
                <w:lang w:eastAsia="zh-Hans"/>
              </w:rPr>
              <w:t xml:space="preserve"> (得</w:t>
            </w:r>
            <w:r>
              <w:rPr>
                <w:rFonts w:hint="eastAsia" w:ascii="宋体" w:hAnsi="宋体" w:cs="宋体"/>
                <w:color w:val="auto"/>
                <w:sz w:val="24"/>
                <w:highlight w:val="none"/>
                <w:lang w:val="en-US" w:eastAsia="zh-CN"/>
              </w:rPr>
              <w:t>3</w:t>
            </w:r>
            <w:r>
              <w:rPr>
                <w:rFonts w:ascii="宋体" w:hAnsi="宋体" w:cs="宋体"/>
                <w:color w:val="auto"/>
                <w:sz w:val="24"/>
                <w:highlight w:val="none"/>
                <w:lang w:eastAsia="zh-Hans"/>
              </w:rPr>
              <w:t>分)。</w:t>
            </w:r>
          </w:p>
          <w:p w14:paraId="3A1FBCB0">
            <w:pPr>
              <w:keepNext w:val="0"/>
              <w:keepLines w:val="0"/>
              <w:pageBreakBefore w:val="0"/>
              <w:kinsoku/>
              <w:wordWrap/>
              <w:overflowPunct/>
              <w:topLinePunct w:val="0"/>
              <w:autoSpaceDE/>
              <w:autoSpaceDN/>
              <w:bidi w:val="0"/>
              <w:adjustRightInd/>
              <w:snapToGrid/>
              <w:spacing w:line="360" w:lineRule="auto"/>
              <w:textAlignment w:val="auto"/>
              <w:rPr>
                <w:rFonts w:ascii="宋体" w:hAnsi="宋体" w:cs="宋体"/>
                <w:color w:val="auto"/>
                <w:sz w:val="24"/>
                <w:highlight w:val="none"/>
                <w:lang w:eastAsia="zh-Hans"/>
              </w:rPr>
            </w:pPr>
            <w:r>
              <w:rPr>
                <w:rFonts w:hint="eastAsia" w:ascii="宋体" w:hAnsi="宋体" w:cs="宋体"/>
                <w:color w:val="auto"/>
                <w:sz w:val="24"/>
                <w:highlight w:val="none"/>
              </w:rPr>
              <w:t>3.方案内容存在不符合项目需求的，或方案中缺少上述应包括内容任意一项内容的</w:t>
            </w:r>
            <w:r>
              <w:rPr>
                <w:rFonts w:ascii="宋体" w:hAnsi="宋体" w:cs="宋体"/>
                <w:color w:val="auto"/>
                <w:sz w:val="24"/>
                <w:highlight w:val="none"/>
                <w:lang w:eastAsia="zh-Hans"/>
              </w:rPr>
              <w:t xml:space="preserve"> (得</w:t>
            </w:r>
            <w:r>
              <w:rPr>
                <w:rFonts w:hint="eastAsia" w:ascii="宋体" w:hAnsi="宋体" w:cs="宋体"/>
                <w:color w:val="auto"/>
                <w:sz w:val="24"/>
                <w:highlight w:val="none"/>
                <w:lang w:val="en-US" w:eastAsia="zh-CN"/>
              </w:rPr>
              <w:t>1.5</w:t>
            </w:r>
            <w:r>
              <w:rPr>
                <w:rFonts w:ascii="宋体" w:hAnsi="宋体" w:cs="宋体"/>
                <w:color w:val="auto"/>
                <w:sz w:val="24"/>
                <w:highlight w:val="none"/>
                <w:lang w:eastAsia="zh-Hans"/>
              </w:rPr>
              <w:t>分)。</w:t>
            </w:r>
          </w:p>
          <w:p w14:paraId="085E0ED4">
            <w:pPr>
              <w:keepNext w:val="0"/>
              <w:keepLines w:val="0"/>
              <w:pageBreakBefore w:val="0"/>
              <w:kinsoku/>
              <w:wordWrap/>
              <w:overflowPunct/>
              <w:topLinePunct w:val="0"/>
              <w:autoSpaceDE/>
              <w:autoSpaceDN/>
              <w:bidi w:val="0"/>
              <w:adjustRightInd/>
              <w:snapToGrid/>
              <w:spacing w:line="360" w:lineRule="auto"/>
              <w:ind w:right="42" w:rightChars="20"/>
              <w:textAlignment w:val="auto"/>
              <w:rPr>
                <w:rFonts w:ascii="宋体" w:hAnsi="宋体" w:cs="宋体"/>
                <w:color w:val="auto"/>
                <w:sz w:val="24"/>
                <w:highlight w:val="none"/>
                <w:lang w:eastAsia="zh-Hans"/>
              </w:rPr>
            </w:pPr>
            <w:r>
              <w:rPr>
                <w:rFonts w:hint="eastAsia" w:ascii="宋体" w:hAnsi="宋体" w:cs="宋体"/>
                <w:color w:val="auto"/>
                <w:sz w:val="24"/>
                <w:highlight w:val="none"/>
              </w:rPr>
              <w:t>5.</w:t>
            </w:r>
            <w:r>
              <w:rPr>
                <w:rFonts w:ascii="宋体" w:hAnsi="宋体" w:cs="宋体"/>
                <w:color w:val="auto"/>
                <w:sz w:val="24"/>
                <w:highlight w:val="none"/>
                <w:lang w:eastAsia="zh-Hans"/>
              </w:rPr>
              <w:t>未提供不得分。</w:t>
            </w:r>
          </w:p>
          <w:p w14:paraId="62943390">
            <w:pPr>
              <w:keepNext w:val="0"/>
              <w:keepLines w:val="0"/>
              <w:pageBreakBefore w:val="0"/>
              <w:kinsoku/>
              <w:wordWrap/>
              <w:overflowPunct/>
              <w:topLinePunct w:val="0"/>
              <w:autoSpaceDE/>
              <w:autoSpaceDN/>
              <w:bidi w:val="0"/>
              <w:adjustRightInd/>
              <w:snapToGrid/>
              <w:spacing w:line="360" w:lineRule="auto"/>
              <w:ind w:right="42" w:rightChars="20"/>
              <w:textAlignment w:val="auto"/>
              <w:rPr>
                <w:rFonts w:ascii="宋体" w:hAnsi="宋体" w:cs="宋体"/>
                <w:color w:val="auto"/>
                <w:sz w:val="24"/>
                <w:highlight w:val="none"/>
                <w:lang w:eastAsia="zh-Hans"/>
              </w:rPr>
            </w:pPr>
            <w:r>
              <w:rPr>
                <w:rFonts w:hint="eastAsia" w:ascii="宋体" w:hAnsi="宋体" w:cs="宋体"/>
                <w:color w:val="auto"/>
                <w:sz w:val="24"/>
                <w:highlight w:val="none"/>
              </w:rPr>
              <w:t>注：</w:t>
            </w:r>
            <w:r>
              <w:rPr>
                <w:rFonts w:hint="eastAsia" w:ascii="宋体" w:hAnsi="宋体" w:cs="宋体"/>
                <w:color w:val="auto"/>
                <w:sz w:val="24"/>
                <w:highlight w:val="none"/>
                <w:lang w:eastAsia="zh-Hans"/>
              </w:rPr>
              <w:t>缺陷是指方案内容与项目需求不完全一致、存在相互矛盾内容以及未针对本项目编写的任意一种情形。</w:t>
            </w:r>
          </w:p>
          <w:p w14:paraId="39F14822">
            <w:pPr>
              <w:keepNext w:val="0"/>
              <w:keepLines w:val="0"/>
              <w:pageBreakBefore w:val="0"/>
              <w:kinsoku/>
              <w:wordWrap/>
              <w:overflowPunct/>
              <w:topLinePunct w:val="0"/>
              <w:autoSpaceDE/>
              <w:autoSpaceDN/>
              <w:bidi w:val="0"/>
              <w:adjustRightInd/>
              <w:snapToGrid/>
              <w:spacing w:line="360" w:lineRule="auto"/>
              <w:ind w:right="42" w:rightChars="20"/>
              <w:textAlignment w:val="auto"/>
              <w:rPr>
                <w:rFonts w:hint="eastAsia" w:ascii="宋体" w:hAnsi="宋体" w:eastAsia="宋体" w:cs="宋体"/>
                <w:b/>
                <w:color w:val="auto"/>
                <w:sz w:val="24"/>
                <w:szCs w:val="24"/>
                <w:highlight w:val="none"/>
              </w:rPr>
            </w:pPr>
            <w:r>
              <w:rPr>
                <w:rFonts w:hint="eastAsia" w:ascii="宋体" w:hAnsi="宋体" w:cs="宋体"/>
                <w:color w:val="auto"/>
                <w:sz w:val="24"/>
                <w:highlight w:val="none"/>
                <w:lang w:eastAsia="zh-Hans"/>
              </w:rPr>
              <w:t>不符合项目需求是指存在与本项目执行无关的内容、存在相关内容在实际操作中不能运用的任意一种情形。</w:t>
            </w:r>
          </w:p>
        </w:tc>
      </w:tr>
      <w:tr w14:paraId="5C3A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9183" w:type="dxa"/>
            <w:gridSpan w:val="4"/>
            <w:vAlign w:val="center"/>
          </w:tcPr>
          <w:p w14:paraId="509E0DD7">
            <w:pPr>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总分 100</w:t>
            </w:r>
          </w:p>
        </w:tc>
      </w:tr>
    </w:tbl>
    <w:p w14:paraId="221F75B8">
      <w:pPr>
        <w:snapToGrid w:val="0"/>
        <w:spacing w:line="360" w:lineRule="auto"/>
        <w:ind w:firstLine="643" w:firstLineChars="200"/>
        <w:jc w:val="left"/>
        <w:rPr>
          <w:rFonts w:ascii="宋体" w:hAnsi="宋体" w:cs="宋体"/>
          <w:b/>
          <w:color w:val="auto"/>
          <w:kern w:val="0"/>
          <w:sz w:val="32"/>
          <w:szCs w:val="32"/>
          <w:highlight w:val="none"/>
        </w:rPr>
      </w:pPr>
    </w:p>
    <w:p w14:paraId="65E8A479">
      <w:pPr>
        <w:snapToGrid w:val="0"/>
        <w:spacing w:line="360" w:lineRule="auto"/>
        <w:ind w:firstLine="643" w:firstLineChars="200"/>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加分项评分标准</w:t>
      </w:r>
    </w:p>
    <w:tbl>
      <w:tblPr>
        <w:tblStyle w:val="88"/>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7725"/>
      </w:tblGrid>
      <w:tr w14:paraId="79B5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418" w:type="dxa"/>
            <w:vAlign w:val="center"/>
          </w:tcPr>
          <w:p w14:paraId="4F8D94A1">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加分</w:t>
            </w:r>
          </w:p>
          <w:p w14:paraId="6B5FFE16">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因素</w:t>
            </w:r>
          </w:p>
        </w:tc>
        <w:tc>
          <w:tcPr>
            <w:tcW w:w="7725" w:type="dxa"/>
            <w:vAlign w:val="center"/>
          </w:tcPr>
          <w:p w14:paraId="2C0DC9A1">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说明</w:t>
            </w:r>
          </w:p>
        </w:tc>
      </w:tr>
      <w:tr w14:paraId="5F84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5" w:hRule="atLeast"/>
          <w:jc w:val="center"/>
        </w:trPr>
        <w:tc>
          <w:tcPr>
            <w:tcW w:w="1418" w:type="dxa"/>
            <w:vAlign w:val="center"/>
          </w:tcPr>
          <w:p w14:paraId="24211D35">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节能</w:t>
            </w:r>
          </w:p>
          <w:p w14:paraId="37BFD1BB">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产品</w:t>
            </w:r>
          </w:p>
        </w:tc>
        <w:tc>
          <w:tcPr>
            <w:tcW w:w="7725" w:type="dxa"/>
            <w:vAlign w:val="center"/>
          </w:tcPr>
          <w:p w14:paraId="5098976F">
            <w:pPr>
              <w:snapToGrid w:val="0"/>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对于清单中的投标产品，对技术和价格项目分别给予相应评分总分值2%的加分，计算公式如下：</w:t>
            </w:r>
          </w:p>
          <w:p w14:paraId="32993DBA">
            <w:pPr>
              <w:snapToGrid w:val="0"/>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节能产品加分＝技术加分+价格加分＝（节能产品投标报价之和/投标总价）×技术部分总分值×2% +（节能产品投标报价之和/投标总价）×价格部分总分值×2%。</w:t>
            </w:r>
          </w:p>
          <w:p w14:paraId="430ECAE4">
            <w:pPr>
              <w:snapToGrid w:val="0"/>
              <w:ind w:firstLine="241" w:firstLineChars="100"/>
              <w:rPr>
                <w:rFonts w:ascii="宋体" w:hAnsi="宋体" w:cs="宋体"/>
                <w:color w:val="auto"/>
                <w:kern w:val="0"/>
                <w:sz w:val="24"/>
                <w:highlight w:val="none"/>
              </w:rPr>
            </w:pPr>
            <w:r>
              <w:rPr>
                <w:rFonts w:hint="eastAsia" w:ascii="宋体" w:hAnsi="宋体" w:cs="宋体"/>
                <w:b/>
                <w:color w:val="auto"/>
                <w:kern w:val="0"/>
                <w:sz w:val="24"/>
                <w:highlight w:val="none"/>
              </w:rPr>
              <w:t>注：强制节能产品清单内的产品除外。</w:t>
            </w:r>
          </w:p>
        </w:tc>
      </w:tr>
      <w:tr w14:paraId="227A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1" w:hRule="atLeast"/>
          <w:jc w:val="center"/>
        </w:trPr>
        <w:tc>
          <w:tcPr>
            <w:tcW w:w="1418" w:type="dxa"/>
            <w:vAlign w:val="center"/>
          </w:tcPr>
          <w:p w14:paraId="5E06D53D">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环保</w:t>
            </w:r>
          </w:p>
          <w:p w14:paraId="234F416B">
            <w:pPr>
              <w:snapToGrid w:val="0"/>
              <w:ind w:firstLine="480"/>
              <w:jc w:val="center"/>
              <w:rPr>
                <w:rFonts w:ascii="宋体" w:hAnsi="宋体" w:cs="宋体"/>
                <w:color w:val="auto"/>
                <w:kern w:val="0"/>
                <w:sz w:val="24"/>
                <w:highlight w:val="none"/>
              </w:rPr>
            </w:pPr>
            <w:r>
              <w:rPr>
                <w:rFonts w:hint="eastAsia" w:ascii="宋体" w:hAnsi="宋体" w:cs="宋体"/>
                <w:color w:val="auto"/>
                <w:kern w:val="0"/>
                <w:sz w:val="24"/>
                <w:highlight w:val="none"/>
              </w:rPr>
              <w:t>产品</w:t>
            </w:r>
          </w:p>
        </w:tc>
        <w:tc>
          <w:tcPr>
            <w:tcW w:w="7725" w:type="dxa"/>
            <w:vAlign w:val="center"/>
          </w:tcPr>
          <w:p w14:paraId="1DAAC148">
            <w:pPr>
              <w:snapToGrid w:val="0"/>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对于清单中的投标产品，对技术和价格项目分别给予相应评分总分值2%的加分，计算公式如下：</w:t>
            </w:r>
          </w:p>
          <w:p w14:paraId="10DCDF9C">
            <w:pPr>
              <w:snapToGrid w:val="0"/>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环保产品加分＝技术加分+价格加分＝（环保产品投标报价之和/投标总价）×技术部分总分值×2% +（节能产品投标报价之和/投标总价）×价格部分总分值×2%。</w:t>
            </w:r>
          </w:p>
        </w:tc>
      </w:tr>
    </w:tbl>
    <w:p w14:paraId="6A912C89">
      <w:pPr>
        <w:tabs>
          <w:tab w:val="center" w:pos="4396"/>
        </w:tabs>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w:t>
      </w:r>
      <w:r>
        <w:rPr>
          <w:rFonts w:hint="eastAsia" w:ascii="宋体" w:hAnsi="宋体" w:cs="宋体"/>
          <w:color w:val="auto"/>
          <w:kern w:val="0"/>
          <w:sz w:val="24"/>
          <w:highlight w:val="none"/>
        </w:rPr>
        <w:tab/>
      </w:r>
    </w:p>
    <w:p w14:paraId="6623164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1.保留小数点后两位（按四舍五入原则）。</w:t>
      </w:r>
    </w:p>
    <w:p w14:paraId="07BBE80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2.获得最高评估分的投标人将被推荐为合格的中标候选人。</w:t>
      </w:r>
    </w:p>
    <w:p w14:paraId="4BFA9CE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3.如果投标人综合得分相同，按下列顺序排列以确定将被推荐为合格的中标候选人：</w:t>
      </w:r>
    </w:p>
    <w:p w14:paraId="7A8770AC">
      <w:pPr>
        <w:snapToGrid w:val="0"/>
        <w:spacing w:line="360" w:lineRule="auto"/>
        <w:ind w:firstLine="600" w:firstLineChars="250"/>
        <w:rPr>
          <w:rFonts w:ascii="宋体" w:hAnsi="宋体" w:cs="宋体"/>
          <w:color w:val="auto"/>
          <w:kern w:val="0"/>
          <w:sz w:val="24"/>
          <w:highlight w:val="none"/>
        </w:rPr>
      </w:pPr>
      <w:bookmarkStart w:id="160" w:name="_Toc7717_WPSOffice_Level2"/>
      <w:r>
        <w:rPr>
          <w:rFonts w:hint="eastAsia" w:ascii="宋体" w:hAnsi="宋体" w:cs="宋体"/>
          <w:color w:val="auto"/>
          <w:kern w:val="0"/>
          <w:sz w:val="24"/>
          <w:highlight w:val="none"/>
        </w:rPr>
        <w:t>（1）投标报价低的；</w:t>
      </w:r>
      <w:bookmarkEnd w:id="160"/>
    </w:p>
    <w:p w14:paraId="3413BA6F">
      <w:pPr>
        <w:snapToGrid w:val="0"/>
        <w:spacing w:line="360" w:lineRule="auto"/>
        <w:ind w:firstLine="600" w:firstLineChars="250"/>
        <w:rPr>
          <w:rFonts w:ascii="宋体" w:hAnsi="宋体" w:cs="宋体"/>
          <w:color w:val="auto"/>
          <w:kern w:val="0"/>
          <w:sz w:val="24"/>
          <w:highlight w:val="none"/>
        </w:rPr>
      </w:pPr>
      <w:bookmarkStart w:id="161" w:name="_Toc11244_WPSOffice_Level2"/>
      <w:r>
        <w:rPr>
          <w:rFonts w:hint="eastAsia" w:ascii="宋体" w:hAnsi="宋体" w:cs="宋体"/>
          <w:color w:val="auto"/>
          <w:kern w:val="0"/>
          <w:sz w:val="24"/>
          <w:highlight w:val="none"/>
        </w:rPr>
        <w:t>（2）</w:t>
      </w:r>
      <w:r>
        <w:rPr>
          <w:rFonts w:hint="eastAsia" w:ascii="宋体" w:hAnsi="宋体" w:cs="宋体"/>
          <w:color w:val="auto"/>
          <w:sz w:val="24"/>
          <w:highlight w:val="none"/>
        </w:rPr>
        <w:t>满足产品技术参数要求情况</w:t>
      </w:r>
      <w:r>
        <w:rPr>
          <w:rFonts w:hint="eastAsia" w:ascii="宋体" w:hAnsi="宋体" w:cs="宋体"/>
          <w:color w:val="auto"/>
          <w:kern w:val="0"/>
          <w:sz w:val="24"/>
          <w:highlight w:val="none"/>
        </w:rPr>
        <w:t>得分高的</w:t>
      </w:r>
      <w:bookmarkEnd w:id="161"/>
      <w:bookmarkStart w:id="162" w:name="_Toc18958_WPSOffice_Level2"/>
      <w:r>
        <w:rPr>
          <w:rFonts w:hint="eastAsia" w:ascii="宋体" w:hAnsi="宋体" w:cs="宋体"/>
          <w:color w:val="auto"/>
          <w:kern w:val="0"/>
          <w:sz w:val="24"/>
          <w:highlight w:val="none"/>
        </w:rPr>
        <w:t>；</w:t>
      </w:r>
    </w:p>
    <w:p w14:paraId="55EDDF54">
      <w:pPr>
        <w:snapToGrid w:val="0"/>
        <w:spacing w:line="360" w:lineRule="auto"/>
        <w:ind w:firstLine="600" w:firstLineChars="25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color w:val="auto"/>
          <w:sz w:val="24"/>
          <w:highlight w:val="none"/>
          <w:lang w:bidi="en-US"/>
        </w:rPr>
        <w:t>售后服务方案及技术支持</w:t>
      </w:r>
      <w:r>
        <w:rPr>
          <w:rFonts w:hint="eastAsia" w:ascii="宋体" w:hAnsi="宋体" w:cs="宋体"/>
          <w:color w:val="auto"/>
          <w:kern w:val="0"/>
          <w:sz w:val="24"/>
          <w:highlight w:val="none"/>
        </w:rPr>
        <w:t>得分高的</w:t>
      </w:r>
      <w:bookmarkEnd w:id="162"/>
      <w:r>
        <w:rPr>
          <w:rFonts w:hint="eastAsia" w:ascii="宋体" w:hAnsi="宋体" w:cs="宋体"/>
          <w:color w:val="auto"/>
          <w:kern w:val="0"/>
          <w:sz w:val="24"/>
          <w:highlight w:val="none"/>
        </w:rPr>
        <w:t>。</w:t>
      </w:r>
    </w:p>
    <w:p w14:paraId="5EE48E9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4.投标人加分项相应产品响应报价之和以评标委员会复核结果为准。</w:t>
      </w:r>
    </w:p>
    <w:p w14:paraId="70BFFD7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5.投标人在响应时须提供与以上评分因素相关的材料。如果发现有弄虚作假的，将取消其响应资格。</w:t>
      </w:r>
    </w:p>
    <w:p w14:paraId="335E30E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6.保密要求：从开标时起到中标公告发布时止，有关投标文件的审查、澄清、评估和比较以及有关授予合同的意向的一切情况都不得透露给投标人或与上述评审工作无关的人。</w:t>
      </w:r>
    </w:p>
    <w:p w14:paraId="7291E603">
      <w:pPr>
        <w:pStyle w:val="99"/>
        <w:numPr>
          <w:ilvl w:val="0"/>
          <w:numId w:val="0"/>
        </w:numPr>
        <w:ind w:left="432" w:hanging="432"/>
        <w:rPr>
          <w:color w:val="auto"/>
          <w:highlight w:val="none"/>
        </w:rPr>
      </w:pPr>
    </w:p>
    <w:sectPr>
      <w:pgSz w:w="11905" w:h="16838"/>
      <w:pgMar w:top="1984" w:right="1417" w:bottom="1417" w:left="1417" w:header="1417" w:footer="85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方正仿宋_GBK">
    <w:altName w:val="微软雅黑"/>
    <w:panose1 w:val="00000000000000000000"/>
    <w:charset w:val="86"/>
    <w:family w:val="script"/>
    <w:pitch w:val="default"/>
    <w:sig w:usb0="00000000" w:usb1="00000000" w:usb2="00082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54A52">
    <w:pPr>
      <w:pStyle w:val="55"/>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18415" b="1905"/>
              <wp:wrapNone/>
              <wp:docPr id="6"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318E446">
                          <w:pPr>
                            <w:pStyle w:val="55"/>
                            <w:ind w:firstLine="360"/>
                          </w:pPr>
                          <w:r>
                            <w:t xml:space="preserve">— </w:t>
                          </w:r>
                          <w:r>
                            <w:fldChar w:fldCharType="begin"/>
                          </w:r>
                          <w:r>
                            <w:instrText xml:space="preserve"> PAGE  \* MERGEFORMAT </w:instrText>
                          </w:r>
                          <w:r>
                            <w:fldChar w:fldCharType="separate"/>
                          </w:r>
                          <w:r>
                            <w:t>44</w:t>
                          </w:r>
                          <w:r>
                            <w:fldChar w:fldCharType="end"/>
                          </w:r>
                          <w:r>
                            <w:t xml:space="preserve"> —</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DgZ827BQIAAAQEAAAOAAAAAAAAAAEAIAAAAB4BAABkcnMvZTJv&#10;RG9jLnhtbFBLBQYAAAAABgAGAFkBAACVBQAAAAA=&#10;">
              <v:fill on="f" focussize="0,0"/>
              <v:stroke on="f"/>
              <v:imagedata o:title=""/>
              <o:lock v:ext="edit" aspectratio="f"/>
              <v:textbox inset="0mm,0mm,0mm,0mm" style="mso-fit-shape-to-text:t;">
                <w:txbxContent>
                  <w:p w14:paraId="3318E446">
                    <w:pPr>
                      <w:pStyle w:val="55"/>
                      <w:ind w:firstLine="360"/>
                    </w:pPr>
                    <w:r>
                      <w:t xml:space="preserve">— </w:t>
                    </w:r>
                    <w:r>
                      <w:fldChar w:fldCharType="begin"/>
                    </w:r>
                    <w:r>
                      <w:instrText xml:space="preserve"> PAGE  \* MERGEFORMAT </w:instrText>
                    </w:r>
                    <w:r>
                      <w:fldChar w:fldCharType="separate"/>
                    </w:r>
                    <w:r>
                      <w:t>44</w:t>
                    </w:r>
                    <w:r>
                      <w:fldChar w:fldCharType="end"/>
                    </w:r>
                    <w:r>
                      <w:t xml:space="preserve"> —</w:t>
                    </w:r>
                  </w:p>
                </w:txbxContent>
              </v:textbox>
            </v:shape>
          </w:pict>
        </mc:Fallback>
      </mc:AlternateContent>
    </w:r>
  </w:p>
  <w:p w14:paraId="0E121CE1">
    <w:pPr>
      <w:pStyle w:val="5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A608">
    <w:pPr>
      <w:pStyle w:val="55"/>
    </w:pPr>
  </w:p>
  <w:p w14:paraId="7553770B">
    <w:pPr>
      <w:pStyle w:val="5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9977576"/>
    </w:sdtPr>
    <w:sdtContent>
      <w:p w14:paraId="335887D5">
        <w:pPr>
          <w:pStyle w:val="55"/>
          <w:jc w:val="center"/>
        </w:pPr>
        <w:r>
          <w:fldChar w:fldCharType="begin"/>
        </w:r>
        <w:r>
          <w:instrText xml:space="preserve">PAGE   \* MERGEFORMAT</w:instrText>
        </w:r>
        <w:r>
          <w:fldChar w:fldCharType="separate"/>
        </w:r>
        <w:r>
          <w:rPr>
            <w:lang w:val="zh-CN"/>
          </w:rPr>
          <w:t>45</w:t>
        </w:r>
        <w:r>
          <w:fldChar w:fldCharType="end"/>
        </w:r>
      </w:p>
    </w:sdtContent>
  </w:sdt>
  <w:p w14:paraId="2844915A">
    <w:pPr>
      <w:pStyle w:val="5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151191"/>
    </w:sdtPr>
    <w:sdtContent>
      <w:p w14:paraId="76C66430">
        <w:pPr>
          <w:pStyle w:val="55"/>
          <w:jc w:val="center"/>
        </w:pPr>
        <w:r>
          <w:fldChar w:fldCharType="begin"/>
        </w:r>
        <w:r>
          <w:instrText xml:space="preserve">PAGE   \* MERGEFORMAT</w:instrText>
        </w:r>
        <w:r>
          <w:fldChar w:fldCharType="separate"/>
        </w:r>
        <w:r>
          <w:rPr>
            <w:lang w:val="zh-CN"/>
          </w:rPr>
          <w:t>39</w:t>
        </w:r>
        <w:r>
          <w:fldChar w:fldCharType="end"/>
        </w:r>
      </w:p>
    </w:sdtContent>
  </w:sdt>
  <w:p w14:paraId="39706349">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AA47">
    <w:pPr>
      <w:pStyle w:val="57"/>
      <w:ind w:firstLine="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F44BB">
    <w:pPr>
      <w:rPr>
        <w:sz w:val="16"/>
        <w:szCs w:val="20"/>
        <w:u w:val="single"/>
      </w:rPr>
    </w:pPr>
    <w:r>
      <w:rPr>
        <w:rFonts w:hint="eastAsia"/>
        <w:sz w:val="16"/>
        <w:szCs w:val="20"/>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sz w:val="16"/>
        <w:szCs w:val="20"/>
        <w:u w:val="single"/>
      </w:rPr>
      <w:t xml:space="preserve">  </w:t>
    </w:r>
    <w:r>
      <w:rPr>
        <w:sz w:val="16"/>
        <w:szCs w:val="20"/>
        <w:u w:val="single"/>
      </w:rPr>
      <w:t xml:space="preserve"> </w:t>
    </w:r>
    <w:r>
      <w:rPr>
        <w:rFonts w:hint="eastAsia"/>
        <w:sz w:val="16"/>
        <w:szCs w:val="20"/>
        <w:u w:val="single"/>
        <w:lang w:val="en-US" w:eastAsia="zh-CN"/>
      </w:rPr>
      <w:t xml:space="preserve">        </w:t>
    </w:r>
    <w:r>
      <w:rPr>
        <w:rFonts w:hint="eastAsia"/>
        <w:sz w:val="16"/>
        <w:szCs w:val="20"/>
        <w:u w:val="single"/>
      </w:rPr>
      <w:t>项目编号：</w:t>
    </w:r>
    <w:r>
      <w:rPr>
        <w:sz w:val="18"/>
        <w:szCs w:val="21"/>
      </w:rPr>
      <w:fldChar w:fldCharType="begin"/>
    </w:r>
    <w:r>
      <w:rPr>
        <w:sz w:val="18"/>
        <w:szCs w:val="21"/>
      </w:rPr>
      <w:instrText xml:space="preserve"> HYPERLINK "javascript:void(0)" </w:instrText>
    </w:r>
    <w:r>
      <w:rPr>
        <w:sz w:val="18"/>
        <w:szCs w:val="21"/>
      </w:rPr>
      <w:fldChar w:fldCharType="separate"/>
    </w:r>
    <w:r>
      <w:rPr>
        <w:rFonts w:hint="eastAsia"/>
        <w:sz w:val="16"/>
        <w:szCs w:val="20"/>
        <w:u w:val="single"/>
        <w:lang w:eastAsia="zh-CN"/>
      </w:rPr>
      <w:t>TLYQ2026-06048</w:t>
    </w:r>
    <w:r>
      <w:rPr>
        <w:rFonts w:hint="eastAsia"/>
        <w:sz w:val="16"/>
        <w:szCs w:val="20"/>
        <w:u w:val="single"/>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1DB0">
    <w:pPr>
      <w:tabs>
        <w:tab w:val="center" w:pos="4819"/>
      </w:tabs>
      <w:spacing w:line="360" w:lineRule="auto"/>
      <w:rPr>
        <w:rFonts w:ascii="宋体" w:hAnsi="宋体" w:cs="宋体"/>
        <w:sz w:val="18"/>
        <w:szCs w:val="18"/>
      </w:rPr>
    </w:pPr>
    <w:r>
      <w:rPr>
        <w:rFonts w:hint="eastAsia" w:ascii="宋体" w:hAnsi="宋体" w:cs="宋体"/>
        <w:sz w:val="18"/>
        <w:szCs w:val="18"/>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ascii="宋体" w:hAnsi="宋体" w:cs="宋体"/>
        <w:sz w:val="18"/>
        <w:szCs w:val="18"/>
        <w:u w:val="single"/>
      </w:rPr>
      <w:t xml:space="preserve">      </w:t>
    </w:r>
    <w:r>
      <w:rPr>
        <w:rFonts w:hint="eastAsia" w:ascii="宋体" w:hAnsi="宋体" w:cs="宋体"/>
        <w:sz w:val="18"/>
        <w:szCs w:val="18"/>
        <w:u w:val="single"/>
        <w:lang w:val="en-US" w:eastAsia="zh-CN"/>
      </w:rPr>
      <w:t xml:space="preserve">  </w:t>
    </w:r>
    <w:r>
      <w:rPr>
        <w:rFonts w:hint="eastAsia" w:ascii="宋体" w:hAnsi="宋体" w:cs="宋体"/>
        <w:sz w:val="18"/>
        <w:szCs w:val="18"/>
        <w:u w:val="single"/>
      </w:rPr>
      <w:t>项目编号：</w:t>
    </w:r>
    <w:r>
      <w:fldChar w:fldCharType="begin"/>
    </w:r>
    <w:r>
      <w:instrText xml:space="preserve"> HYPERLINK "javascript:void(0)" </w:instrText>
    </w:r>
    <w:r>
      <w:fldChar w:fldCharType="separate"/>
    </w:r>
    <w:r>
      <w:rPr>
        <w:rFonts w:hint="eastAsia" w:ascii="宋体" w:hAnsi="宋体" w:cs="宋体"/>
        <w:sz w:val="18"/>
        <w:szCs w:val="18"/>
        <w:u w:val="single"/>
        <w:lang w:eastAsia="zh-CN"/>
      </w:rPr>
      <w:t>TLYQ2026-06048</w:t>
    </w:r>
    <w:r>
      <w:rPr>
        <w:rFonts w:hint="eastAsia" w:ascii="宋体" w:hAnsi="宋体" w:cs="宋体"/>
        <w:sz w:val="18"/>
        <w:szCs w:val="18"/>
        <w:u w:val="single"/>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BD3C">
    <w:pPr>
      <w:rPr>
        <w:sz w:val="16"/>
        <w:szCs w:val="20"/>
        <w:u w:val="single"/>
      </w:rPr>
    </w:pPr>
    <w:r>
      <w:rPr>
        <w:rFonts w:hint="eastAsia"/>
        <w:sz w:val="16"/>
        <w:szCs w:val="20"/>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sz w:val="16"/>
        <w:szCs w:val="20"/>
        <w:u w:val="single"/>
      </w:rPr>
      <w:t xml:space="preserve">  </w:t>
    </w:r>
    <w:r>
      <w:rPr>
        <w:sz w:val="16"/>
        <w:szCs w:val="20"/>
        <w:u w:val="single"/>
      </w:rPr>
      <w:t xml:space="preserve"> </w:t>
    </w:r>
    <w:r>
      <w:rPr>
        <w:rFonts w:hint="eastAsia"/>
        <w:sz w:val="16"/>
        <w:szCs w:val="20"/>
        <w:u w:val="single"/>
        <w:lang w:val="en-US" w:eastAsia="zh-CN"/>
      </w:rPr>
      <w:t xml:space="preserve">        </w:t>
    </w:r>
    <w:r>
      <w:rPr>
        <w:rFonts w:hint="eastAsia"/>
        <w:sz w:val="16"/>
        <w:szCs w:val="20"/>
        <w:u w:val="single"/>
      </w:rPr>
      <w:t>项目编号：</w:t>
    </w:r>
    <w:r>
      <w:rPr>
        <w:sz w:val="18"/>
        <w:szCs w:val="21"/>
      </w:rPr>
      <w:fldChar w:fldCharType="begin"/>
    </w:r>
    <w:r>
      <w:rPr>
        <w:sz w:val="18"/>
        <w:szCs w:val="21"/>
      </w:rPr>
      <w:instrText xml:space="preserve"> HYPERLINK "javascript:void(0)" </w:instrText>
    </w:r>
    <w:r>
      <w:rPr>
        <w:sz w:val="18"/>
        <w:szCs w:val="21"/>
      </w:rPr>
      <w:fldChar w:fldCharType="separate"/>
    </w:r>
    <w:r>
      <w:rPr>
        <w:rFonts w:hint="eastAsia"/>
        <w:sz w:val="16"/>
        <w:szCs w:val="20"/>
        <w:u w:val="single"/>
        <w:lang w:eastAsia="zh-CN"/>
      </w:rPr>
      <w:t>TLYQ2026-06048</w:t>
    </w:r>
    <w:r>
      <w:rPr>
        <w:rFonts w:hint="eastAsia"/>
        <w:sz w:val="16"/>
        <w:szCs w:val="20"/>
        <w:u w:val="single"/>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85D59">
    <w:pPr>
      <w:rPr>
        <w:sz w:val="18"/>
        <w:szCs w:val="21"/>
        <w:u w:val="single"/>
      </w:rPr>
    </w:pPr>
    <w:r>
      <w:rPr>
        <w:rFonts w:hint="eastAsia"/>
        <w:sz w:val="18"/>
        <w:szCs w:val="21"/>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sz w:val="18"/>
        <w:szCs w:val="21"/>
        <w:u w:val="single"/>
      </w:rPr>
      <w:t xml:space="preserve">  </w:t>
    </w:r>
    <w:r>
      <w:rPr>
        <w:sz w:val="18"/>
        <w:szCs w:val="21"/>
        <w:u w:val="single"/>
      </w:rPr>
      <w:t xml:space="preserve">      </w:t>
    </w:r>
    <w:r>
      <w:rPr>
        <w:rFonts w:hint="eastAsia"/>
        <w:sz w:val="18"/>
        <w:szCs w:val="21"/>
        <w:u w:val="single"/>
      </w:rPr>
      <w:t xml:space="preserve">                      </w:t>
    </w:r>
    <w:r>
      <w:rPr>
        <w:rFonts w:hint="eastAsia"/>
        <w:sz w:val="18"/>
        <w:szCs w:val="21"/>
        <w:u w:val="single"/>
        <w:lang w:val="en-US" w:eastAsia="zh-CN"/>
      </w:rPr>
      <w:t xml:space="preserve">      </w:t>
    </w:r>
    <w:r>
      <w:rPr>
        <w:rFonts w:hint="eastAsia"/>
        <w:sz w:val="18"/>
        <w:szCs w:val="21"/>
        <w:u w:val="single"/>
      </w:rPr>
      <w:t xml:space="preserve">               项目编号：</w:t>
    </w:r>
    <w:r>
      <w:rPr>
        <w:sz w:val="20"/>
        <w:szCs w:val="22"/>
      </w:rPr>
      <w:fldChar w:fldCharType="begin"/>
    </w:r>
    <w:r>
      <w:rPr>
        <w:sz w:val="20"/>
        <w:szCs w:val="22"/>
      </w:rPr>
      <w:instrText xml:space="preserve"> HYPERLINK "javascript:void(0)" </w:instrText>
    </w:r>
    <w:r>
      <w:rPr>
        <w:sz w:val="20"/>
        <w:szCs w:val="22"/>
      </w:rPr>
      <w:fldChar w:fldCharType="separate"/>
    </w:r>
    <w:r>
      <w:rPr>
        <w:rFonts w:hint="eastAsia"/>
        <w:sz w:val="18"/>
        <w:szCs w:val="21"/>
        <w:u w:val="single"/>
        <w:lang w:eastAsia="zh-CN"/>
      </w:rPr>
      <w:t>TLYQ2026-06048</w:t>
    </w:r>
    <w:r>
      <w:rPr>
        <w:rFonts w:hint="eastAsia"/>
        <w:sz w:val="18"/>
        <w:szCs w:val="21"/>
        <w:u w:val="single"/>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37D6F">
    <w:pPr>
      <w:tabs>
        <w:tab w:val="center" w:pos="4819"/>
      </w:tabs>
      <w:spacing w:line="360" w:lineRule="auto"/>
      <w:rPr>
        <w:rFonts w:ascii="宋体" w:hAnsi="宋体" w:cs="宋体"/>
        <w:sz w:val="18"/>
        <w:szCs w:val="18"/>
      </w:rPr>
    </w:pPr>
    <w:r>
      <w:rPr>
        <w:rFonts w:hint="eastAsia" w:ascii="宋体" w:hAnsi="宋体" w:cs="宋体"/>
        <w:sz w:val="18"/>
        <w:szCs w:val="18"/>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ascii="宋体" w:hAnsi="宋体" w:cs="宋体"/>
        <w:sz w:val="18"/>
        <w:szCs w:val="18"/>
        <w:u w:val="single"/>
      </w:rPr>
      <w:t xml:space="preserve">    </w:t>
    </w:r>
    <w:r>
      <w:rPr>
        <w:rFonts w:ascii="宋体" w:hAnsi="宋体" w:cs="宋体"/>
        <w:sz w:val="18"/>
        <w:szCs w:val="18"/>
        <w:u w:val="single"/>
      </w:rPr>
      <w:t xml:space="preserve">           </w:t>
    </w:r>
    <w:r>
      <w:rPr>
        <w:rFonts w:hint="eastAsia" w:ascii="宋体" w:hAnsi="宋体" w:cs="宋体"/>
        <w:sz w:val="18"/>
        <w:szCs w:val="18"/>
        <w:u w:val="single"/>
        <w:lang w:val="en-US" w:eastAsia="zh-CN"/>
      </w:rPr>
      <w:t xml:space="preserve"> </w:t>
    </w:r>
    <w:r>
      <w:rPr>
        <w:rFonts w:hint="eastAsia" w:ascii="宋体" w:hAnsi="宋体" w:cs="宋体"/>
        <w:sz w:val="18"/>
        <w:szCs w:val="18"/>
        <w:u w:val="single"/>
      </w:rPr>
      <w:t xml:space="preserve">                                    </w:t>
    </w:r>
    <w:r>
      <w:rPr>
        <w:rFonts w:ascii="宋体" w:hAnsi="宋体" w:cs="宋体"/>
        <w:sz w:val="18"/>
        <w:szCs w:val="18"/>
        <w:u w:val="single"/>
      </w:rPr>
      <w:t xml:space="preserve">    </w:t>
    </w:r>
    <w:r>
      <w:rPr>
        <w:rFonts w:hint="eastAsia" w:ascii="宋体" w:hAnsi="宋体" w:cs="宋体"/>
        <w:sz w:val="18"/>
        <w:szCs w:val="18"/>
        <w:u w:val="single"/>
      </w:rPr>
      <w:t>项目编号：</w:t>
    </w:r>
    <w:r>
      <w:fldChar w:fldCharType="begin"/>
    </w:r>
    <w:r>
      <w:instrText xml:space="preserve"> HYPERLINK "javascript:void(0)" </w:instrText>
    </w:r>
    <w:r>
      <w:fldChar w:fldCharType="separate"/>
    </w:r>
    <w:r>
      <w:rPr>
        <w:rFonts w:hint="eastAsia" w:ascii="宋体" w:hAnsi="宋体" w:cs="宋体"/>
        <w:sz w:val="18"/>
        <w:szCs w:val="18"/>
        <w:u w:val="single"/>
        <w:lang w:eastAsia="zh-CN"/>
      </w:rPr>
      <w:t>TLYQ2026-06048</w:t>
    </w:r>
    <w:r>
      <w:rPr>
        <w:rFonts w:hint="eastAsia" w:ascii="宋体" w:hAnsi="宋体" w:cs="宋体"/>
        <w:sz w:val="18"/>
        <w:szCs w:val="18"/>
        <w:u w:val="single"/>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C542E">
    <w:pPr>
      <w:rPr>
        <w:sz w:val="16"/>
        <w:szCs w:val="20"/>
        <w:u w:val="single"/>
      </w:rPr>
    </w:pPr>
    <w:r>
      <w:rPr>
        <w:rFonts w:hint="eastAsia"/>
        <w:sz w:val="16"/>
        <w:szCs w:val="20"/>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sz w:val="16"/>
        <w:szCs w:val="20"/>
        <w:u w:val="single"/>
      </w:rPr>
      <w:t xml:space="preserve">  </w:t>
    </w:r>
    <w:r>
      <w:rPr>
        <w:sz w:val="16"/>
        <w:szCs w:val="20"/>
        <w:u w:val="single"/>
      </w:rPr>
      <w:t xml:space="preserve"> </w:t>
    </w:r>
    <w:r>
      <w:rPr>
        <w:rFonts w:hint="eastAsia"/>
        <w:sz w:val="16"/>
        <w:szCs w:val="20"/>
        <w:u w:val="single"/>
        <w:lang w:val="en-US" w:eastAsia="zh-CN"/>
      </w:rPr>
      <w:t xml:space="preserve">   </w:t>
    </w:r>
    <w:r>
      <w:rPr>
        <w:rFonts w:hint="eastAsia"/>
        <w:sz w:val="16"/>
        <w:szCs w:val="20"/>
        <w:u w:val="single"/>
      </w:rPr>
      <w:t>项目编号：</w:t>
    </w:r>
    <w:r>
      <w:rPr>
        <w:sz w:val="18"/>
        <w:szCs w:val="21"/>
      </w:rPr>
      <w:fldChar w:fldCharType="begin"/>
    </w:r>
    <w:r>
      <w:rPr>
        <w:sz w:val="18"/>
        <w:szCs w:val="21"/>
      </w:rPr>
      <w:instrText xml:space="preserve"> HYPERLINK "javascript:void(0)" </w:instrText>
    </w:r>
    <w:r>
      <w:rPr>
        <w:sz w:val="18"/>
        <w:szCs w:val="21"/>
      </w:rPr>
      <w:fldChar w:fldCharType="separate"/>
    </w:r>
    <w:r>
      <w:rPr>
        <w:rFonts w:hint="eastAsia"/>
        <w:sz w:val="16"/>
        <w:szCs w:val="20"/>
        <w:u w:val="single"/>
        <w:lang w:eastAsia="zh-CN"/>
      </w:rPr>
      <w:t>TLYQ2026-06048</w:t>
    </w:r>
    <w:r>
      <w:rPr>
        <w:rFonts w:hint="eastAsia"/>
        <w:sz w:val="16"/>
        <w:szCs w:val="20"/>
        <w:u w:val="single"/>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B959A">
    <w:pPr>
      <w:tabs>
        <w:tab w:val="center" w:pos="4819"/>
      </w:tabs>
      <w:spacing w:line="360" w:lineRule="auto"/>
      <w:rPr>
        <w:rFonts w:ascii="宋体" w:hAnsi="宋体" w:cs="宋体"/>
        <w:sz w:val="16"/>
        <w:szCs w:val="16"/>
      </w:rPr>
    </w:pPr>
    <w:r>
      <w:rPr>
        <w:rFonts w:hint="eastAsia" w:ascii="宋体" w:hAnsi="宋体" w:cs="宋体"/>
        <w:sz w:val="16"/>
        <w:szCs w:val="16"/>
        <w:u w:val="single"/>
      </w:rPr>
      <w:t>项目名称：</w:t>
    </w:r>
    <w:r>
      <w:rPr>
        <w:rFonts w:hint="eastAsia" w:ascii="宋体" w:hAnsi="宋体" w:cs="宋体"/>
        <w:sz w:val="18"/>
        <w:szCs w:val="18"/>
        <w:u w:val="single"/>
        <w:lang w:eastAsia="zh-CN"/>
      </w:rPr>
      <w:t>大连海关技术中心2026年海关仪器设备购置及能力保障专项采购项目</w:t>
    </w:r>
    <w:r>
      <w:rPr>
        <w:rFonts w:hint="eastAsia" w:ascii="宋体" w:hAnsi="宋体" w:cs="宋体"/>
        <w:sz w:val="16"/>
        <w:szCs w:val="16"/>
        <w:u w:val="single"/>
      </w:rPr>
      <w:t xml:space="preserve">    </w:t>
    </w:r>
    <w:r>
      <w:rPr>
        <w:rFonts w:ascii="宋体" w:hAnsi="宋体" w:cs="宋体"/>
        <w:sz w:val="16"/>
        <w:szCs w:val="16"/>
        <w:u w:val="single"/>
      </w:rPr>
      <w:t xml:space="preserve">    </w:t>
    </w:r>
    <w:r>
      <w:rPr>
        <w:rFonts w:hint="eastAsia" w:ascii="宋体" w:hAnsi="宋体" w:cs="宋体"/>
        <w:sz w:val="16"/>
        <w:szCs w:val="16"/>
        <w:u w:val="single"/>
        <w:lang w:val="en-US" w:eastAsia="zh-CN"/>
      </w:rPr>
      <w:t xml:space="preserve">   </w:t>
    </w:r>
    <w:r>
      <w:rPr>
        <w:rFonts w:hint="eastAsia" w:ascii="宋体" w:hAnsi="宋体" w:cs="宋体"/>
        <w:sz w:val="16"/>
        <w:szCs w:val="16"/>
        <w:u w:val="single"/>
      </w:rPr>
      <w:t>项目编号：</w:t>
    </w:r>
    <w:r>
      <w:rPr>
        <w:sz w:val="20"/>
        <w:szCs w:val="22"/>
      </w:rPr>
      <w:fldChar w:fldCharType="begin"/>
    </w:r>
    <w:r>
      <w:rPr>
        <w:sz w:val="20"/>
        <w:szCs w:val="22"/>
      </w:rPr>
      <w:instrText xml:space="preserve"> HYPERLINK "javascript:void(0)" </w:instrText>
    </w:r>
    <w:r>
      <w:rPr>
        <w:sz w:val="20"/>
        <w:szCs w:val="22"/>
      </w:rPr>
      <w:fldChar w:fldCharType="separate"/>
    </w:r>
    <w:r>
      <w:rPr>
        <w:rFonts w:hint="eastAsia" w:ascii="宋体" w:hAnsi="宋体" w:cs="宋体"/>
        <w:sz w:val="16"/>
        <w:szCs w:val="16"/>
        <w:u w:val="single"/>
        <w:lang w:eastAsia="zh-CN"/>
      </w:rPr>
      <w:t>TLYQ2026-06048</w:t>
    </w:r>
    <w:r>
      <w:rPr>
        <w:rFonts w:hint="eastAsia" w:ascii="宋体" w:hAnsi="宋体" w:cs="宋体"/>
        <w:sz w:val="16"/>
        <w:szCs w:val="16"/>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69F8C7"/>
    <w:multiLevelType w:val="singleLevel"/>
    <w:tmpl w:val="E669F8C7"/>
    <w:lvl w:ilvl="0" w:tentative="0">
      <w:start w:val="1"/>
      <w:numFmt w:val="decimal"/>
      <w:lvlText w:val="%1."/>
      <w:lvlJc w:val="left"/>
      <w:pPr>
        <w:ind w:left="425" w:hanging="425"/>
      </w:pPr>
      <w:rPr>
        <w:rFonts w:hint="default"/>
      </w:rPr>
    </w:lvl>
  </w:abstractNum>
  <w:abstractNum w:abstractNumId="1">
    <w:nsid w:val="0000000E"/>
    <w:multiLevelType w:val="multilevel"/>
    <w:tmpl w:val="0000000E"/>
    <w:lvl w:ilvl="0" w:tentative="0">
      <w:start w:val="1"/>
      <w:numFmt w:val="none"/>
      <w:pStyle w:val="99"/>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1753E572"/>
    <w:multiLevelType w:val="singleLevel"/>
    <w:tmpl w:val="1753E572"/>
    <w:lvl w:ilvl="0" w:tentative="0">
      <w:start w:val="1"/>
      <w:numFmt w:val="decimal"/>
      <w:lvlText w:val="%1."/>
      <w:lvlJc w:val="left"/>
      <w:pPr>
        <w:ind w:left="425" w:hanging="425"/>
      </w:pPr>
      <w:rPr>
        <w:rFonts w:hint="default"/>
      </w:rPr>
    </w:lvl>
  </w:abstractNum>
  <w:abstractNum w:abstractNumId="3">
    <w:nsid w:val="4308396B"/>
    <w:multiLevelType w:val="multilevel"/>
    <w:tmpl w:val="4308396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7241660"/>
    <w:multiLevelType w:val="multilevel"/>
    <w:tmpl w:val="67241660"/>
    <w:lvl w:ilvl="0" w:tentative="0">
      <w:start w:val="4"/>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A13A18"/>
    <w:multiLevelType w:val="multilevel"/>
    <w:tmpl w:val="77A13A1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HorizontalSpacing w:val="105"/>
  <w:drawingGridVerticalSpacing w:val="-794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RkMzZlN2RlYmQwMDA0ODhjYWRmNTE5Y2YyODhjMGYifQ=="/>
  </w:docVars>
  <w:rsids>
    <w:rsidRoot w:val="00172A27"/>
    <w:rsid w:val="00000035"/>
    <w:rsid w:val="00000DAB"/>
    <w:rsid w:val="00000FF8"/>
    <w:rsid w:val="000012F8"/>
    <w:rsid w:val="000016C4"/>
    <w:rsid w:val="000023E0"/>
    <w:rsid w:val="0000289C"/>
    <w:rsid w:val="00002987"/>
    <w:rsid w:val="00002C42"/>
    <w:rsid w:val="000030F9"/>
    <w:rsid w:val="00003159"/>
    <w:rsid w:val="000036C3"/>
    <w:rsid w:val="000037EA"/>
    <w:rsid w:val="00003B53"/>
    <w:rsid w:val="00004518"/>
    <w:rsid w:val="00004837"/>
    <w:rsid w:val="00004AA4"/>
    <w:rsid w:val="000052D3"/>
    <w:rsid w:val="00005387"/>
    <w:rsid w:val="00005D2C"/>
    <w:rsid w:val="0000619D"/>
    <w:rsid w:val="000061E8"/>
    <w:rsid w:val="00006641"/>
    <w:rsid w:val="0000669C"/>
    <w:rsid w:val="000068E2"/>
    <w:rsid w:val="00006C36"/>
    <w:rsid w:val="000071F8"/>
    <w:rsid w:val="000074A3"/>
    <w:rsid w:val="0001054C"/>
    <w:rsid w:val="00010835"/>
    <w:rsid w:val="00010D8C"/>
    <w:rsid w:val="00010DD0"/>
    <w:rsid w:val="00010DDD"/>
    <w:rsid w:val="00010E86"/>
    <w:rsid w:val="00010F17"/>
    <w:rsid w:val="00010F8E"/>
    <w:rsid w:val="0001159E"/>
    <w:rsid w:val="000115CB"/>
    <w:rsid w:val="00011622"/>
    <w:rsid w:val="00011782"/>
    <w:rsid w:val="00011B80"/>
    <w:rsid w:val="00012295"/>
    <w:rsid w:val="00012B9D"/>
    <w:rsid w:val="00013843"/>
    <w:rsid w:val="000139C2"/>
    <w:rsid w:val="000142D0"/>
    <w:rsid w:val="00014346"/>
    <w:rsid w:val="00014B46"/>
    <w:rsid w:val="00015B88"/>
    <w:rsid w:val="00015D8C"/>
    <w:rsid w:val="0001682D"/>
    <w:rsid w:val="000168B2"/>
    <w:rsid w:val="00016F95"/>
    <w:rsid w:val="00017558"/>
    <w:rsid w:val="00017886"/>
    <w:rsid w:val="000179DE"/>
    <w:rsid w:val="00020089"/>
    <w:rsid w:val="00020B56"/>
    <w:rsid w:val="00020C77"/>
    <w:rsid w:val="00020EF5"/>
    <w:rsid w:val="00021067"/>
    <w:rsid w:val="000216F6"/>
    <w:rsid w:val="0002208C"/>
    <w:rsid w:val="000225EC"/>
    <w:rsid w:val="000228AE"/>
    <w:rsid w:val="00023924"/>
    <w:rsid w:val="00023D78"/>
    <w:rsid w:val="00023F7E"/>
    <w:rsid w:val="000240A6"/>
    <w:rsid w:val="000240F7"/>
    <w:rsid w:val="0002410F"/>
    <w:rsid w:val="00024158"/>
    <w:rsid w:val="000242A4"/>
    <w:rsid w:val="00024611"/>
    <w:rsid w:val="000253B7"/>
    <w:rsid w:val="000259FA"/>
    <w:rsid w:val="00025B84"/>
    <w:rsid w:val="00025DC7"/>
    <w:rsid w:val="0002662E"/>
    <w:rsid w:val="00026736"/>
    <w:rsid w:val="00026DDE"/>
    <w:rsid w:val="00027FEF"/>
    <w:rsid w:val="000301DC"/>
    <w:rsid w:val="000302B7"/>
    <w:rsid w:val="00030587"/>
    <w:rsid w:val="000307E4"/>
    <w:rsid w:val="00030911"/>
    <w:rsid w:val="000309D3"/>
    <w:rsid w:val="00030D92"/>
    <w:rsid w:val="000310F5"/>
    <w:rsid w:val="00032356"/>
    <w:rsid w:val="000324B8"/>
    <w:rsid w:val="00032822"/>
    <w:rsid w:val="000328B4"/>
    <w:rsid w:val="00033176"/>
    <w:rsid w:val="00033364"/>
    <w:rsid w:val="0003346F"/>
    <w:rsid w:val="000335F1"/>
    <w:rsid w:val="000336D6"/>
    <w:rsid w:val="0003385B"/>
    <w:rsid w:val="00033C1D"/>
    <w:rsid w:val="00033D94"/>
    <w:rsid w:val="00034FAB"/>
    <w:rsid w:val="0003542A"/>
    <w:rsid w:val="00035623"/>
    <w:rsid w:val="0003581A"/>
    <w:rsid w:val="00035848"/>
    <w:rsid w:val="000364B6"/>
    <w:rsid w:val="00037EAB"/>
    <w:rsid w:val="00037FD1"/>
    <w:rsid w:val="00040147"/>
    <w:rsid w:val="00040A5F"/>
    <w:rsid w:val="00040EE2"/>
    <w:rsid w:val="00040F78"/>
    <w:rsid w:val="000412E8"/>
    <w:rsid w:val="0004172F"/>
    <w:rsid w:val="00041A77"/>
    <w:rsid w:val="00041BB2"/>
    <w:rsid w:val="00041C94"/>
    <w:rsid w:val="00042793"/>
    <w:rsid w:val="000429E8"/>
    <w:rsid w:val="00043148"/>
    <w:rsid w:val="0004387B"/>
    <w:rsid w:val="00043982"/>
    <w:rsid w:val="00043A7E"/>
    <w:rsid w:val="00043ED4"/>
    <w:rsid w:val="00043EEB"/>
    <w:rsid w:val="0004401E"/>
    <w:rsid w:val="000444E6"/>
    <w:rsid w:val="00044AB6"/>
    <w:rsid w:val="00044AFC"/>
    <w:rsid w:val="00044F2A"/>
    <w:rsid w:val="00045607"/>
    <w:rsid w:val="00045729"/>
    <w:rsid w:val="00045845"/>
    <w:rsid w:val="00047118"/>
    <w:rsid w:val="00047338"/>
    <w:rsid w:val="000476FB"/>
    <w:rsid w:val="00047706"/>
    <w:rsid w:val="00047946"/>
    <w:rsid w:val="00047E87"/>
    <w:rsid w:val="000502BC"/>
    <w:rsid w:val="000504D3"/>
    <w:rsid w:val="00050A4D"/>
    <w:rsid w:val="00051313"/>
    <w:rsid w:val="0005150C"/>
    <w:rsid w:val="00051CBC"/>
    <w:rsid w:val="00052D9E"/>
    <w:rsid w:val="00052E0B"/>
    <w:rsid w:val="00053265"/>
    <w:rsid w:val="00053E19"/>
    <w:rsid w:val="00053F81"/>
    <w:rsid w:val="00053FAB"/>
    <w:rsid w:val="000552BD"/>
    <w:rsid w:val="000556D5"/>
    <w:rsid w:val="00055E16"/>
    <w:rsid w:val="00055FC2"/>
    <w:rsid w:val="00056376"/>
    <w:rsid w:val="000563D0"/>
    <w:rsid w:val="000565E9"/>
    <w:rsid w:val="0005691F"/>
    <w:rsid w:val="00056E7E"/>
    <w:rsid w:val="00057728"/>
    <w:rsid w:val="00060264"/>
    <w:rsid w:val="000609E6"/>
    <w:rsid w:val="00060E74"/>
    <w:rsid w:val="0006141A"/>
    <w:rsid w:val="00061591"/>
    <w:rsid w:val="000617F7"/>
    <w:rsid w:val="0006187F"/>
    <w:rsid w:val="00061C03"/>
    <w:rsid w:val="00061C23"/>
    <w:rsid w:val="00061C6A"/>
    <w:rsid w:val="00061CCC"/>
    <w:rsid w:val="0006268A"/>
    <w:rsid w:val="00062BE5"/>
    <w:rsid w:val="00062C2C"/>
    <w:rsid w:val="000633A1"/>
    <w:rsid w:val="00063427"/>
    <w:rsid w:val="0006444C"/>
    <w:rsid w:val="0006495B"/>
    <w:rsid w:val="00064A29"/>
    <w:rsid w:val="00064AD3"/>
    <w:rsid w:val="00064F38"/>
    <w:rsid w:val="00065178"/>
    <w:rsid w:val="0006522B"/>
    <w:rsid w:val="00065732"/>
    <w:rsid w:val="00066006"/>
    <w:rsid w:val="00066A89"/>
    <w:rsid w:val="00067049"/>
    <w:rsid w:val="000674D5"/>
    <w:rsid w:val="00067682"/>
    <w:rsid w:val="00067EC1"/>
    <w:rsid w:val="0007019D"/>
    <w:rsid w:val="000704F2"/>
    <w:rsid w:val="0007078E"/>
    <w:rsid w:val="00070B1E"/>
    <w:rsid w:val="00070C35"/>
    <w:rsid w:val="00070CCA"/>
    <w:rsid w:val="00070DFE"/>
    <w:rsid w:val="0007179F"/>
    <w:rsid w:val="00071B62"/>
    <w:rsid w:val="00072049"/>
    <w:rsid w:val="000722B9"/>
    <w:rsid w:val="000726DF"/>
    <w:rsid w:val="000727E9"/>
    <w:rsid w:val="00073035"/>
    <w:rsid w:val="000750CF"/>
    <w:rsid w:val="00075120"/>
    <w:rsid w:val="0007531A"/>
    <w:rsid w:val="000754BF"/>
    <w:rsid w:val="00075BF5"/>
    <w:rsid w:val="00075F7F"/>
    <w:rsid w:val="00076D82"/>
    <w:rsid w:val="000774B2"/>
    <w:rsid w:val="00077DC9"/>
    <w:rsid w:val="00077E5D"/>
    <w:rsid w:val="0008139D"/>
    <w:rsid w:val="0008160F"/>
    <w:rsid w:val="00081A4E"/>
    <w:rsid w:val="000822C4"/>
    <w:rsid w:val="00082694"/>
    <w:rsid w:val="000828CF"/>
    <w:rsid w:val="00082DCC"/>
    <w:rsid w:val="00083618"/>
    <w:rsid w:val="00083FA7"/>
    <w:rsid w:val="00084499"/>
    <w:rsid w:val="00085126"/>
    <w:rsid w:val="00085480"/>
    <w:rsid w:val="00085659"/>
    <w:rsid w:val="00085A7E"/>
    <w:rsid w:val="00085BB3"/>
    <w:rsid w:val="00086190"/>
    <w:rsid w:val="000862A6"/>
    <w:rsid w:val="00086978"/>
    <w:rsid w:val="00086C9E"/>
    <w:rsid w:val="00086CFB"/>
    <w:rsid w:val="00086F34"/>
    <w:rsid w:val="000870D7"/>
    <w:rsid w:val="000875AE"/>
    <w:rsid w:val="00087864"/>
    <w:rsid w:val="00087C77"/>
    <w:rsid w:val="000908AD"/>
    <w:rsid w:val="00090967"/>
    <w:rsid w:val="00091319"/>
    <w:rsid w:val="000913B0"/>
    <w:rsid w:val="000913EC"/>
    <w:rsid w:val="00091A1E"/>
    <w:rsid w:val="00091AA8"/>
    <w:rsid w:val="00091C96"/>
    <w:rsid w:val="00091CD8"/>
    <w:rsid w:val="000922F9"/>
    <w:rsid w:val="00092BB0"/>
    <w:rsid w:val="00092FE4"/>
    <w:rsid w:val="0009320F"/>
    <w:rsid w:val="000942A9"/>
    <w:rsid w:val="000952CF"/>
    <w:rsid w:val="0009550A"/>
    <w:rsid w:val="0009557E"/>
    <w:rsid w:val="00095901"/>
    <w:rsid w:val="00095DD6"/>
    <w:rsid w:val="00095EE6"/>
    <w:rsid w:val="0009614A"/>
    <w:rsid w:val="000966BB"/>
    <w:rsid w:val="000968CC"/>
    <w:rsid w:val="0009690B"/>
    <w:rsid w:val="00097448"/>
    <w:rsid w:val="000974BC"/>
    <w:rsid w:val="000A07EB"/>
    <w:rsid w:val="000A0FBF"/>
    <w:rsid w:val="000A15F4"/>
    <w:rsid w:val="000A17CE"/>
    <w:rsid w:val="000A1B89"/>
    <w:rsid w:val="000A1BF7"/>
    <w:rsid w:val="000A2647"/>
    <w:rsid w:val="000A2C51"/>
    <w:rsid w:val="000A31B5"/>
    <w:rsid w:val="000A33A8"/>
    <w:rsid w:val="000A36EA"/>
    <w:rsid w:val="000A3BDB"/>
    <w:rsid w:val="000A4021"/>
    <w:rsid w:val="000A4175"/>
    <w:rsid w:val="000A4557"/>
    <w:rsid w:val="000A4CA1"/>
    <w:rsid w:val="000A4D48"/>
    <w:rsid w:val="000A4E08"/>
    <w:rsid w:val="000A50AF"/>
    <w:rsid w:val="000A5442"/>
    <w:rsid w:val="000A5649"/>
    <w:rsid w:val="000A5D90"/>
    <w:rsid w:val="000A6F92"/>
    <w:rsid w:val="000A7507"/>
    <w:rsid w:val="000A7691"/>
    <w:rsid w:val="000B033C"/>
    <w:rsid w:val="000B04A5"/>
    <w:rsid w:val="000B0696"/>
    <w:rsid w:val="000B1274"/>
    <w:rsid w:val="000B15F7"/>
    <w:rsid w:val="000B1FC4"/>
    <w:rsid w:val="000B20E9"/>
    <w:rsid w:val="000B22FF"/>
    <w:rsid w:val="000B2632"/>
    <w:rsid w:val="000B2709"/>
    <w:rsid w:val="000B3098"/>
    <w:rsid w:val="000B344D"/>
    <w:rsid w:val="000B3657"/>
    <w:rsid w:val="000B3878"/>
    <w:rsid w:val="000B3931"/>
    <w:rsid w:val="000B4078"/>
    <w:rsid w:val="000B40C6"/>
    <w:rsid w:val="000B43C4"/>
    <w:rsid w:val="000B4723"/>
    <w:rsid w:val="000B48AF"/>
    <w:rsid w:val="000B49E7"/>
    <w:rsid w:val="000B4D57"/>
    <w:rsid w:val="000B4DD1"/>
    <w:rsid w:val="000B508E"/>
    <w:rsid w:val="000B5A1F"/>
    <w:rsid w:val="000B5CBE"/>
    <w:rsid w:val="000B5FC0"/>
    <w:rsid w:val="000B71EE"/>
    <w:rsid w:val="000B726A"/>
    <w:rsid w:val="000B747D"/>
    <w:rsid w:val="000B75C0"/>
    <w:rsid w:val="000B772C"/>
    <w:rsid w:val="000C0220"/>
    <w:rsid w:val="000C040D"/>
    <w:rsid w:val="000C04DD"/>
    <w:rsid w:val="000C083D"/>
    <w:rsid w:val="000C08EE"/>
    <w:rsid w:val="000C0A12"/>
    <w:rsid w:val="000C1492"/>
    <w:rsid w:val="000C174C"/>
    <w:rsid w:val="000C1A7D"/>
    <w:rsid w:val="000C1CF8"/>
    <w:rsid w:val="000C1FF5"/>
    <w:rsid w:val="000C25E4"/>
    <w:rsid w:val="000C35E2"/>
    <w:rsid w:val="000C3AB3"/>
    <w:rsid w:val="000C3D36"/>
    <w:rsid w:val="000C45A6"/>
    <w:rsid w:val="000C4881"/>
    <w:rsid w:val="000C51C0"/>
    <w:rsid w:val="000C559B"/>
    <w:rsid w:val="000C5AF9"/>
    <w:rsid w:val="000C5C01"/>
    <w:rsid w:val="000C5CFE"/>
    <w:rsid w:val="000C5DA4"/>
    <w:rsid w:val="000C60D9"/>
    <w:rsid w:val="000C6A63"/>
    <w:rsid w:val="000C6AB0"/>
    <w:rsid w:val="000C6D03"/>
    <w:rsid w:val="000C6D15"/>
    <w:rsid w:val="000C744A"/>
    <w:rsid w:val="000C76BF"/>
    <w:rsid w:val="000D120D"/>
    <w:rsid w:val="000D13C3"/>
    <w:rsid w:val="000D156C"/>
    <w:rsid w:val="000D15AF"/>
    <w:rsid w:val="000D1785"/>
    <w:rsid w:val="000D17C0"/>
    <w:rsid w:val="000D194A"/>
    <w:rsid w:val="000D1EE1"/>
    <w:rsid w:val="000D1F01"/>
    <w:rsid w:val="000D229D"/>
    <w:rsid w:val="000D2A79"/>
    <w:rsid w:val="000D3BFB"/>
    <w:rsid w:val="000D4B9D"/>
    <w:rsid w:val="000D5059"/>
    <w:rsid w:val="000D55E6"/>
    <w:rsid w:val="000D5759"/>
    <w:rsid w:val="000D58DF"/>
    <w:rsid w:val="000D7027"/>
    <w:rsid w:val="000D746D"/>
    <w:rsid w:val="000D7C0C"/>
    <w:rsid w:val="000D7E02"/>
    <w:rsid w:val="000E007B"/>
    <w:rsid w:val="000E06AB"/>
    <w:rsid w:val="000E0734"/>
    <w:rsid w:val="000E07A3"/>
    <w:rsid w:val="000E0802"/>
    <w:rsid w:val="000E0E6F"/>
    <w:rsid w:val="000E129E"/>
    <w:rsid w:val="000E302E"/>
    <w:rsid w:val="000E350E"/>
    <w:rsid w:val="000E3603"/>
    <w:rsid w:val="000E365E"/>
    <w:rsid w:val="000E3818"/>
    <w:rsid w:val="000E3E05"/>
    <w:rsid w:val="000E4613"/>
    <w:rsid w:val="000E4BDE"/>
    <w:rsid w:val="000E4C5B"/>
    <w:rsid w:val="000E58BE"/>
    <w:rsid w:val="000E5D37"/>
    <w:rsid w:val="000E61B3"/>
    <w:rsid w:val="000E641E"/>
    <w:rsid w:val="000E6759"/>
    <w:rsid w:val="000E696E"/>
    <w:rsid w:val="000E69D0"/>
    <w:rsid w:val="000E723F"/>
    <w:rsid w:val="000E75EC"/>
    <w:rsid w:val="000F09E2"/>
    <w:rsid w:val="000F0ADD"/>
    <w:rsid w:val="000F10FF"/>
    <w:rsid w:val="000F126B"/>
    <w:rsid w:val="000F216A"/>
    <w:rsid w:val="000F28BD"/>
    <w:rsid w:val="000F33DB"/>
    <w:rsid w:val="000F382B"/>
    <w:rsid w:val="000F4363"/>
    <w:rsid w:val="000F45E9"/>
    <w:rsid w:val="000F4B3B"/>
    <w:rsid w:val="000F4B72"/>
    <w:rsid w:val="000F4D0D"/>
    <w:rsid w:val="000F52A9"/>
    <w:rsid w:val="000F550F"/>
    <w:rsid w:val="000F5C0E"/>
    <w:rsid w:val="000F5EC5"/>
    <w:rsid w:val="000F611B"/>
    <w:rsid w:val="000F6228"/>
    <w:rsid w:val="000F65A2"/>
    <w:rsid w:val="000F6C47"/>
    <w:rsid w:val="000F6D37"/>
    <w:rsid w:val="000F6E0B"/>
    <w:rsid w:val="000F705D"/>
    <w:rsid w:val="000F749C"/>
    <w:rsid w:val="000F7F5B"/>
    <w:rsid w:val="0010130E"/>
    <w:rsid w:val="00101517"/>
    <w:rsid w:val="00101D83"/>
    <w:rsid w:val="001021F2"/>
    <w:rsid w:val="001022EB"/>
    <w:rsid w:val="00102DBE"/>
    <w:rsid w:val="001033FD"/>
    <w:rsid w:val="00103517"/>
    <w:rsid w:val="00103C0C"/>
    <w:rsid w:val="0010470B"/>
    <w:rsid w:val="001059CD"/>
    <w:rsid w:val="00105B95"/>
    <w:rsid w:val="00105F71"/>
    <w:rsid w:val="00105FE8"/>
    <w:rsid w:val="001067E7"/>
    <w:rsid w:val="00106805"/>
    <w:rsid w:val="001074C9"/>
    <w:rsid w:val="00107D8D"/>
    <w:rsid w:val="00110667"/>
    <w:rsid w:val="00110C0F"/>
    <w:rsid w:val="0011158B"/>
    <w:rsid w:val="0011165E"/>
    <w:rsid w:val="00111BA7"/>
    <w:rsid w:val="00112061"/>
    <w:rsid w:val="00112A5E"/>
    <w:rsid w:val="00112B88"/>
    <w:rsid w:val="001135A5"/>
    <w:rsid w:val="00113AEB"/>
    <w:rsid w:val="00114100"/>
    <w:rsid w:val="001141CF"/>
    <w:rsid w:val="00114BB5"/>
    <w:rsid w:val="00115B2C"/>
    <w:rsid w:val="00115D1E"/>
    <w:rsid w:val="00115F16"/>
    <w:rsid w:val="00115FA0"/>
    <w:rsid w:val="00116660"/>
    <w:rsid w:val="00116945"/>
    <w:rsid w:val="00116E9D"/>
    <w:rsid w:val="00117334"/>
    <w:rsid w:val="00120249"/>
    <w:rsid w:val="00120282"/>
    <w:rsid w:val="001206E3"/>
    <w:rsid w:val="0012197C"/>
    <w:rsid w:val="00122A3A"/>
    <w:rsid w:val="0012329E"/>
    <w:rsid w:val="001237A8"/>
    <w:rsid w:val="00123E2D"/>
    <w:rsid w:val="00124AFB"/>
    <w:rsid w:val="00124B74"/>
    <w:rsid w:val="00125F21"/>
    <w:rsid w:val="00125FAF"/>
    <w:rsid w:val="00126220"/>
    <w:rsid w:val="0012624B"/>
    <w:rsid w:val="00127C7E"/>
    <w:rsid w:val="001301F3"/>
    <w:rsid w:val="00130666"/>
    <w:rsid w:val="00130A33"/>
    <w:rsid w:val="00130F6F"/>
    <w:rsid w:val="00131196"/>
    <w:rsid w:val="001312C6"/>
    <w:rsid w:val="0013171C"/>
    <w:rsid w:val="00131787"/>
    <w:rsid w:val="0013278C"/>
    <w:rsid w:val="001329E8"/>
    <w:rsid w:val="00133590"/>
    <w:rsid w:val="0013398D"/>
    <w:rsid w:val="001339D7"/>
    <w:rsid w:val="00133B28"/>
    <w:rsid w:val="00133DD0"/>
    <w:rsid w:val="00134942"/>
    <w:rsid w:val="00135417"/>
    <w:rsid w:val="001358D2"/>
    <w:rsid w:val="00135A0A"/>
    <w:rsid w:val="00135D73"/>
    <w:rsid w:val="00135FAE"/>
    <w:rsid w:val="0013601C"/>
    <w:rsid w:val="00136062"/>
    <w:rsid w:val="001360E4"/>
    <w:rsid w:val="001368FB"/>
    <w:rsid w:val="00136D9D"/>
    <w:rsid w:val="00136F45"/>
    <w:rsid w:val="00137126"/>
    <w:rsid w:val="0014001D"/>
    <w:rsid w:val="00140270"/>
    <w:rsid w:val="001419C5"/>
    <w:rsid w:val="00141B42"/>
    <w:rsid w:val="00142228"/>
    <w:rsid w:val="00142559"/>
    <w:rsid w:val="001427CB"/>
    <w:rsid w:val="001434D5"/>
    <w:rsid w:val="00143540"/>
    <w:rsid w:val="00143620"/>
    <w:rsid w:val="00143A15"/>
    <w:rsid w:val="00143B0E"/>
    <w:rsid w:val="00143D26"/>
    <w:rsid w:val="00143F1A"/>
    <w:rsid w:val="001442EF"/>
    <w:rsid w:val="00144EA1"/>
    <w:rsid w:val="00145485"/>
    <w:rsid w:val="00145611"/>
    <w:rsid w:val="00145EA9"/>
    <w:rsid w:val="0014645E"/>
    <w:rsid w:val="001468B0"/>
    <w:rsid w:val="00146934"/>
    <w:rsid w:val="0014710C"/>
    <w:rsid w:val="00147451"/>
    <w:rsid w:val="00147B07"/>
    <w:rsid w:val="00147EEA"/>
    <w:rsid w:val="001500C5"/>
    <w:rsid w:val="00151436"/>
    <w:rsid w:val="001518A5"/>
    <w:rsid w:val="00152117"/>
    <w:rsid w:val="001522D9"/>
    <w:rsid w:val="0015237A"/>
    <w:rsid w:val="00152C5B"/>
    <w:rsid w:val="00153084"/>
    <w:rsid w:val="001533F1"/>
    <w:rsid w:val="001534CE"/>
    <w:rsid w:val="0015380B"/>
    <w:rsid w:val="00153AD3"/>
    <w:rsid w:val="00153EFD"/>
    <w:rsid w:val="00154867"/>
    <w:rsid w:val="00154934"/>
    <w:rsid w:val="00154A8B"/>
    <w:rsid w:val="0015531F"/>
    <w:rsid w:val="00155756"/>
    <w:rsid w:val="001566F5"/>
    <w:rsid w:val="001569E5"/>
    <w:rsid w:val="00156A2B"/>
    <w:rsid w:val="001570FA"/>
    <w:rsid w:val="00157184"/>
    <w:rsid w:val="00160372"/>
    <w:rsid w:val="00160700"/>
    <w:rsid w:val="00160E0F"/>
    <w:rsid w:val="001613FF"/>
    <w:rsid w:val="00161419"/>
    <w:rsid w:val="001617F9"/>
    <w:rsid w:val="001618EF"/>
    <w:rsid w:val="00162384"/>
    <w:rsid w:val="001626BC"/>
    <w:rsid w:val="00162950"/>
    <w:rsid w:val="00162DCB"/>
    <w:rsid w:val="00163EF5"/>
    <w:rsid w:val="00164393"/>
    <w:rsid w:val="00164874"/>
    <w:rsid w:val="00164C08"/>
    <w:rsid w:val="00164D76"/>
    <w:rsid w:val="00165000"/>
    <w:rsid w:val="00165188"/>
    <w:rsid w:val="00165555"/>
    <w:rsid w:val="0016642F"/>
    <w:rsid w:val="0016663A"/>
    <w:rsid w:val="0016668F"/>
    <w:rsid w:val="001666FB"/>
    <w:rsid w:val="001668D2"/>
    <w:rsid w:val="00166F96"/>
    <w:rsid w:val="00167409"/>
    <w:rsid w:val="0016740F"/>
    <w:rsid w:val="001674F5"/>
    <w:rsid w:val="00167906"/>
    <w:rsid w:val="00167C84"/>
    <w:rsid w:val="00167E1B"/>
    <w:rsid w:val="0017086E"/>
    <w:rsid w:val="00170FA2"/>
    <w:rsid w:val="00171350"/>
    <w:rsid w:val="00171594"/>
    <w:rsid w:val="00171E3A"/>
    <w:rsid w:val="00172230"/>
    <w:rsid w:val="00172248"/>
    <w:rsid w:val="001726E6"/>
    <w:rsid w:val="001728CB"/>
    <w:rsid w:val="00172A27"/>
    <w:rsid w:val="0017365A"/>
    <w:rsid w:val="00173A71"/>
    <w:rsid w:val="00173B60"/>
    <w:rsid w:val="00173E6A"/>
    <w:rsid w:val="00173F68"/>
    <w:rsid w:val="00174062"/>
    <w:rsid w:val="00174086"/>
    <w:rsid w:val="0017411E"/>
    <w:rsid w:val="001744ED"/>
    <w:rsid w:val="00175149"/>
    <w:rsid w:val="001754DF"/>
    <w:rsid w:val="001754E2"/>
    <w:rsid w:val="00175A5D"/>
    <w:rsid w:val="0017662C"/>
    <w:rsid w:val="001766CC"/>
    <w:rsid w:val="001766DD"/>
    <w:rsid w:val="00176CA5"/>
    <w:rsid w:val="00177944"/>
    <w:rsid w:val="001779D3"/>
    <w:rsid w:val="00177B10"/>
    <w:rsid w:val="00180298"/>
    <w:rsid w:val="00180FB6"/>
    <w:rsid w:val="00181392"/>
    <w:rsid w:val="00181D19"/>
    <w:rsid w:val="00182050"/>
    <w:rsid w:val="0018236F"/>
    <w:rsid w:val="001827F7"/>
    <w:rsid w:val="00182AEB"/>
    <w:rsid w:val="00182D90"/>
    <w:rsid w:val="00182E49"/>
    <w:rsid w:val="0018364A"/>
    <w:rsid w:val="0018368E"/>
    <w:rsid w:val="00184747"/>
    <w:rsid w:val="001851FE"/>
    <w:rsid w:val="001855FB"/>
    <w:rsid w:val="00185B2E"/>
    <w:rsid w:val="00185D3E"/>
    <w:rsid w:val="00185DE7"/>
    <w:rsid w:val="00185E10"/>
    <w:rsid w:val="00185FB0"/>
    <w:rsid w:val="0018651A"/>
    <w:rsid w:val="001869DF"/>
    <w:rsid w:val="00186BD7"/>
    <w:rsid w:val="00186C64"/>
    <w:rsid w:val="00187CE2"/>
    <w:rsid w:val="001902E5"/>
    <w:rsid w:val="00190370"/>
    <w:rsid w:val="0019082C"/>
    <w:rsid w:val="0019086C"/>
    <w:rsid w:val="00190A3C"/>
    <w:rsid w:val="00190FCD"/>
    <w:rsid w:val="0019138B"/>
    <w:rsid w:val="001914E4"/>
    <w:rsid w:val="00191788"/>
    <w:rsid w:val="00192103"/>
    <w:rsid w:val="00192273"/>
    <w:rsid w:val="001933ED"/>
    <w:rsid w:val="00193401"/>
    <w:rsid w:val="0019342A"/>
    <w:rsid w:val="00193616"/>
    <w:rsid w:val="00193A2A"/>
    <w:rsid w:val="00193EAC"/>
    <w:rsid w:val="0019425B"/>
    <w:rsid w:val="001942D2"/>
    <w:rsid w:val="00194A2B"/>
    <w:rsid w:val="001950FF"/>
    <w:rsid w:val="00195313"/>
    <w:rsid w:val="001953B7"/>
    <w:rsid w:val="0019551B"/>
    <w:rsid w:val="001959F0"/>
    <w:rsid w:val="0019614E"/>
    <w:rsid w:val="00196180"/>
    <w:rsid w:val="00196190"/>
    <w:rsid w:val="00196958"/>
    <w:rsid w:val="00197150"/>
    <w:rsid w:val="001971FF"/>
    <w:rsid w:val="001973A9"/>
    <w:rsid w:val="00197532"/>
    <w:rsid w:val="001A03A4"/>
    <w:rsid w:val="001A1047"/>
    <w:rsid w:val="001A1721"/>
    <w:rsid w:val="001A179A"/>
    <w:rsid w:val="001A2733"/>
    <w:rsid w:val="001A2EB4"/>
    <w:rsid w:val="001A38BD"/>
    <w:rsid w:val="001A3F1A"/>
    <w:rsid w:val="001A4385"/>
    <w:rsid w:val="001A43A3"/>
    <w:rsid w:val="001A4783"/>
    <w:rsid w:val="001A5282"/>
    <w:rsid w:val="001A5580"/>
    <w:rsid w:val="001A5B72"/>
    <w:rsid w:val="001A5CFF"/>
    <w:rsid w:val="001A6158"/>
    <w:rsid w:val="001A6CB5"/>
    <w:rsid w:val="001A6E59"/>
    <w:rsid w:val="001A709E"/>
    <w:rsid w:val="001A7607"/>
    <w:rsid w:val="001A7B17"/>
    <w:rsid w:val="001B066A"/>
    <w:rsid w:val="001B07DE"/>
    <w:rsid w:val="001B14F0"/>
    <w:rsid w:val="001B18A5"/>
    <w:rsid w:val="001B1C1D"/>
    <w:rsid w:val="001B33AF"/>
    <w:rsid w:val="001B346C"/>
    <w:rsid w:val="001B36BB"/>
    <w:rsid w:val="001B3891"/>
    <w:rsid w:val="001B3B24"/>
    <w:rsid w:val="001B5192"/>
    <w:rsid w:val="001B52A8"/>
    <w:rsid w:val="001B5F61"/>
    <w:rsid w:val="001B6051"/>
    <w:rsid w:val="001B6402"/>
    <w:rsid w:val="001B64CC"/>
    <w:rsid w:val="001B6AE0"/>
    <w:rsid w:val="001B6B3D"/>
    <w:rsid w:val="001B6E2A"/>
    <w:rsid w:val="001C0257"/>
    <w:rsid w:val="001C0393"/>
    <w:rsid w:val="001C045D"/>
    <w:rsid w:val="001C0771"/>
    <w:rsid w:val="001C0DBB"/>
    <w:rsid w:val="001C194B"/>
    <w:rsid w:val="001C1B8B"/>
    <w:rsid w:val="001C1D06"/>
    <w:rsid w:val="001C21D6"/>
    <w:rsid w:val="001C2594"/>
    <w:rsid w:val="001C27BC"/>
    <w:rsid w:val="001C2B3E"/>
    <w:rsid w:val="001C3286"/>
    <w:rsid w:val="001C34A5"/>
    <w:rsid w:val="001C35BC"/>
    <w:rsid w:val="001C3710"/>
    <w:rsid w:val="001C378A"/>
    <w:rsid w:val="001C3935"/>
    <w:rsid w:val="001C427F"/>
    <w:rsid w:val="001C46F2"/>
    <w:rsid w:val="001C4D5A"/>
    <w:rsid w:val="001C543F"/>
    <w:rsid w:val="001C547A"/>
    <w:rsid w:val="001C5DAB"/>
    <w:rsid w:val="001C5DDB"/>
    <w:rsid w:val="001C5ED1"/>
    <w:rsid w:val="001C6460"/>
    <w:rsid w:val="001C65B6"/>
    <w:rsid w:val="001C697E"/>
    <w:rsid w:val="001C6BD2"/>
    <w:rsid w:val="001C6D59"/>
    <w:rsid w:val="001C6DD1"/>
    <w:rsid w:val="001C73CC"/>
    <w:rsid w:val="001C7E0F"/>
    <w:rsid w:val="001C7E22"/>
    <w:rsid w:val="001C7FA7"/>
    <w:rsid w:val="001D011B"/>
    <w:rsid w:val="001D0D19"/>
    <w:rsid w:val="001D18F7"/>
    <w:rsid w:val="001D2372"/>
    <w:rsid w:val="001D25DC"/>
    <w:rsid w:val="001D411C"/>
    <w:rsid w:val="001D41C2"/>
    <w:rsid w:val="001D50C5"/>
    <w:rsid w:val="001D5726"/>
    <w:rsid w:val="001D57C9"/>
    <w:rsid w:val="001D6090"/>
    <w:rsid w:val="001D6A6B"/>
    <w:rsid w:val="001D6BC0"/>
    <w:rsid w:val="001D6EFE"/>
    <w:rsid w:val="001D6F78"/>
    <w:rsid w:val="001D7247"/>
    <w:rsid w:val="001D7C46"/>
    <w:rsid w:val="001D7E56"/>
    <w:rsid w:val="001E0277"/>
    <w:rsid w:val="001E04A6"/>
    <w:rsid w:val="001E0712"/>
    <w:rsid w:val="001E155E"/>
    <w:rsid w:val="001E19DD"/>
    <w:rsid w:val="001E1EA3"/>
    <w:rsid w:val="001E1F18"/>
    <w:rsid w:val="001E21C1"/>
    <w:rsid w:val="001E2A36"/>
    <w:rsid w:val="001E2C30"/>
    <w:rsid w:val="001E3917"/>
    <w:rsid w:val="001E3E55"/>
    <w:rsid w:val="001E416A"/>
    <w:rsid w:val="001E4350"/>
    <w:rsid w:val="001E500E"/>
    <w:rsid w:val="001E5026"/>
    <w:rsid w:val="001E548F"/>
    <w:rsid w:val="001E57C2"/>
    <w:rsid w:val="001E5A92"/>
    <w:rsid w:val="001E5E42"/>
    <w:rsid w:val="001E5EE9"/>
    <w:rsid w:val="001E62DC"/>
    <w:rsid w:val="001E65D0"/>
    <w:rsid w:val="001E6A5F"/>
    <w:rsid w:val="001E6F57"/>
    <w:rsid w:val="001E6FA8"/>
    <w:rsid w:val="001E71F0"/>
    <w:rsid w:val="001E78CE"/>
    <w:rsid w:val="001F01CF"/>
    <w:rsid w:val="001F0A83"/>
    <w:rsid w:val="001F0E6D"/>
    <w:rsid w:val="001F0FAB"/>
    <w:rsid w:val="001F104B"/>
    <w:rsid w:val="001F11FA"/>
    <w:rsid w:val="001F160E"/>
    <w:rsid w:val="001F1D95"/>
    <w:rsid w:val="001F238C"/>
    <w:rsid w:val="001F25B0"/>
    <w:rsid w:val="001F2F3F"/>
    <w:rsid w:val="001F3B2D"/>
    <w:rsid w:val="001F42CE"/>
    <w:rsid w:val="001F4352"/>
    <w:rsid w:val="001F4E6F"/>
    <w:rsid w:val="001F51AB"/>
    <w:rsid w:val="001F55A3"/>
    <w:rsid w:val="001F5672"/>
    <w:rsid w:val="001F5742"/>
    <w:rsid w:val="001F5B6E"/>
    <w:rsid w:val="001F5BD4"/>
    <w:rsid w:val="001F6128"/>
    <w:rsid w:val="001F701D"/>
    <w:rsid w:val="001F7550"/>
    <w:rsid w:val="001F7683"/>
    <w:rsid w:val="001F768D"/>
    <w:rsid w:val="001F7DDA"/>
    <w:rsid w:val="00201012"/>
    <w:rsid w:val="00201E31"/>
    <w:rsid w:val="00202311"/>
    <w:rsid w:val="002024F6"/>
    <w:rsid w:val="002027D9"/>
    <w:rsid w:val="002029CD"/>
    <w:rsid w:val="00202AD2"/>
    <w:rsid w:val="00203049"/>
    <w:rsid w:val="00203BC6"/>
    <w:rsid w:val="00203E28"/>
    <w:rsid w:val="002050AB"/>
    <w:rsid w:val="002053B2"/>
    <w:rsid w:val="0020576E"/>
    <w:rsid w:val="00206254"/>
    <w:rsid w:val="002062B2"/>
    <w:rsid w:val="002064BC"/>
    <w:rsid w:val="00206BD8"/>
    <w:rsid w:val="00206EDA"/>
    <w:rsid w:val="002071A5"/>
    <w:rsid w:val="00207665"/>
    <w:rsid w:val="0020778B"/>
    <w:rsid w:val="002078FC"/>
    <w:rsid w:val="00207AC6"/>
    <w:rsid w:val="0021067D"/>
    <w:rsid w:val="0021091A"/>
    <w:rsid w:val="00211373"/>
    <w:rsid w:val="002115C2"/>
    <w:rsid w:val="002117B2"/>
    <w:rsid w:val="00212445"/>
    <w:rsid w:val="00212606"/>
    <w:rsid w:val="00212A45"/>
    <w:rsid w:val="00213E97"/>
    <w:rsid w:val="00214042"/>
    <w:rsid w:val="002147A9"/>
    <w:rsid w:val="002151C5"/>
    <w:rsid w:val="00215B6E"/>
    <w:rsid w:val="00216958"/>
    <w:rsid w:val="0021701A"/>
    <w:rsid w:val="0021768B"/>
    <w:rsid w:val="00217868"/>
    <w:rsid w:val="00217D74"/>
    <w:rsid w:val="00220377"/>
    <w:rsid w:val="00220F16"/>
    <w:rsid w:val="00220F2D"/>
    <w:rsid w:val="00221D34"/>
    <w:rsid w:val="00221F7D"/>
    <w:rsid w:val="002225B8"/>
    <w:rsid w:val="00223B8F"/>
    <w:rsid w:val="002243DE"/>
    <w:rsid w:val="00224458"/>
    <w:rsid w:val="002247DC"/>
    <w:rsid w:val="00224DBB"/>
    <w:rsid w:val="00224FF3"/>
    <w:rsid w:val="0022661A"/>
    <w:rsid w:val="0022676A"/>
    <w:rsid w:val="002269B4"/>
    <w:rsid w:val="00226A8E"/>
    <w:rsid w:val="00226C46"/>
    <w:rsid w:val="00226E55"/>
    <w:rsid w:val="00227690"/>
    <w:rsid w:val="00227D3B"/>
    <w:rsid w:val="002300B9"/>
    <w:rsid w:val="00230448"/>
    <w:rsid w:val="00230A07"/>
    <w:rsid w:val="00230B8B"/>
    <w:rsid w:val="00230F1B"/>
    <w:rsid w:val="0023160E"/>
    <w:rsid w:val="00231916"/>
    <w:rsid w:val="0023319C"/>
    <w:rsid w:val="002333F4"/>
    <w:rsid w:val="002334BE"/>
    <w:rsid w:val="00233DC5"/>
    <w:rsid w:val="00233E37"/>
    <w:rsid w:val="0023460A"/>
    <w:rsid w:val="0023508E"/>
    <w:rsid w:val="00235D64"/>
    <w:rsid w:val="00235FD4"/>
    <w:rsid w:val="00236026"/>
    <w:rsid w:val="0023643A"/>
    <w:rsid w:val="00236448"/>
    <w:rsid w:val="00236A30"/>
    <w:rsid w:val="00236FAD"/>
    <w:rsid w:val="00237323"/>
    <w:rsid w:val="002375C0"/>
    <w:rsid w:val="00237D31"/>
    <w:rsid w:val="00237DAB"/>
    <w:rsid w:val="00240DFD"/>
    <w:rsid w:val="00241891"/>
    <w:rsid w:val="00242D37"/>
    <w:rsid w:val="002438DF"/>
    <w:rsid w:val="00243D3B"/>
    <w:rsid w:val="002443E4"/>
    <w:rsid w:val="00244AA7"/>
    <w:rsid w:val="00244F18"/>
    <w:rsid w:val="00245172"/>
    <w:rsid w:val="002456D5"/>
    <w:rsid w:val="00246007"/>
    <w:rsid w:val="002462FA"/>
    <w:rsid w:val="002468C4"/>
    <w:rsid w:val="00246C93"/>
    <w:rsid w:val="00246DD0"/>
    <w:rsid w:val="00246EAA"/>
    <w:rsid w:val="00246F65"/>
    <w:rsid w:val="0024700A"/>
    <w:rsid w:val="00247F76"/>
    <w:rsid w:val="0025039D"/>
    <w:rsid w:val="00250678"/>
    <w:rsid w:val="00251220"/>
    <w:rsid w:val="00251632"/>
    <w:rsid w:val="002520E9"/>
    <w:rsid w:val="002522F3"/>
    <w:rsid w:val="002525F0"/>
    <w:rsid w:val="002527AA"/>
    <w:rsid w:val="00252937"/>
    <w:rsid w:val="0025296A"/>
    <w:rsid w:val="00253D74"/>
    <w:rsid w:val="00253EBA"/>
    <w:rsid w:val="002540A8"/>
    <w:rsid w:val="002558D5"/>
    <w:rsid w:val="00255BA9"/>
    <w:rsid w:val="00255C9E"/>
    <w:rsid w:val="00255EDF"/>
    <w:rsid w:val="00256290"/>
    <w:rsid w:val="00257914"/>
    <w:rsid w:val="00257B55"/>
    <w:rsid w:val="00257CB3"/>
    <w:rsid w:val="00257D66"/>
    <w:rsid w:val="0026021C"/>
    <w:rsid w:val="00260B50"/>
    <w:rsid w:val="00260D30"/>
    <w:rsid w:val="00261B64"/>
    <w:rsid w:val="00261DFC"/>
    <w:rsid w:val="00261F90"/>
    <w:rsid w:val="002627A8"/>
    <w:rsid w:val="00262BBA"/>
    <w:rsid w:val="00262D7C"/>
    <w:rsid w:val="00262F0C"/>
    <w:rsid w:val="00263100"/>
    <w:rsid w:val="002634D8"/>
    <w:rsid w:val="002636E0"/>
    <w:rsid w:val="0026397D"/>
    <w:rsid w:val="00263989"/>
    <w:rsid w:val="00263BAC"/>
    <w:rsid w:val="00263C93"/>
    <w:rsid w:val="0026457F"/>
    <w:rsid w:val="00264A4F"/>
    <w:rsid w:val="00265D4A"/>
    <w:rsid w:val="00265F99"/>
    <w:rsid w:val="00266218"/>
    <w:rsid w:val="0026626A"/>
    <w:rsid w:val="00266363"/>
    <w:rsid w:val="00266763"/>
    <w:rsid w:val="00267A3F"/>
    <w:rsid w:val="00267B1E"/>
    <w:rsid w:val="00267C30"/>
    <w:rsid w:val="002709DE"/>
    <w:rsid w:val="00270B13"/>
    <w:rsid w:val="00271FD7"/>
    <w:rsid w:val="002724F1"/>
    <w:rsid w:val="0027289F"/>
    <w:rsid w:val="0027301F"/>
    <w:rsid w:val="00273209"/>
    <w:rsid w:val="0027325B"/>
    <w:rsid w:val="0027385E"/>
    <w:rsid w:val="00273ADF"/>
    <w:rsid w:val="00273FF3"/>
    <w:rsid w:val="00274641"/>
    <w:rsid w:val="00274830"/>
    <w:rsid w:val="00274A75"/>
    <w:rsid w:val="002755F8"/>
    <w:rsid w:val="002761EB"/>
    <w:rsid w:val="0027622D"/>
    <w:rsid w:val="002766F7"/>
    <w:rsid w:val="00276C7B"/>
    <w:rsid w:val="00277091"/>
    <w:rsid w:val="00280FB5"/>
    <w:rsid w:val="00281F12"/>
    <w:rsid w:val="0028220C"/>
    <w:rsid w:val="002825D8"/>
    <w:rsid w:val="002837B1"/>
    <w:rsid w:val="00283935"/>
    <w:rsid w:val="00283945"/>
    <w:rsid w:val="0028487F"/>
    <w:rsid w:val="00284E87"/>
    <w:rsid w:val="0028505C"/>
    <w:rsid w:val="00285416"/>
    <w:rsid w:val="0028557C"/>
    <w:rsid w:val="00285798"/>
    <w:rsid w:val="00285903"/>
    <w:rsid w:val="00285FF8"/>
    <w:rsid w:val="002861F4"/>
    <w:rsid w:val="00286D4A"/>
    <w:rsid w:val="00286D51"/>
    <w:rsid w:val="00290EBD"/>
    <w:rsid w:val="00291127"/>
    <w:rsid w:val="0029190E"/>
    <w:rsid w:val="002919B6"/>
    <w:rsid w:val="00291CAE"/>
    <w:rsid w:val="00291F0A"/>
    <w:rsid w:val="002927EA"/>
    <w:rsid w:val="00292B57"/>
    <w:rsid w:val="00293950"/>
    <w:rsid w:val="0029461F"/>
    <w:rsid w:val="002946A7"/>
    <w:rsid w:val="002947C0"/>
    <w:rsid w:val="002947D7"/>
    <w:rsid w:val="00294ED0"/>
    <w:rsid w:val="00294FCD"/>
    <w:rsid w:val="002955E0"/>
    <w:rsid w:val="00295C6D"/>
    <w:rsid w:val="00296BF9"/>
    <w:rsid w:val="0029732A"/>
    <w:rsid w:val="00297585"/>
    <w:rsid w:val="00297A6A"/>
    <w:rsid w:val="00297CBC"/>
    <w:rsid w:val="002A03AF"/>
    <w:rsid w:val="002A03BE"/>
    <w:rsid w:val="002A0F76"/>
    <w:rsid w:val="002A1526"/>
    <w:rsid w:val="002A1934"/>
    <w:rsid w:val="002A1B3C"/>
    <w:rsid w:val="002A1BBF"/>
    <w:rsid w:val="002A1C57"/>
    <w:rsid w:val="002A2867"/>
    <w:rsid w:val="002A384B"/>
    <w:rsid w:val="002A3B39"/>
    <w:rsid w:val="002A4959"/>
    <w:rsid w:val="002A4D9B"/>
    <w:rsid w:val="002A63BB"/>
    <w:rsid w:val="002A7E00"/>
    <w:rsid w:val="002B0337"/>
    <w:rsid w:val="002B09A0"/>
    <w:rsid w:val="002B0BD5"/>
    <w:rsid w:val="002B0FDC"/>
    <w:rsid w:val="002B18F1"/>
    <w:rsid w:val="002B36AB"/>
    <w:rsid w:val="002B3760"/>
    <w:rsid w:val="002B37CA"/>
    <w:rsid w:val="002B3B55"/>
    <w:rsid w:val="002B5CC0"/>
    <w:rsid w:val="002B6910"/>
    <w:rsid w:val="002B6B7E"/>
    <w:rsid w:val="002B6B93"/>
    <w:rsid w:val="002B757C"/>
    <w:rsid w:val="002B7E96"/>
    <w:rsid w:val="002C0D58"/>
    <w:rsid w:val="002C106F"/>
    <w:rsid w:val="002C132F"/>
    <w:rsid w:val="002C14FA"/>
    <w:rsid w:val="002C1F3F"/>
    <w:rsid w:val="002C21E4"/>
    <w:rsid w:val="002C2404"/>
    <w:rsid w:val="002C2515"/>
    <w:rsid w:val="002C26E2"/>
    <w:rsid w:val="002C272B"/>
    <w:rsid w:val="002C2A83"/>
    <w:rsid w:val="002C2D1F"/>
    <w:rsid w:val="002C3476"/>
    <w:rsid w:val="002C3D1B"/>
    <w:rsid w:val="002C4134"/>
    <w:rsid w:val="002C43D6"/>
    <w:rsid w:val="002C5A22"/>
    <w:rsid w:val="002C5AC1"/>
    <w:rsid w:val="002C6D3A"/>
    <w:rsid w:val="002C7476"/>
    <w:rsid w:val="002C7DF9"/>
    <w:rsid w:val="002D00A0"/>
    <w:rsid w:val="002D0C2A"/>
    <w:rsid w:val="002D0DE7"/>
    <w:rsid w:val="002D1080"/>
    <w:rsid w:val="002D128B"/>
    <w:rsid w:val="002D1C41"/>
    <w:rsid w:val="002D1CCA"/>
    <w:rsid w:val="002D2851"/>
    <w:rsid w:val="002D3A98"/>
    <w:rsid w:val="002D3DCD"/>
    <w:rsid w:val="002D499F"/>
    <w:rsid w:val="002D4F9B"/>
    <w:rsid w:val="002D5075"/>
    <w:rsid w:val="002D5680"/>
    <w:rsid w:val="002D5B21"/>
    <w:rsid w:val="002D69E6"/>
    <w:rsid w:val="002D716B"/>
    <w:rsid w:val="002D75FD"/>
    <w:rsid w:val="002E0077"/>
    <w:rsid w:val="002E0669"/>
    <w:rsid w:val="002E0D1E"/>
    <w:rsid w:val="002E0DCD"/>
    <w:rsid w:val="002E10B7"/>
    <w:rsid w:val="002E17A0"/>
    <w:rsid w:val="002E234B"/>
    <w:rsid w:val="002E316D"/>
    <w:rsid w:val="002E334F"/>
    <w:rsid w:val="002E341B"/>
    <w:rsid w:val="002E35AE"/>
    <w:rsid w:val="002E36CB"/>
    <w:rsid w:val="002E44B6"/>
    <w:rsid w:val="002E45A1"/>
    <w:rsid w:val="002E52ED"/>
    <w:rsid w:val="002E544D"/>
    <w:rsid w:val="002E573C"/>
    <w:rsid w:val="002E5C40"/>
    <w:rsid w:val="002E5D12"/>
    <w:rsid w:val="002E63D6"/>
    <w:rsid w:val="002E686F"/>
    <w:rsid w:val="002E6889"/>
    <w:rsid w:val="002E6E3B"/>
    <w:rsid w:val="002E72E8"/>
    <w:rsid w:val="002E74E0"/>
    <w:rsid w:val="002E77B6"/>
    <w:rsid w:val="002E7DA9"/>
    <w:rsid w:val="002F02DC"/>
    <w:rsid w:val="002F069D"/>
    <w:rsid w:val="002F0AB0"/>
    <w:rsid w:val="002F0ADA"/>
    <w:rsid w:val="002F1D05"/>
    <w:rsid w:val="002F1EA0"/>
    <w:rsid w:val="002F1F88"/>
    <w:rsid w:val="002F20D3"/>
    <w:rsid w:val="002F26DD"/>
    <w:rsid w:val="002F3570"/>
    <w:rsid w:val="002F358F"/>
    <w:rsid w:val="002F40C8"/>
    <w:rsid w:val="002F410F"/>
    <w:rsid w:val="002F4C5C"/>
    <w:rsid w:val="002F4E45"/>
    <w:rsid w:val="002F4EDF"/>
    <w:rsid w:val="002F4F6A"/>
    <w:rsid w:val="002F5077"/>
    <w:rsid w:val="002F5B0F"/>
    <w:rsid w:val="002F5D15"/>
    <w:rsid w:val="002F5F85"/>
    <w:rsid w:val="002F695C"/>
    <w:rsid w:val="002F6DDC"/>
    <w:rsid w:val="002F6E69"/>
    <w:rsid w:val="002F6EF8"/>
    <w:rsid w:val="002F737F"/>
    <w:rsid w:val="002F7627"/>
    <w:rsid w:val="002F7693"/>
    <w:rsid w:val="002F77C0"/>
    <w:rsid w:val="002F7B28"/>
    <w:rsid w:val="003000D1"/>
    <w:rsid w:val="00300496"/>
    <w:rsid w:val="00300C2C"/>
    <w:rsid w:val="00300D43"/>
    <w:rsid w:val="00300EA9"/>
    <w:rsid w:val="00301079"/>
    <w:rsid w:val="003010AF"/>
    <w:rsid w:val="003017A1"/>
    <w:rsid w:val="003018B7"/>
    <w:rsid w:val="00302757"/>
    <w:rsid w:val="003029BE"/>
    <w:rsid w:val="00303355"/>
    <w:rsid w:val="00303648"/>
    <w:rsid w:val="00303A4B"/>
    <w:rsid w:val="003041B6"/>
    <w:rsid w:val="00304241"/>
    <w:rsid w:val="003042BF"/>
    <w:rsid w:val="003054BC"/>
    <w:rsid w:val="00305610"/>
    <w:rsid w:val="003056EE"/>
    <w:rsid w:val="003063B6"/>
    <w:rsid w:val="0030690D"/>
    <w:rsid w:val="00306AEF"/>
    <w:rsid w:val="00306DF8"/>
    <w:rsid w:val="00307673"/>
    <w:rsid w:val="00307C25"/>
    <w:rsid w:val="00310563"/>
    <w:rsid w:val="00310A6B"/>
    <w:rsid w:val="00310CFB"/>
    <w:rsid w:val="00310DFC"/>
    <w:rsid w:val="00311731"/>
    <w:rsid w:val="00311F14"/>
    <w:rsid w:val="003120A7"/>
    <w:rsid w:val="0031212E"/>
    <w:rsid w:val="00312DB7"/>
    <w:rsid w:val="00312FE6"/>
    <w:rsid w:val="0031312B"/>
    <w:rsid w:val="00313563"/>
    <w:rsid w:val="0031384C"/>
    <w:rsid w:val="0031435B"/>
    <w:rsid w:val="00314CB3"/>
    <w:rsid w:val="00314DE1"/>
    <w:rsid w:val="00314F53"/>
    <w:rsid w:val="00314F5A"/>
    <w:rsid w:val="0031509A"/>
    <w:rsid w:val="003153CD"/>
    <w:rsid w:val="00315877"/>
    <w:rsid w:val="00315FD4"/>
    <w:rsid w:val="0031675F"/>
    <w:rsid w:val="0031682D"/>
    <w:rsid w:val="003174BE"/>
    <w:rsid w:val="0031768D"/>
    <w:rsid w:val="00317D1B"/>
    <w:rsid w:val="00317F28"/>
    <w:rsid w:val="00320A67"/>
    <w:rsid w:val="00320B71"/>
    <w:rsid w:val="003215F1"/>
    <w:rsid w:val="00321DDC"/>
    <w:rsid w:val="0032206B"/>
    <w:rsid w:val="003220C6"/>
    <w:rsid w:val="0032330B"/>
    <w:rsid w:val="00323477"/>
    <w:rsid w:val="00323ADC"/>
    <w:rsid w:val="00324F69"/>
    <w:rsid w:val="0032525F"/>
    <w:rsid w:val="00325F4C"/>
    <w:rsid w:val="00326332"/>
    <w:rsid w:val="00326967"/>
    <w:rsid w:val="00326A9A"/>
    <w:rsid w:val="00327150"/>
    <w:rsid w:val="0032732E"/>
    <w:rsid w:val="00327736"/>
    <w:rsid w:val="00327A9C"/>
    <w:rsid w:val="00330A68"/>
    <w:rsid w:val="00330A81"/>
    <w:rsid w:val="00330A94"/>
    <w:rsid w:val="0033145C"/>
    <w:rsid w:val="00331CD1"/>
    <w:rsid w:val="00332BEB"/>
    <w:rsid w:val="00333230"/>
    <w:rsid w:val="00333368"/>
    <w:rsid w:val="0033345D"/>
    <w:rsid w:val="003335F5"/>
    <w:rsid w:val="00334001"/>
    <w:rsid w:val="00334180"/>
    <w:rsid w:val="0033453A"/>
    <w:rsid w:val="003346DF"/>
    <w:rsid w:val="00334C8E"/>
    <w:rsid w:val="003360E0"/>
    <w:rsid w:val="0033623F"/>
    <w:rsid w:val="003364E9"/>
    <w:rsid w:val="003369D9"/>
    <w:rsid w:val="003374D1"/>
    <w:rsid w:val="00337E85"/>
    <w:rsid w:val="00340139"/>
    <w:rsid w:val="00340EC8"/>
    <w:rsid w:val="003414FF"/>
    <w:rsid w:val="0034164A"/>
    <w:rsid w:val="00341843"/>
    <w:rsid w:val="00342592"/>
    <w:rsid w:val="00342682"/>
    <w:rsid w:val="003428EC"/>
    <w:rsid w:val="00342A27"/>
    <w:rsid w:val="00342CB4"/>
    <w:rsid w:val="00342D2E"/>
    <w:rsid w:val="003433DD"/>
    <w:rsid w:val="00343544"/>
    <w:rsid w:val="003438BD"/>
    <w:rsid w:val="003439E7"/>
    <w:rsid w:val="00343DE3"/>
    <w:rsid w:val="0034431D"/>
    <w:rsid w:val="003446E7"/>
    <w:rsid w:val="00344A0B"/>
    <w:rsid w:val="00344C22"/>
    <w:rsid w:val="0034519C"/>
    <w:rsid w:val="0034520D"/>
    <w:rsid w:val="00345473"/>
    <w:rsid w:val="00345E27"/>
    <w:rsid w:val="003464D4"/>
    <w:rsid w:val="003465BF"/>
    <w:rsid w:val="003468CF"/>
    <w:rsid w:val="00346B48"/>
    <w:rsid w:val="003474C5"/>
    <w:rsid w:val="00347AEF"/>
    <w:rsid w:val="00350573"/>
    <w:rsid w:val="00350EBF"/>
    <w:rsid w:val="00351A28"/>
    <w:rsid w:val="00351F27"/>
    <w:rsid w:val="0035242F"/>
    <w:rsid w:val="0035369A"/>
    <w:rsid w:val="00353A02"/>
    <w:rsid w:val="00354A58"/>
    <w:rsid w:val="00354D99"/>
    <w:rsid w:val="00354D9B"/>
    <w:rsid w:val="00355020"/>
    <w:rsid w:val="0035532F"/>
    <w:rsid w:val="00355FB0"/>
    <w:rsid w:val="0035616A"/>
    <w:rsid w:val="00356232"/>
    <w:rsid w:val="00356243"/>
    <w:rsid w:val="003564A8"/>
    <w:rsid w:val="0035650E"/>
    <w:rsid w:val="00356664"/>
    <w:rsid w:val="00356973"/>
    <w:rsid w:val="00357355"/>
    <w:rsid w:val="003575C5"/>
    <w:rsid w:val="00360AC8"/>
    <w:rsid w:val="00360BFE"/>
    <w:rsid w:val="0036173A"/>
    <w:rsid w:val="0036224B"/>
    <w:rsid w:val="0036299F"/>
    <w:rsid w:val="00362ADD"/>
    <w:rsid w:val="00363112"/>
    <w:rsid w:val="00363533"/>
    <w:rsid w:val="003637CD"/>
    <w:rsid w:val="00363A49"/>
    <w:rsid w:val="00363C3C"/>
    <w:rsid w:val="00363C8E"/>
    <w:rsid w:val="003640FB"/>
    <w:rsid w:val="00364164"/>
    <w:rsid w:val="00364611"/>
    <w:rsid w:val="00364DEF"/>
    <w:rsid w:val="003655CA"/>
    <w:rsid w:val="00365EFB"/>
    <w:rsid w:val="00366122"/>
    <w:rsid w:val="00366676"/>
    <w:rsid w:val="00366B62"/>
    <w:rsid w:val="00366EDE"/>
    <w:rsid w:val="003670C8"/>
    <w:rsid w:val="003674AE"/>
    <w:rsid w:val="0036760A"/>
    <w:rsid w:val="00370579"/>
    <w:rsid w:val="00370AF7"/>
    <w:rsid w:val="00370C48"/>
    <w:rsid w:val="00370F2A"/>
    <w:rsid w:val="00371EB3"/>
    <w:rsid w:val="003726F3"/>
    <w:rsid w:val="003729A1"/>
    <w:rsid w:val="00372A11"/>
    <w:rsid w:val="00372AA0"/>
    <w:rsid w:val="003732E4"/>
    <w:rsid w:val="00373F1E"/>
    <w:rsid w:val="00374DC9"/>
    <w:rsid w:val="00374F61"/>
    <w:rsid w:val="00375097"/>
    <w:rsid w:val="003753F8"/>
    <w:rsid w:val="00375F29"/>
    <w:rsid w:val="003761F5"/>
    <w:rsid w:val="00376482"/>
    <w:rsid w:val="00376DC6"/>
    <w:rsid w:val="0037748A"/>
    <w:rsid w:val="00380339"/>
    <w:rsid w:val="003803F6"/>
    <w:rsid w:val="0038071D"/>
    <w:rsid w:val="00380726"/>
    <w:rsid w:val="00380CC3"/>
    <w:rsid w:val="00380ECB"/>
    <w:rsid w:val="00381449"/>
    <w:rsid w:val="003817AD"/>
    <w:rsid w:val="00381DC0"/>
    <w:rsid w:val="00381E59"/>
    <w:rsid w:val="0038243F"/>
    <w:rsid w:val="0038246F"/>
    <w:rsid w:val="0038275D"/>
    <w:rsid w:val="00382CB0"/>
    <w:rsid w:val="00383114"/>
    <w:rsid w:val="00383260"/>
    <w:rsid w:val="003835D9"/>
    <w:rsid w:val="00384DCC"/>
    <w:rsid w:val="00384FD8"/>
    <w:rsid w:val="0038553D"/>
    <w:rsid w:val="00385581"/>
    <w:rsid w:val="00385D6F"/>
    <w:rsid w:val="003865B9"/>
    <w:rsid w:val="003867C1"/>
    <w:rsid w:val="00386840"/>
    <w:rsid w:val="00386B17"/>
    <w:rsid w:val="00386C34"/>
    <w:rsid w:val="003872B9"/>
    <w:rsid w:val="003875AA"/>
    <w:rsid w:val="00387C5B"/>
    <w:rsid w:val="00387D85"/>
    <w:rsid w:val="00387DDF"/>
    <w:rsid w:val="003905CB"/>
    <w:rsid w:val="003906CF"/>
    <w:rsid w:val="00390CB0"/>
    <w:rsid w:val="0039184F"/>
    <w:rsid w:val="00391946"/>
    <w:rsid w:val="00391BC3"/>
    <w:rsid w:val="00392AD4"/>
    <w:rsid w:val="00392D75"/>
    <w:rsid w:val="003931C2"/>
    <w:rsid w:val="003938BB"/>
    <w:rsid w:val="00393956"/>
    <w:rsid w:val="00393E53"/>
    <w:rsid w:val="003940C5"/>
    <w:rsid w:val="00394ACE"/>
    <w:rsid w:val="00395592"/>
    <w:rsid w:val="00395A8B"/>
    <w:rsid w:val="00395B8B"/>
    <w:rsid w:val="00396189"/>
    <w:rsid w:val="00396824"/>
    <w:rsid w:val="00396DC0"/>
    <w:rsid w:val="003971A0"/>
    <w:rsid w:val="003977FB"/>
    <w:rsid w:val="00397C55"/>
    <w:rsid w:val="003A0009"/>
    <w:rsid w:val="003A0221"/>
    <w:rsid w:val="003A04DF"/>
    <w:rsid w:val="003A06B4"/>
    <w:rsid w:val="003A06D0"/>
    <w:rsid w:val="003A1089"/>
    <w:rsid w:val="003A1A93"/>
    <w:rsid w:val="003A1E50"/>
    <w:rsid w:val="003A21E5"/>
    <w:rsid w:val="003A2755"/>
    <w:rsid w:val="003A28D5"/>
    <w:rsid w:val="003A2B03"/>
    <w:rsid w:val="003A30CC"/>
    <w:rsid w:val="003A3184"/>
    <w:rsid w:val="003A43AE"/>
    <w:rsid w:val="003A5647"/>
    <w:rsid w:val="003A5811"/>
    <w:rsid w:val="003A58FC"/>
    <w:rsid w:val="003A59D5"/>
    <w:rsid w:val="003A5D3E"/>
    <w:rsid w:val="003A5E56"/>
    <w:rsid w:val="003A62D7"/>
    <w:rsid w:val="003A6BE0"/>
    <w:rsid w:val="003A78C0"/>
    <w:rsid w:val="003A7D48"/>
    <w:rsid w:val="003B06A9"/>
    <w:rsid w:val="003B0AE4"/>
    <w:rsid w:val="003B0B54"/>
    <w:rsid w:val="003B0D67"/>
    <w:rsid w:val="003B1125"/>
    <w:rsid w:val="003B1275"/>
    <w:rsid w:val="003B1868"/>
    <w:rsid w:val="003B1AA9"/>
    <w:rsid w:val="003B1F45"/>
    <w:rsid w:val="003B2FBD"/>
    <w:rsid w:val="003B316A"/>
    <w:rsid w:val="003B35BC"/>
    <w:rsid w:val="003B382C"/>
    <w:rsid w:val="003B3AA9"/>
    <w:rsid w:val="003B4E8C"/>
    <w:rsid w:val="003B58CA"/>
    <w:rsid w:val="003B5C41"/>
    <w:rsid w:val="003B5D47"/>
    <w:rsid w:val="003B66F9"/>
    <w:rsid w:val="003B67E0"/>
    <w:rsid w:val="003B6986"/>
    <w:rsid w:val="003B739D"/>
    <w:rsid w:val="003B7694"/>
    <w:rsid w:val="003C0243"/>
    <w:rsid w:val="003C05A7"/>
    <w:rsid w:val="003C078B"/>
    <w:rsid w:val="003C1973"/>
    <w:rsid w:val="003C1B84"/>
    <w:rsid w:val="003C2BAE"/>
    <w:rsid w:val="003C305E"/>
    <w:rsid w:val="003C3378"/>
    <w:rsid w:val="003C3404"/>
    <w:rsid w:val="003C56A1"/>
    <w:rsid w:val="003C5FE9"/>
    <w:rsid w:val="003C60A8"/>
    <w:rsid w:val="003C639F"/>
    <w:rsid w:val="003C6B41"/>
    <w:rsid w:val="003C72FD"/>
    <w:rsid w:val="003C7D26"/>
    <w:rsid w:val="003C7D58"/>
    <w:rsid w:val="003D03A2"/>
    <w:rsid w:val="003D0B77"/>
    <w:rsid w:val="003D1992"/>
    <w:rsid w:val="003D2018"/>
    <w:rsid w:val="003D2632"/>
    <w:rsid w:val="003D2981"/>
    <w:rsid w:val="003D2A46"/>
    <w:rsid w:val="003D2C0D"/>
    <w:rsid w:val="003D318F"/>
    <w:rsid w:val="003D3735"/>
    <w:rsid w:val="003D39E6"/>
    <w:rsid w:val="003D4955"/>
    <w:rsid w:val="003D4AEE"/>
    <w:rsid w:val="003D4CC9"/>
    <w:rsid w:val="003D56A4"/>
    <w:rsid w:val="003D59C6"/>
    <w:rsid w:val="003D65BC"/>
    <w:rsid w:val="003D6812"/>
    <w:rsid w:val="003D6D35"/>
    <w:rsid w:val="003D733B"/>
    <w:rsid w:val="003D735C"/>
    <w:rsid w:val="003D76D5"/>
    <w:rsid w:val="003D7C01"/>
    <w:rsid w:val="003D7CFC"/>
    <w:rsid w:val="003D7FED"/>
    <w:rsid w:val="003E0395"/>
    <w:rsid w:val="003E04B0"/>
    <w:rsid w:val="003E177E"/>
    <w:rsid w:val="003E1915"/>
    <w:rsid w:val="003E1991"/>
    <w:rsid w:val="003E1B99"/>
    <w:rsid w:val="003E2469"/>
    <w:rsid w:val="003E2635"/>
    <w:rsid w:val="003E265D"/>
    <w:rsid w:val="003E266A"/>
    <w:rsid w:val="003E365F"/>
    <w:rsid w:val="003E3BC2"/>
    <w:rsid w:val="003E506B"/>
    <w:rsid w:val="003E5B1E"/>
    <w:rsid w:val="003E5C19"/>
    <w:rsid w:val="003E5F16"/>
    <w:rsid w:val="003E5FC7"/>
    <w:rsid w:val="003E61CD"/>
    <w:rsid w:val="003E6439"/>
    <w:rsid w:val="003E650D"/>
    <w:rsid w:val="003E70D2"/>
    <w:rsid w:val="003E75E2"/>
    <w:rsid w:val="003E7646"/>
    <w:rsid w:val="003E7704"/>
    <w:rsid w:val="003E7903"/>
    <w:rsid w:val="003E79FE"/>
    <w:rsid w:val="003F09AB"/>
    <w:rsid w:val="003F0C6E"/>
    <w:rsid w:val="003F0CDF"/>
    <w:rsid w:val="003F1555"/>
    <w:rsid w:val="003F1595"/>
    <w:rsid w:val="003F1B94"/>
    <w:rsid w:val="003F1D5E"/>
    <w:rsid w:val="003F1E71"/>
    <w:rsid w:val="003F2438"/>
    <w:rsid w:val="003F30B5"/>
    <w:rsid w:val="003F330C"/>
    <w:rsid w:val="003F3800"/>
    <w:rsid w:val="003F3985"/>
    <w:rsid w:val="003F3B06"/>
    <w:rsid w:val="003F3BBA"/>
    <w:rsid w:val="003F3EDF"/>
    <w:rsid w:val="003F3FD8"/>
    <w:rsid w:val="003F40D1"/>
    <w:rsid w:val="003F4336"/>
    <w:rsid w:val="003F438F"/>
    <w:rsid w:val="003F5F6B"/>
    <w:rsid w:val="003F60C8"/>
    <w:rsid w:val="003F6364"/>
    <w:rsid w:val="003F6C90"/>
    <w:rsid w:val="003F6D00"/>
    <w:rsid w:val="003F6F1A"/>
    <w:rsid w:val="003F7827"/>
    <w:rsid w:val="0040017C"/>
    <w:rsid w:val="004004B1"/>
    <w:rsid w:val="0040077A"/>
    <w:rsid w:val="0040104D"/>
    <w:rsid w:val="00401531"/>
    <w:rsid w:val="00401705"/>
    <w:rsid w:val="004024E0"/>
    <w:rsid w:val="00402CCC"/>
    <w:rsid w:val="00403219"/>
    <w:rsid w:val="00403BE1"/>
    <w:rsid w:val="00404149"/>
    <w:rsid w:val="00404281"/>
    <w:rsid w:val="00404715"/>
    <w:rsid w:val="00404A38"/>
    <w:rsid w:val="00404BD5"/>
    <w:rsid w:val="00405198"/>
    <w:rsid w:val="004063D9"/>
    <w:rsid w:val="004065EE"/>
    <w:rsid w:val="00406634"/>
    <w:rsid w:val="004068A1"/>
    <w:rsid w:val="004068A9"/>
    <w:rsid w:val="00406C87"/>
    <w:rsid w:val="00407133"/>
    <w:rsid w:val="00407181"/>
    <w:rsid w:val="00407EC5"/>
    <w:rsid w:val="004103CB"/>
    <w:rsid w:val="004105F5"/>
    <w:rsid w:val="004108DA"/>
    <w:rsid w:val="00410C78"/>
    <w:rsid w:val="00411522"/>
    <w:rsid w:val="0041223E"/>
    <w:rsid w:val="00412242"/>
    <w:rsid w:val="004137F4"/>
    <w:rsid w:val="004138DA"/>
    <w:rsid w:val="00414264"/>
    <w:rsid w:val="00414566"/>
    <w:rsid w:val="00414E01"/>
    <w:rsid w:val="00414F66"/>
    <w:rsid w:val="00414FEF"/>
    <w:rsid w:val="00415369"/>
    <w:rsid w:val="00415E3A"/>
    <w:rsid w:val="00415F15"/>
    <w:rsid w:val="00415F44"/>
    <w:rsid w:val="00416063"/>
    <w:rsid w:val="00416256"/>
    <w:rsid w:val="00416347"/>
    <w:rsid w:val="0041637E"/>
    <w:rsid w:val="00416783"/>
    <w:rsid w:val="00416ABA"/>
    <w:rsid w:val="00416B3F"/>
    <w:rsid w:val="00417ACA"/>
    <w:rsid w:val="004203EC"/>
    <w:rsid w:val="00420858"/>
    <w:rsid w:val="00420D1E"/>
    <w:rsid w:val="00420D87"/>
    <w:rsid w:val="00421890"/>
    <w:rsid w:val="00421E77"/>
    <w:rsid w:val="004220F7"/>
    <w:rsid w:val="004221AA"/>
    <w:rsid w:val="0042285D"/>
    <w:rsid w:val="0042298E"/>
    <w:rsid w:val="00422A7A"/>
    <w:rsid w:val="00422C23"/>
    <w:rsid w:val="004233E6"/>
    <w:rsid w:val="00423603"/>
    <w:rsid w:val="00424169"/>
    <w:rsid w:val="004242DE"/>
    <w:rsid w:val="004248D3"/>
    <w:rsid w:val="00424914"/>
    <w:rsid w:val="00425187"/>
    <w:rsid w:val="004254DC"/>
    <w:rsid w:val="00425C3C"/>
    <w:rsid w:val="00425CC3"/>
    <w:rsid w:val="00426E4D"/>
    <w:rsid w:val="004272DE"/>
    <w:rsid w:val="004278EE"/>
    <w:rsid w:val="004279C5"/>
    <w:rsid w:val="004279DA"/>
    <w:rsid w:val="00427AEA"/>
    <w:rsid w:val="00427DCF"/>
    <w:rsid w:val="00427F7D"/>
    <w:rsid w:val="00427FB5"/>
    <w:rsid w:val="0043019F"/>
    <w:rsid w:val="004301F1"/>
    <w:rsid w:val="00430A13"/>
    <w:rsid w:val="00430FEA"/>
    <w:rsid w:val="00431720"/>
    <w:rsid w:val="004317D6"/>
    <w:rsid w:val="00431865"/>
    <w:rsid w:val="00431C45"/>
    <w:rsid w:val="004321CC"/>
    <w:rsid w:val="00432336"/>
    <w:rsid w:val="00433402"/>
    <w:rsid w:val="00433830"/>
    <w:rsid w:val="004349F7"/>
    <w:rsid w:val="00434FC5"/>
    <w:rsid w:val="00435255"/>
    <w:rsid w:val="00435380"/>
    <w:rsid w:val="00435C3A"/>
    <w:rsid w:val="00436343"/>
    <w:rsid w:val="00436A95"/>
    <w:rsid w:val="00437373"/>
    <w:rsid w:val="00437A7F"/>
    <w:rsid w:val="00437E9C"/>
    <w:rsid w:val="00437F81"/>
    <w:rsid w:val="00440570"/>
    <w:rsid w:val="00440A40"/>
    <w:rsid w:val="00440B0A"/>
    <w:rsid w:val="00440DB4"/>
    <w:rsid w:val="00440F3C"/>
    <w:rsid w:val="004410BA"/>
    <w:rsid w:val="0044123D"/>
    <w:rsid w:val="0044140F"/>
    <w:rsid w:val="004414F0"/>
    <w:rsid w:val="00441A41"/>
    <w:rsid w:val="00441BB9"/>
    <w:rsid w:val="00441D5A"/>
    <w:rsid w:val="0044223C"/>
    <w:rsid w:val="00442B35"/>
    <w:rsid w:val="00442CEC"/>
    <w:rsid w:val="00442CF4"/>
    <w:rsid w:val="004432EC"/>
    <w:rsid w:val="00443928"/>
    <w:rsid w:val="00443BC6"/>
    <w:rsid w:val="00444723"/>
    <w:rsid w:val="00444B62"/>
    <w:rsid w:val="00444ED1"/>
    <w:rsid w:val="00445C25"/>
    <w:rsid w:val="00446213"/>
    <w:rsid w:val="0044683D"/>
    <w:rsid w:val="00446985"/>
    <w:rsid w:val="00447156"/>
    <w:rsid w:val="0044723F"/>
    <w:rsid w:val="004478A0"/>
    <w:rsid w:val="00450538"/>
    <w:rsid w:val="004506B9"/>
    <w:rsid w:val="00451BA2"/>
    <w:rsid w:val="00452548"/>
    <w:rsid w:val="004531CE"/>
    <w:rsid w:val="004539B7"/>
    <w:rsid w:val="00454480"/>
    <w:rsid w:val="004544CA"/>
    <w:rsid w:val="00455299"/>
    <w:rsid w:val="00455816"/>
    <w:rsid w:val="00455842"/>
    <w:rsid w:val="00456CB7"/>
    <w:rsid w:val="00456FAC"/>
    <w:rsid w:val="004571D5"/>
    <w:rsid w:val="00457318"/>
    <w:rsid w:val="0045774E"/>
    <w:rsid w:val="004577A8"/>
    <w:rsid w:val="00457FE3"/>
    <w:rsid w:val="0046154F"/>
    <w:rsid w:val="00461A90"/>
    <w:rsid w:val="00461B23"/>
    <w:rsid w:val="00461E57"/>
    <w:rsid w:val="00462536"/>
    <w:rsid w:val="004627AD"/>
    <w:rsid w:val="00463495"/>
    <w:rsid w:val="00463BE0"/>
    <w:rsid w:val="004644C5"/>
    <w:rsid w:val="004648D9"/>
    <w:rsid w:val="00464AAA"/>
    <w:rsid w:val="00464D22"/>
    <w:rsid w:val="00465174"/>
    <w:rsid w:val="0046530F"/>
    <w:rsid w:val="004655C3"/>
    <w:rsid w:val="00465C9C"/>
    <w:rsid w:val="0046602D"/>
    <w:rsid w:val="0046651C"/>
    <w:rsid w:val="0046661D"/>
    <w:rsid w:val="00467916"/>
    <w:rsid w:val="004707D0"/>
    <w:rsid w:val="0047081B"/>
    <w:rsid w:val="0047087F"/>
    <w:rsid w:val="00470ADE"/>
    <w:rsid w:val="00470CD7"/>
    <w:rsid w:val="004712AF"/>
    <w:rsid w:val="004724E5"/>
    <w:rsid w:val="00472E17"/>
    <w:rsid w:val="00472F80"/>
    <w:rsid w:val="00473122"/>
    <w:rsid w:val="00473240"/>
    <w:rsid w:val="00473340"/>
    <w:rsid w:val="00473512"/>
    <w:rsid w:val="004748C3"/>
    <w:rsid w:val="00474AA1"/>
    <w:rsid w:val="00474C87"/>
    <w:rsid w:val="00475250"/>
    <w:rsid w:val="00475344"/>
    <w:rsid w:val="00475453"/>
    <w:rsid w:val="004754C3"/>
    <w:rsid w:val="00475EA3"/>
    <w:rsid w:val="0047614D"/>
    <w:rsid w:val="0047625D"/>
    <w:rsid w:val="00476C10"/>
    <w:rsid w:val="00476D9F"/>
    <w:rsid w:val="004771EE"/>
    <w:rsid w:val="0047751A"/>
    <w:rsid w:val="004779B2"/>
    <w:rsid w:val="00477E72"/>
    <w:rsid w:val="004803AB"/>
    <w:rsid w:val="00480FB9"/>
    <w:rsid w:val="00481CBF"/>
    <w:rsid w:val="0048217E"/>
    <w:rsid w:val="00482E44"/>
    <w:rsid w:val="00483B8B"/>
    <w:rsid w:val="00483EC7"/>
    <w:rsid w:val="004845A6"/>
    <w:rsid w:val="004849D9"/>
    <w:rsid w:val="00484A00"/>
    <w:rsid w:val="00484AD4"/>
    <w:rsid w:val="0048558F"/>
    <w:rsid w:val="00485FB3"/>
    <w:rsid w:val="0048618F"/>
    <w:rsid w:val="004862C1"/>
    <w:rsid w:val="00486C69"/>
    <w:rsid w:val="00486CDD"/>
    <w:rsid w:val="00486D03"/>
    <w:rsid w:val="00487506"/>
    <w:rsid w:val="00487528"/>
    <w:rsid w:val="00487A96"/>
    <w:rsid w:val="00487B7D"/>
    <w:rsid w:val="00487CA7"/>
    <w:rsid w:val="004905CF"/>
    <w:rsid w:val="00490E30"/>
    <w:rsid w:val="00491A81"/>
    <w:rsid w:val="0049237F"/>
    <w:rsid w:val="0049249D"/>
    <w:rsid w:val="004926EC"/>
    <w:rsid w:val="004927C0"/>
    <w:rsid w:val="00492D82"/>
    <w:rsid w:val="004931B9"/>
    <w:rsid w:val="00493382"/>
    <w:rsid w:val="00493DC1"/>
    <w:rsid w:val="004951F7"/>
    <w:rsid w:val="00495276"/>
    <w:rsid w:val="004953B3"/>
    <w:rsid w:val="00496B1F"/>
    <w:rsid w:val="00496E91"/>
    <w:rsid w:val="00497117"/>
    <w:rsid w:val="00497998"/>
    <w:rsid w:val="004A0574"/>
    <w:rsid w:val="004A0AAF"/>
    <w:rsid w:val="004A0DDC"/>
    <w:rsid w:val="004A0EF2"/>
    <w:rsid w:val="004A1453"/>
    <w:rsid w:val="004A1840"/>
    <w:rsid w:val="004A250E"/>
    <w:rsid w:val="004A291C"/>
    <w:rsid w:val="004A3486"/>
    <w:rsid w:val="004A3520"/>
    <w:rsid w:val="004A3C88"/>
    <w:rsid w:val="004A3CEA"/>
    <w:rsid w:val="004A3F03"/>
    <w:rsid w:val="004A4322"/>
    <w:rsid w:val="004A5424"/>
    <w:rsid w:val="004A54E3"/>
    <w:rsid w:val="004A5640"/>
    <w:rsid w:val="004A5B5C"/>
    <w:rsid w:val="004A62FC"/>
    <w:rsid w:val="004A641C"/>
    <w:rsid w:val="004A6A8F"/>
    <w:rsid w:val="004A6E35"/>
    <w:rsid w:val="004A6F7B"/>
    <w:rsid w:val="004A72AC"/>
    <w:rsid w:val="004B0331"/>
    <w:rsid w:val="004B0CD8"/>
    <w:rsid w:val="004B162F"/>
    <w:rsid w:val="004B17EA"/>
    <w:rsid w:val="004B2499"/>
    <w:rsid w:val="004B2532"/>
    <w:rsid w:val="004B270C"/>
    <w:rsid w:val="004B2800"/>
    <w:rsid w:val="004B39E9"/>
    <w:rsid w:val="004B3A1B"/>
    <w:rsid w:val="004B3F43"/>
    <w:rsid w:val="004B41BB"/>
    <w:rsid w:val="004B41EB"/>
    <w:rsid w:val="004B426F"/>
    <w:rsid w:val="004B4785"/>
    <w:rsid w:val="004B47A6"/>
    <w:rsid w:val="004B4A64"/>
    <w:rsid w:val="004B4F32"/>
    <w:rsid w:val="004B5409"/>
    <w:rsid w:val="004B54D8"/>
    <w:rsid w:val="004B579D"/>
    <w:rsid w:val="004B5B0F"/>
    <w:rsid w:val="004B5F7F"/>
    <w:rsid w:val="004B65BA"/>
    <w:rsid w:val="004B66D6"/>
    <w:rsid w:val="004B68B7"/>
    <w:rsid w:val="004B697F"/>
    <w:rsid w:val="004B6A39"/>
    <w:rsid w:val="004B6DB1"/>
    <w:rsid w:val="004B6ED0"/>
    <w:rsid w:val="004B75DE"/>
    <w:rsid w:val="004B78CB"/>
    <w:rsid w:val="004B7AA5"/>
    <w:rsid w:val="004B7AEE"/>
    <w:rsid w:val="004B7B01"/>
    <w:rsid w:val="004B7DE9"/>
    <w:rsid w:val="004B7E3E"/>
    <w:rsid w:val="004B7F7D"/>
    <w:rsid w:val="004C036E"/>
    <w:rsid w:val="004C0433"/>
    <w:rsid w:val="004C0B4D"/>
    <w:rsid w:val="004C1221"/>
    <w:rsid w:val="004C16F7"/>
    <w:rsid w:val="004C1F36"/>
    <w:rsid w:val="004C22ED"/>
    <w:rsid w:val="004C23D7"/>
    <w:rsid w:val="004C290F"/>
    <w:rsid w:val="004C2F06"/>
    <w:rsid w:val="004C3D3C"/>
    <w:rsid w:val="004C5091"/>
    <w:rsid w:val="004C542D"/>
    <w:rsid w:val="004C591D"/>
    <w:rsid w:val="004C5BF2"/>
    <w:rsid w:val="004C6400"/>
    <w:rsid w:val="004C740A"/>
    <w:rsid w:val="004C7731"/>
    <w:rsid w:val="004C78CF"/>
    <w:rsid w:val="004C795F"/>
    <w:rsid w:val="004C7A9D"/>
    <w:rsid w:val="004C7C98"/>
    <w:rsid w:val="004C7DD4"/>
    <w:rsid w:val="004D0146"/>
    <w:rsid w:val="004D031D"/>
    <w:rsid w:val="004D0C42"/>
    <w:rsid w:val="004D0CA8"/>
    <w:rsid w:val="004D0F1B"/>
    <w:rsid w:val="004D1754"/>
    <w:rsid w:val="004D175C"/>
    <w:rsid w:val="004D18E1"/>
    <w:rsid w:val="004D24BE"/>
    <w:rsid w:val="004D3007"/>
    <w:rsid w:val="004D3300"/>
    <w:rsid w:val="004D35FB"/>
    <w:rsid w:val="004D3D8E"/>
    <w:rsid w:val="004D476D"/>
    <w:rsid w:val="004D4D3C"/>
    <w:rsid w:val="004D4DB9"/>
    <w:rsid w:val="004D4EF0"/>
    <w:rsid w:val="004D5D96"/>
    <w:rsid w:val="004D6675"/>
    <w:rsid w:val="004D6796"/>
    <w:rsid w:val="004D67FC"/>
    <w:rsid w:val="004D6B48"/>
    <w:rsid w:val="004D6BA3"/>
    <w:rsid w:val="004D6D30"/>
    <w:rsid w:val="004D7D3A"/>
    <w:rsid w:val="004E0BD1"/>
    <w:rsid w:val="004E10AA"/>
    <w:rsid w:val="004E1615"/>
    <w:rsid w:val="004E17FB"/>
    <w:rsid w:val="004E204A"/>
    <w:rsid w:val="004E20CA"/>
    <w:rsid w:val="004E25E8"/>
    <w:rsid w:val="004E2B7C"/>
    <w:rsid w:val="004E366D"/>
    <w:rsid w:val="004E3D7C"/>
    <w:rsid w:val="004E465D"/>
    <w:rsid w:val="004E4DEA"/>
    <w:rsid w:val="004E570B"/>
    <w:rsid w:val="004E5774"/>
    <w:rsid w:val="004E5DEB"/>
    <w:rsid w:val="004E66B2"/>
    <w:rsid w:val="004E76E2"/>
    <w:rsid w:val="004E77C5"/>
    <w:rsid w:val="004E7F55"/>
    <w:rsid w:val="004F002C"/>
    <w:rsid w:val="004F1174"/>
    <w:rsid w:val="004F14DF"/>
    <w:rsid w:val="004F1F91"/>
    <w:rsid w:val="004F23F3"/>
    <w:rsid w:val="004F253A"/>
    <w:rsid w:val="004F3423"/>
    <w:rsid w:val="004F360F"/>
    <w:rsid w:val="004F4954"/>
    <w:rsid w:val="004F4A47"/>
    <w:rsid w:val="004F4B09"/>
    <w:rsid w:val="004F4BD3"/>
    <w:rsid w:val="004F4F49"/>
    <w:rsid w:val="004F503E"/>
    <w:rsid w:val="004F5309"/>
    <w:rsid w:val="004F5748"/>
    <w:rsid w:val="004F5835"/>
    <w:rsid w:val="004F68F0"/>
    <w:rsid w:val="004F6F00"/>
    <w:rsid w:val="004F6F87"/>
    <w:rsid w:val="0050063C"/>
    <w:rsid w:val="00500836"/>
    <w:rsid w:val="00501543"/>
    <w:rsid w:val="005019F9"/>
    <w:rsid w:val="00501D60"/>
    <w:rsid w:val="00501DD7"/>
    <w:rsid w:val="00501F47"/>
    <w:rsid w:val="00502022"/>
    <w:rsid w:val="0050250D"/>
    <w:rsid w:val="005026B1"/>
    <w:rsid w:val="00502742"/>
    <w:rsid w:val="00503BA9"/>
    <w:rsid w:val="005040A4"/>
    <w:rsid w:val="005045A3"/>
    <w:rsid w:val="00504A7E"/>
    <w:rsid w:val="00504AD0"/>
    <w:rsid w:val="00504BAC"/>
    <w:rsid w:val="00504D5F"/>
    <w:rsid w:val="00505197"/>
    <w:rsid w:val="00505B1C"/>
    <w:rsid w:val="00506409"/>
    <w:rsid w:val="00506E33"/>
    <w:rsid w:val="0050705F"/>
    <w:rsid w:val="00507376"/>
    <w:rsid w:val="00507560"/>
    <w:rsid w:val="00507613"/>
    <w:rsid w:val="005078A2"/>
    <w:rsid w:val="005079A4"/>
    <w:rsid w:val="00507ED5"/>
    <w:rsid w:val="00510122"/>
    <w:rsid w:val="005113A0"/>
    <w:rsid w:val="00511CBC"/>
    <w:rsid w:val="0051262F"/>
    <w:rsid w:val="00512DEC"/>
    <w:rsid w:val="00513235"/>
    <w:rsid w:val="00513279"/>
    <w:rsid w:val="00513306"/>
    <w:rsid w:val="0051493E"/>
    <w:rsid w:val="00514FC5"/>
    <w:rsid w:val="00515531"/>
    <w:rsid w:val="00515612"/>
    <w:rsid w:val="00515BC8"/>
    <w:rsid w:val="00515DA2"/>
    <w:rsid w:val="00515DFD"/>
    <w:rsid w:val="0051620F"/>
    <w:rsid w:val="0051682B"/>
    <w:rsid w:val="00516B95"/>
    <w:rsid w:val="00517A34"/>
    <w:rsid w:val="00520411"/>
    <w:rsid w:val="005204EF"/>
    <w:rsid w:val="005204F4"/>
    <w:rsid w:val="0052133D"/>
    <w:rsid w:val="00521CBD"/>
    <w:rsid w:val="0052282A"/>
    <w:rsid w:val="005229E6"/>
    <w:rsid w:val="00522A75"/>
    <w:rsid w:val="00522C8D"/>
    <w:rsid w:val="00522DEC"/>
    <w:rsid w:val="0052324E"/>
    <w:rsid w:val="005233C6"/>
    <w:rsid w:val="00523B34"/>
    <w:rsid w:val="00523C39"/>
    <w:rsid w:val="00524140"/>
    <w:rsid w:val="00524593"/>
    <w:rsid w:val="0052479F"/>
    <w:rsid w:val="00525524"/>
    <w:rsid w:val="00525AC2"/>
    <w:rsid w:val="00526B98"/>
    <w:rsid w:val="00526BC3"/>
    <w:rsid w:val="00530598"/>
    <w:rsid w:val="005308ED"/>
    <w:rsid w:val="00530CF1"/>
    <w:rsid w:val="00530D57"/>
    <w:rsid w:val="00530EE2"/>
    <w:rsid w:val="00531436"/>
    <w:rsid w:val="0053194E"/>
    <w:rsid w:val="00531E0A"/>
    <w:rsid w:val="00532256"/>
    <w:rsid w:val="005328F9"/>
    <w:rsid w:val="00533E6B"/>
    <w:rsid w:val="005342B6"/>
    <w:rsid w:val="005347C5"/>
    <w:rsid w:val="00534C0A"/>
    <w:rsid w:val="005350D9"/>
    <w:rsid w:val="005357AF"/>
    <w:rsid w:val="00536BE3"/>
    <w:rsid w:val="00536DFA"/>
    <w:rsid w:val="00537384"/>
    <w:rsid w:val="005377BB"/>
    <w:rsid w:val="005405E2"/>
    <w:rsid w:val="0054061C"/>
    <w:rsid w:val="005408EA"/>
    <w:rsid w:val="00540980"/>
    <w:rsid w:val="00540B82"/>
    <w:rsid w:val="005414D6"/>
    <w:rsid w:val="005417DF"/>
    <w:rsid w:val="00541E30"/>
    <w:rsid w:val="00542057"/>
    <w:rsid w:val="005425DA"/>
    <w:rsid w:val="0054367E"/>
    <w:rsid w:val="00543CD8"/>
    <w:rsid w:val="00544310"/>
    <w:rsid w:val="00544555"/>
    <w:rsid w:val="0054489D"/>
    <w:rsid w:val="00544ADE"/>
    <w:rsid w:val="00544F74"/>
    <w:rsid w:val="00545425"/>
    <w:rsid w:val="00545956"/>
    <w:rsid w:val="00545975"/>
    <w:rsid w:val="005460A4"/>
    <w:rsid w:val="005460D3"/>
    <w:rsid w:val="005465BE"/>
    <w:rsid w:val="00546C1B"/>
    <w:rsid w:val="0054753B"/>
    <w:rsid w:val="0054792B"/>
    <w:rsid w:val="00550004"/>
    <w:rsid w:val="00550CEB"/>
    <w:rsid w:val="00551398"/>
    <w:rsid w:val="005513B5"/>
    <w:rsid w:val="00551464"/>
    <w:rsid w:val="00551E6F"/>
    <w:rsid w:val="0055219B"/>
    <w:rsid w:val="0055232E"/>
    <w:rsid w:val="005524CB"/>
    <w:rsid w:val="00552EE2"/>
    <w:rsid w:val="00553275"/>
    <w:rsid w:val="00553652"/>
    <w:rsid w:val="00553756"/>
    <w:rsid w:val="0055378E"/>
    <w:rsid w:val="00553801"/>
    <w:rsid w:val="0055428B"/>
    <w:rsid w:val="00554557"/>
    <w:rsid w:val="00554880"/>
    <w:rsid w:val="00554897"/>
    <w:rsid w:val="00554C5E"/>
    <w:rsid w:val="00555291"/>
    <w:rsid w:val="005552C3"/>
    <w:rsid w:val="005554AA"/>
    <w:rsid w:val="00555DA0"/>
    <w:rsid w:val="00556D4E"/>
    <w:rsid w:val="00556FDE"/>
    <w:rsid w:val="005571DE"/>
    <w:rsid w:val="00557407"/>
    <w:rsid w:val="00557940"/>
    <w:rsid w:val="005600BA"/>
    <w:rsid w:val="00560AE4"/>
    <w:rsid w:val="00560AFF"/>
    <w:rsid w:val="00560BCF"/>
    <w:rsid w:val="00561542"/>
    <w:rsid w:val="00561A45"/>
    <w:rsid w:val="00561EFF"/>
    <w:rsid w:val="0056200D"/>
    <w:rsid w:val="005620D2"/>
    <w:rsid w:val="0056213E"/>
    <w:rsid w:val="00562892"/>
    <w:rsid w:val="0056289B"/>
    <w:rsid w:val="005628C9"/>
    <w:rsid w:val="00562952"/>
    <w:rsid w:val="00563412"/>
    <w:rsid w:val="00563896"/>
    <w:rsid w:val="00563A99"/>
    <w:rsid w:val="00563D75"/>
    <w:rsid w:val="00563E34"/>
    <w:rsid w:val="00564339"/>
    <w:rsid w:val="00564394"/>
    <w:rsid w:val="005643FF"/>
    <w:rsid w:val="0056485D"/>
    <w:rsid w:val="00564D05"/>
    <w:rsid w:val="00565992"/>
    <w:rsid w:val="00565D21"/>
    <w:rsid w:val="00565E46"/>
    <w:rsid w:val="00565FE6"/>
    <w:rsid w:val="0056650C"/>
    <w:rsid w:val="0056696D"/>
    <w:rsid w:val="0056724F"/>
    <w:rsid w:val="005675BC"/>
    <w:rsid w:val="00570EC8"/>
    <w:rsid w:val="005710B5"/>
    <w:rsid w:val="00572220"/>
    <w:rsid w:val="0057251C"/>
    <w:rsid w:val="00572817"/>
    <w:rsid w:val="00572967"/>
    <w:rsid w:val="00573079"/>
    <w:rsid w:val="0057383F"/>
    <w:rsid w:val="00573ED4"/>
    <w:rsid w:val="0057428B"/>
    <w:rsid w:val="005742E2"/>
    <w:rsid w:val="005743AD"/>
    <w:rsid w:val="00575111"/>
    <w:rsid w:val="00576201"/>
    <w:rsid w:val="005766A7"/>
    <w:rsid w:val="0057672D"/>
    <w:rsid w:val="005769F0"/>
    <w:rsid w:val="00576A63"/>
    <w:rsid w:val="00576AA7"/>
    <w:rsid w:val="00576B44"/>
    <w:rsid w:val="00576C6B"/>
    <w:rsid w:val="00576E0E"/>
    <w:rsid w:val="00577038"/>
    <w:rsid w:val="00577849"/>
    <w:rsid w:val="00577901"/>
    <w:rsid w:val="00580133"/>
    <w:rsid w:val="0058043E"/>
    <w:rsid w:val="00580CCE"/>
    <w:rsid w:val="005814D8"/>
    <w:rsid w:val="00581B3C"/>
    <w:rsid w:val="00581E8D"/>
    <w:rsid w:val="0058209F"/>
    <w:rsid w:val="00582530"/>
    <w:rsid w:val="00582962"/>
    <w:rsid w:val="00582B4F"/>
    <w:rsid w:val="00582F21"/>
    <w:rsid w:val="00583399"/>
    <w:rsid w:val="005833D8"/>
    <w:rsid w:val="00583492"/>
    <w:rsid w:val="00583E26"/>
    <w:rsid w:val="00584411"/>
    <w:rsid w:val="005845D8"/>
    <w:rsid w:val="005846E0"/>
    <w:rsid w:val="00584B13"/>
    <w:rsid w:val="00584D21"/>
    <w:rsid w:val="00585079"/>
    <w:rsid w:val="0058558A"/>
    <w:rsid w:val="00585733"/>
    <w:rsid w:val="00585968"/>
    <w:rsid w:val="00585CDE"/>
    <w:rsid w:val="005864AD"/>
    <w:rsid w:val="00587BFF"/>
    <w:rsid w:val="00587CD5"/>
    <w:rsid w:val="0059019B"/>
    <w:rsid w:val="0059047A"/>
    <w:rsid w:val="005905A1"/>
    <w:rsid w:val="0059099C"/>
    <w:rsid w:val="005913AC"/>
    <w:rsid w:val="00591934"/>
    <w:rsid w:val="00591A2B"/>
    <w:rsid w:val="00591C6B"/>
    <w:rsid w:val="00592A5A"/>
    <w:rsid w:val="00592AF3"/>
    <w:rsid w:val="00592AFA"/>
    <w:rsid w:val="00593217"/>
    <w:rsid w:val="005935A0"/>
    <w:rsid w:val="005941EA"/>
    <w:rsid w:val="005949EF"/>
    <w:rsid w:val="00594FD2"/>
    <w:rsid w:val="00595781"/>
    <w:rsid w:val="00595ACB"/>
    <w:rsid w:val="005965AF"/>
    <w:rsid w:val="00597437"/>
    <w:rsid w:val="00597632"/>
    <w:rsid w:val="00597950"/>
    <w:rsid w:val="00597D48"/>
    <w:rsid w:val="00597D62"/>
    <w:rsid w:val="00597FA8"/>
    <w:rsid w:val="005A039A"/>
    <w:rsid w:val="005A04A3"/>
    <w:rsid w:val="005A0775"/>
    <w:rsid w:val="005A0A70"/>
    <w:rsid w:val="005A0C19"/>
    <w:rsid w:val="005A12EE"/>
    <w:rsid w:val="005A164E"/>
    <w:rsid w:val="005A1C23"/>
    <w:rsid w:val="005A2684"/>
    <w:rsid w:val="005A2873"/>
    <w:rsid w:val="005A2880"/>
    <w:rsid w:val="005A3A79"/>
    <w:rsid w:val="005A4D3E"/>
    <w:rsid w:val="005A52DD"/>
    <w:rsid w:val="005A622F"/>
    <w:rsid w:val="005A678F"/>
    <w:rsid w:val="005A6BB7"/>
    <w:rsid w:val="005A7109"/>
    <w:rsid w:val="005A7120"/>
    <w:rsid w:val="005A7C90"/>
    <w:rsid w:val="005B02F8"/>
    <w:rsid w:val="005B09FD"/>
    <w:rsid w:val="005B0ADB"/>
    <w:rsid w:val="005B0E12"/>
    <w:rsid w:val="005B1024"/>
    <w:rsid w:val="005B1418"/>
    <w:rsid w:val="005B179F"/>
    <w:rsid w:val="005B1A76"/>
    <w:rsid w:val="005B1BF2"/>
    <w:rsid w:val="005B1CC5"/>
    <w:rsid w:val="005B2712"/>
    <w:rsid w:val="005B2769"/>
    <w:rsid w:val="005B2835"/>
    <w:rsid w:val="005B2D42"/>
    <w:rsid w:val="005B2E4A"/>
    <w:rsid w:val="005B32EE"/>
    <w:rsid w:val="005B3C2D"/>
    <w:rsid w:val="005B3CC5"/>
    <w:rsid w:val="005B4854"/>
    <w:rsid w:val="005B5977"/>
    <w:rsid w:val="005B5A64"/>
    <w:rsid w:val="005B6313"/>
    <w:rsid w:val="005B658C"/>
    <w:rsid w:val="005B6FAD"/>
    <w:rsid w:val="005B76C5"/>
    <w:rsid w:val="005B770F"/>
    <w:rsid w:val="005B791F"/>
    <w:rsid w:val="005C0953"/>
    <w:rsid w:val="005C0C5A"/>
    <w:rsid w:val="005C0D31"/>
    <w:rsid w:val="005C0DF3"/>
    <w:rsid w:val="005C0F6E"/>
    <w:rsid w:val="005C1583"/>
    <w:rsid w:val="005C15C7"/>
    <w:rsid w:val="005C1D18"/>
    <w:rsid w:val="005C1D76"/>
    <w:rsid w:val="005C2662"/>
    <w:rsid w:val="005C2860"/>
    <w:rsid w:val="005C2F81"/>
    <w:rsid w:val="005C387B"/>
    <w:rsid w:val="005C39C1"/>
    <w:rsid w:val="005C3AA0"/>
    <w:rsid w:val="005C3EF7"/>
    <w:rsid w:val="005C423F"/>
    <w:rsid w:val="005C4369"/>
    <w:rsid w:val="005C4CF0"/>
    <w:rsid w:val="005C545C"/>
    <w:rsid w:val="005C546F"/>
    <w:rsid w:val="005C560F"/>
    <w:rsid w:val="005C5948"/>
    <w:rsid w:val="005C59E8"/>
    <w:rsid w:val="005C5C25"/>
    <w:rsid w:val="005C608F"/>
    <w:rsid w:val="005C6EE7"/>
    <w:rsid w:val="005C734C"/>
    <w:rsid w:val="005C7881"/>
    <w:rsid w:val="005C798B"/>
    <w:rsid w:val="005C7D69"/>
    <w:rsid w:val="005C7FAA"/>
    <w:rsid w:val="005D00AE"/>
    <w:rsid w:val="005D011C"/>
    <w:rsid w:val="005D0D1A"/>
    <w:rsid w:val="005D10F3"/>
    <w:rsid w:val="005D1DEC"/>
    <w:rsid w:val="005D2073"/>
    <w:rsid w:val="005D2165"/>
    <w:rsid w:val="005D226B"/>
    <w:rsid w:val="005D29A4"/>
    <w:rsid w:val="005D2B7F"/>
    <w:rsid w:val="005D336B"/>
    <w:rsid w:val="005D35FE"/>
    <w:rsid w:val="005D36C5"/>
    <w:rsid w:val="005D4186"/>
    <w:rsid w:val="005D420B"/>
    <w:rsid w:val="005D45A4"/>
    <w:rsid w:val="005D481B"/>
    <w:rsid w:val="005D4AA9"/>
    <w:rsid w:val="005D4D35"/>
    <w:rsid w:val="005D5411"/>
    <w:rsid w:val="005D5D45"/>
    <w:rsid w:val="005D649D"/>
    <w:rsid w:val="005D6631"/>
    <w:rsid w:val="005D717F"/>
    <w:rsid w:val="005E056F"/>
    <w:rsid w:val="005E0668"/>
    <w:rsid w:val="005E0822"/>
    <w:rsid w:val="005E0857"/>
    <w:rsid w:val="005E0E6F"/>
    <w:rsid w:val="005E0FC2"/>
    <w:rsid w:val="005E1B49"/>
    <w:rsid w:val="005E2156"/>
    <w:rsid w:val="005E28C9"/>
    <w:rsid w:val="005E3188"/>
    <w:rsid w:val="005E3231"/>
    <w:rsid w:val="005E33C0"/>
    <w:rsid w:val="005E33D1"/>
    <w:rsid w:val="005E394C"/>
    <w:rsid w:val="005E5ADB"/>
    <w:rsid w:val="005E64AD"/>
    <w:rsid w:val="005E65E6"/>
    <w:rsid w:val="005E6C05"/>
    <w:rsid w:val="005E75DA"/>
    <w:rsid w:val="005F035E"/>
    <w:rsid w:val="005F03B3"/>
    <w:rsid w:val="005F081B"/>
    <w:rsid w:val="005F084C"/>
    <w:rsid w:val="005F08F6"/>
    <w:rsid w:val="005F0BB6"/>
    <w:rsid w:val="005F0D1A"/>
    <w:rsid w:val="005F0F0B"/>
    <w:rsid w:val="005F142F"/>
    <w:rsid w:val="005F1C1F"/>
    <w:rsid w:val="005F1C3D"/>
    <w:rsid w:val="005F1C9E"/>
    <w:rsid w:val="005F2111"/>
    <w:rsid w:val="005F32C5"/>
    <w:rsid w:val="005F4017"/>
    <w:rsid w:val="005F41C2"/>
    <w:rsid w:val="005F430C"/>
    <w:rsid w:val="005F4EC5"/>
    <w:rsid w:val="005F51D1"/>
    <w:rsid w:val="005F5AD4"/>
    <w:rsid w:val="005F655A"/>
    <w:rsid w:val="005F6695"/>
    <w:rsid w:val="005F67AE"/>
    <w:rsid w:val="005F70DF"/>
    <w:rsid w:val="005F7528"/>
    <w:rsid w:val="005F7B2D"/>
    <w:rsid w:val="005F7DA3"/>
    <w:rsid w:val="005F7E51"/>
    <w:rsid w:val="006005C8"/>
    <w:rsid w:val="00600811"/>
    <w:rsid w:val="0060127D"/>
    <w:rsid w:val="00601FF4"/>
    <w:rsid w:val="00602743"/>
    <w:rsid w:val="00602C50"/>
    <w:rsid w:val="0060326A"/>
    <w:rsid w:val="00603391"/>
    <w:rsid w:val="00603475"/>
    <w:rsid w:val="006034DA"/>
    <w:rsid w:val="00603DAC"/>
    <w:rsid w:val="006043A2"/>
    <w:rsid w:val="006047C6"/>
    <w:rsid w:val="00604B3E"/>
    <w:rsid w:val="0060500B"/>
    <w:rsid w:val="00605157"/>
    <w:rsid w:val="00605D2D"/>
    <w:rsid w:val="00605DF4"/>
    <w:rsid w:val="00605E64"/>
    <w:rsid w:val="00606394"/>
    <w:rsid w:val="006065A3"/>
    <w:rsid w:val="00606730"/>
    <w:rsid w:val="006068B5"/>
    <w:rsid w:val="00607CCB"/>
    <w:rsid w:val="0061066E"/>
    <w:rsid w:val="00610885"/>
    <w:rsid w:val="00611597"/>
    <w:rsid w:val="0061194B"/>
    <w:rsid w:val="006122D0"/>
    <w:rsid w:val="00612390"/>
    <w:rsid w:val="0061254A"/>
    <w:rsid w:val="00612B65"/>
    <w:rsid w:val="00612D8F"/>
    <w:rsid w:val="00612D96"/>
    <w:rsid w:val="00613B83"/>
    <w:rsid w:val="00614358"/>
    <w:rsid w:val="006146D6"/>
    <w:rsid w:val="00614B33"/>
    <w:rsid w:val="00614D21"/>
    <w:rsid w:val="00614DF3"/>
    <w:rsid w:val="00615166"/>
    <w:rsid w:val="00615CCE"/>
    <w:rsid w:val="00615CF1"/>
    <w:rsid w:val="00615E03"/>
    <w:rsid w:val="00615F40"/>
    <w:rsid w:val="00616160"/>
    <w:rsid w:val="00616259"/>
    <w:rsid w:val="00616289"/>
    <w:rsid w:val="00616630"/>
    <w:rsid w:val="00616D10"/>
    <w:rsid w:val="00616E42"/>
    <w:rsid w:val="00616F88"/>
    <w:rsid w:val="0061778E"/>
    <w:rsid w:val="00617FD3"/>
    <w:rsid w:val="006206DA"/>
    <w:rsid w:val="006215D4"/>
    <w:rsid w:val="0062194D"/>
    <w:rsid w:val="00621ADC"/>
    <w:rsid w:val="00621CB5"/>
    <w:rsid w:val="006221F3"/>
    <w:rsid w:val="00622224"/>
    <w:rsid w:val="00622363"/>
    <w:rsid w:val="00622491"/>
    <w:rsid w:val="006226F6"/>
    <w:rsid w:val="00622911"/>
    <w:rsid w:val="00623957"/>
    <w:rsid w:val="00624045"/>
    <w:rsid w:val="00624673"/>
    <w:rsid w:val="00624C17"/>
    <w:rsid w:val="00625368"/>
    <w:rsid w:val="00625A5E"/>
    <w:rsid w:val="00625B3C"/>
    <w:rsid w:val="00625C83"/>
    <w:rsid w:val="00625E77"/>
    <w:rsid w:val="0062625A"/>
    <w:rsid w:val="006264F4"/>
    <w:rsid w:val="00626734"/>
    <w:rsid w:val="006267E5"/>
    <w:rsid w:val="00626C47"/>
    <w:rsid w:val="00627BB3"/>
    <w:rsid w:val="00627DF8"/>
    <w:rsid w:val="00630303"/>
    <w:rsid w:val="006303C2"/>
    <w:rsid w:val="00630474"/>
    <w:rsid w:val="006307C1"/>
    <w:rsid w:val="00630876"/>
    <w:rsid w:val="00630E2D"/>
    <w:rsid w:val="00630F99"/>
    <w:rsid w:val="00631799"/>
    <w:rsid w:val="00631F78"/>
    <w:rsid w:val="00631FEE"/>
    <w:rsid w:val="006326E3"/>
    <w:rsid w:val="00632808"/>
    <w:rsid w:val="00632993"/>
    <w:rsid w:val="006331B5"/>
    <w:rsid w:val="006343E5"/>
    <w:rsid w:val="006344C4"/>
    <w:rsid w:val="00634940"/>
    <w:rsid w:val="00635265"/>
    <w:rsid w:val="00636685"/>
    <w:rsid w:val="00636EA5"/>
    <w:rsid w:val="00636F1D"/>
    <w:rsid w:val="00637692"/>
    <w:rsid w:val="00637853"/>
    <w:rsid w:val="00637858"/>
    <w:rsid w:val="006378E4"/>
    <w:rsid w:val="00637C01"/>
    <w:rsid w:val="0064066E"/>
    <w:rsid w:val="00640696"/>
    <w:rsid w:val="00640CCE"/>
    <w:rsid w:val="00640E53"/>
    <w:rsid w:val="00640E8D"/>
    <w:rsid w:val="006416E9"/>
    <w:rsid w:val="0064183C"/>
    <w:rsid w:val="006418A8"/>
    <w:rsid w:val="006424FC"/>
    <w:rsid w:val="00642917"/>
    <w:rsid w:val="00642D52"/>
    <w:rsid w:val="00642E84"/>
    <w:rsid w:val="006434E2"/>
    <w:rsid w:val="006435C2"/>
    <w:rsid w:val="00644052"/>
    <w:rsid w:val="0064454B"/>
    <w:rsid w:val="0064469B"/>
    <w:rsid w:val="00645A26"/>
    <w:rsid w:val="00646AF4"/>
    <w:rsid w:val="006470A7"/>
    <w:rsid w:val="006477BE"/>
    <w:rsid w:val="0064788F"/>
    <w:rsid w:val="006504E4"/>
    <w:rsid w:val="006509D0"/>
    <w:rsid w:val="006511C1"/>
    <w:rsid w:val="006512A7"/>
    <w:rsid w:val="00651E8F"/>
    <w:rsid w:val="00652CB8"/>
    <w:rsid w:val="00652D41"/>
    <w:rsid w:val="00652EB5"/>
    <w:rsid w:val="006530CA"/>
    <w:rsid w:val="006530D1"/>
    <w:rsid w:val="00653182"/>
    <w:rsid w:val="0065390C"/>
    <w:rsid w:val="00654195"/>
    <w:rsid w:val="00654689"/>
    <w:rsid w:val="00654A9F"/>
    <w:rsid w:val="00654DAB"/>
    <w:rsid w:val="0065502B"/>
    <w:rsid w:val="00655581"/>
    <w:rsid w:val="0065568D"/>
    <w:rsid w:val="00655CFB"/>
    <w:rsid w:val="00655F18"/>
    <w:rsid w:val="00656248"/>
    <w:rsid w:val="0065633C"/>
    <w:rsid w:val="00656680"/>
    <w:rsid w:val="00656B4F"/>
    <w:rsid w:val="00656DA4"/>
    <w:rsid w:val="00657206"/>
    <w:rsid w:val="006577E2"/>
    <w:rsid w:val="0065793C"/>
    <w:rsid w:val="00657B31"/>
    <w:rsid w:val="006601CF"/>
    <w:rsid w:val="0066022D"/>
    <w:rsid w:val="00660EC7"/>
    <w:rsid w:val="00661234"/>
    <w:rsid w:val="00661BC6"/>
    <w:rsid w:val="0066213A"/>
    <w:rsid w:val="00662229"/>
    <w:rsid w:val="00662900"/>
    <w:rsid w:val="00662AAC"/>
    <w:rsid w:val="00663B15"/>
    <w:rsid w:val="00663CC9"/>
    <w:rsid w:val="00664644"/>
    <w:rsid w:val="00664DFE"/>
    <w:rsid w:val="006652AE"/>
    <w:rsid w:val="006652F4"/>
    <w:rsid w:val="00665BE7"/>
    <w:rsid w:val="006661B0"/>
    <w:rsid w:val="006663CB"/>
    <w:rsid w:val="006671A1"/>
    <w:rsid w:val="006671D7"/>
    <w:rsid w:val="006675A3"/>
    <w:rsid w:val="00667B94"/>
    <w:rsid w:val="00671225"/>
    <w:rsid w:val="0067186F"/>
    <w:rsid w:val="00671CFE"/>
    <w:rsid w:val="0067289B"/>
    <w:rsid w:val="00672B4D"/>
    <w:rsid w:val="006735B0"/>
    <w:rsid w:val="00673728"/>
    <w:rsid w:val="00673BC4"/>
    <w:rsid w:val="00674666"/>
    <w:rsid w:val="0067534E"/>
    <w:rsid w:val="00675B13"/>
    <w:rsid w:val="006760FA"/>
    <w:rsid w:val="006763A1"/>
    <w:rsid w:val="00676CBB"/>
    <w:rsid w:val="006773AF"/>
    <w:rsid w:val="00677F6E"/>
    <w:rsid w:val="00680C00"/>
    <w:rsid w:val="00680C42"/>
    <w:rsid w:val="00681836"/>
    <w:rsid w:val="00681DCB"/>
    <w:rsid w:val="00683007"/>
    <w:rsid w:val="006831C2"/>
    <w:rsid w:val="006836A6"/>
    <w:rsid w:val="00683F91"/>
    <w:rsid w:val="00684742"/>
    <w:rsid w:val="00684C0C"/>
    <w:rsid w:val="006857AF"/>
    <w:rsid w:val="006857EF"/>
    <w:rsid w:val="00685ED2"/>
    <w:rsid w:val="00686128"/>
    <w:rsid w:val="0068650A"/>
    <w:rsid w:val="00686569"/>
    <w:rsid w:val="00686E4E"/>
    <w:rsid w:val="0068715E"/>
    <w:rsid w:val="0068750E"/>
    <w:rsid w:val="00690295"/>
    <w:rsid w:val="00690566"/>
    <w:rsid w:val="00690C05"/>
    <w:rsid w:val="00690C42"/>
    <w:rsid w:val="00691079"/>
    <w:rsid w:val="006920DE"/>
    <w:rsid w:val="006927EB"/>
    <w:rsid w:val="00692E59"/>
    <w:rsid w:val="00692EE5"/>
    <w:rsid w:val="00692F1D"/>
    <w:rsid w:val="00693A30"/>
    <w:rsid w:val="00694194"/>
    <w:rsid w:val="006941DB"/>
    <w:rsid w:val="006946F8"/>
    <w:rsid w:val="0069497C"/>
    <w:rsid w:val="00694F32"/>
    <w:rsid w:val="006952F3"/>
    <w:rsid w:val="00695942"/>
    <w:rsid w:val="006962E4"/>
    <w:rsid w:val="006963B9"/>
    <w:rsid w:val="006964D3"/>
    <w:rsid w:val="0069682E"/>
    <w:rsid w:val="00696A12"/>
    <w:rsid w:val="00696FD4"/>
    <w:rsid w:val="00697590"/>
    <w:rsid w:val="00697B3B"/>
    <w:rsid w:val="00697D3C"/>
    <w:rsid w:val="006A004C"/>
    <w:rsid w:val="006A07A0"/>
    <w:rsid w:val="006A09C8"/>
    <w:rsid w:val="006A0E27"/>
    <w:rsid w:val="006A10FF"/>
    <w:rsid w:val="006A1435"/>
    <w:rsid w:val="006A24F5"/>
    <w:rsid w:val="006A2AE5"/>
    <w:rsid w:val="006A2C92"/>
    <w:rsid w:val="006A3212"/>
    <w:rsid w:val="006A32DA"/>
    <w:rsid w:val="006A3976"/>
    <w:rsid w:val="006A3A57"/>
    <w:rsid w:val="006A3B14"/>
    <w:rsid w:val="006A4384"/>
    <w:rsid w:val="006A4F62"/>
    <w:rsid w:val="006A5A3E"/>
    <w:rsid w:val="006A5D2E"/>
    <w:rsid w:val="006A61FE"/>
    <w:rsid w:val="006A66F0"/>
    <w:rsid w:val="006A6E94"/>
    <w:rsid w:val="006A724D"/>
    <w:rsid w:val="006A78E3"/>
    <w:rsid w:val="006A7F9F"/>
    <w:rsid w:val="006B011D"/>
    <w:rsid w:val="006B0573"/>
    <w:rsid w:val="006B09A3"/>
    <w:rsid w:val="006B0BD1"/>
    <w:rsid w:val="006B1727"/>
    <w:rsid w:val="006B1783"/>
    <w:rsid w:val="006B1D3E"/>
    <w:rsid w:val="006B274B"/>
    <w:rsid w:val="006B3B84"/>
    <w:rsid w:val="006B3CAE"/>
    <w:rsid w:val="006B3DE0"/>
    <w:rsid w:val="006B3E4D"/>
    <w:rsid w:val="006B3F3D"/>
    <w:rsid w:val="006B4346"/>
    <w:rsid w:val="006B4433"/>
    <w:rsid w:val="006B4825"/>
    <w:rsid w:val="006B49A7"/>
    <w:rsid w:val="006B4BD2"/>
    <w:rsid w:val="006B5C8A"/>
    <w:rsid w:val="006B5D9C"/>
    <w:rsid w:val="006B675A"/>
    <w:rsid w:val="006B7923"/>
    <w:rsid w:val="006B7EAF"/>
    <w:rsid w:val="006B7F71"/>
    <w:rsid w:val="006C02D4"/>
    <w:rsid w:val="006C0FFC"/>
    <w:rsid w:val="006C1162"/>
    <w:rsid w:val="006C22B5"/>
    <w:rsid w:val="006C26AE"/>
    <w:rsid w:val="006C282E"/>
    <w:rsid w:val="006C2AF3"/>
    <w:rsid w:val="006C3F2C"/>
    <w:rsid w:val="006C3FFB"/>
    <w:rsid w:val="006C412D"/>
    <w:rsid w:val="006C471F"/>
    <w:rsid w:val="006C4886"/>
    <w:rsid w:val="006C4918"/>
    <w:rsid w:val="006C4D28"/>
    <w:rsid w:val="006C4E97"/>
    <w:rsid w:val="006C5171"/>
    <w:rsid w:val="006C58E6"/>
    <w:rsid w:val="006C62E0"/>
    <w:rsid w:val="006C6392"/>
    <w:rsid w:val="006C6FF1"/>
    <w:rsid w:val="006C7901"/>
    <w:rsid w:val="006D0071"/>
    <w:rsid w:val="006D0085"/>
    <w:rsid w:val="006D0168"/>
    <w:rsid w:val="006D0459"/>
    <w:rsid w:val="006D0758"/>
    <w:rsid w:val="006D077D"/>
    <w:rsid w:val="006D09CE"/>
    <w:rsid w:val="006D22D6"/>
    <w:rsid w:val="006D24C3"/>
    <w:rsid w:val="006D24D2"/>
    <w:rsid w:val="006D25AA"/>
    <w:rsid w:val="006D3869"/>
    <w:rsid w:val="006D3CE6"/>
    <w:rsid w:val="006D3D4C"/>
    <w:rsid w:val="006D4183"/>
    <w:rsid w:val="006D49F1"/>
    <w:rsid w:val="006D4EEB"/>
    <w:rsid w:val="006D5017"/>
    <w:rsid w:val="006D512B"/>
    <w:rsid w:val="006D5341"/>
    <w:rsid w:val="006D5AE9"/>
    <w:rsid w:val="006D5DCE"/>
    <w:rsid w:val="006D6093"/>
    <w:rsid w:val="006D6E65"/>
    <w:rsid w:val="006D6E8B"/>
    <w:rsid w:val="006D71C2"/>
    <w:rsid w:val="006D78FE"/>
    <w:rsid w:val="006D79AB"/>
    <w:rsid w:val="006D7DFE"/>
    <w:rsid w:val="006E00B6"/>
    <w:rsid w:val="006E016D"/>
    <w:rsid w:val="006E0605"/>
    <w:rsid w:val="006E0635"/>
    <w:rsid w:val="006E0F4F"/>
    <w:rsid w:val="006E1CB0"/>
    <w:rsid w:val="006E284A"/>
    <w:rsid w:val="006E2D37"/>
    <w:rsid w:val="006E31B7"/>
    <w:rsid w:val="006E3304"/>
    <w:rsid w:val="006E37D7"/>
    <w:rsid w:val="006E47D7"/>
    <w:rsid w:val="006E494C"/>
    <w:rsid w:val="006E4AA9"/>
    <w:rsid w:val="006E4E9E"/>
    <w:rsid w:val="006E55B3"/>
    <w:rsid w:val="006E5B0E"/>
    <w:rsid w:val="006E61C1"/>
    <w:rsid w:val="006E6575"/>
    <w:rsid w:val="006E6833"/>
    <w:rsid w:val="006E6858"/>
    <w:rsid w:val="006E6CAC"/>
    <w:rsid w:val="006E7580"/>
    <w:rsid w:val="006E7887"/>
    <w:rsid w:val="006F099C"/>
    <w:rsid w:val="006F0AFF"/>
    <w:rsid w:val="006F10A8"/>
    <w:rsid w:val="006F179E"/>
    <w:rsid w:val="006F1937"/>
    <w:rsid w:val="006F2148"/>
    <w:rsid w:val="006F276E"/>
    <w:rsid w:val="006F296B"/>
    <w:rsid w:val="006F35D0"/>
    <w:rsid w:val="006F36D5"/>
    <w:rsid w:val="006F3789"/>
    <w:rsid w:val="006F3C97"/>
    <w:rsid w:val="006F3D9A"/>
    <w:rsid w:val="006F46C4"/>
    <w:rsid w:val="006F472F"/>
    <w:rsid w:val="006F4A23"/>
    <w:rsid w:val="006F4EA7"/>
    <w:rsid w:val="006F5752"/>
    <w:rsid w:val="006F6177"/>
    <w:rsid w:val="006F6AC8"/>
    <w:rsid w:val="006F6BB1"/>
    <w:rsid w:val="006F6C1E"/>
    <w:rsid w:val="006F711B"/>
    <w:rsid w:val="006F7827"/>
    <w:rsid w:val="006F78E5"/>
    <w:rsid w:val="006F7DE4"/>
    <w:rsid w:val="006F7E2D"/>
    <w:rsid w:val="0070031F"/>
    <w:rsid w:val="00700567"/>
    <w:rsid w:val="00700EC6"/>
    <w:rsid w:val="00701517"/>
    <w:rsid w:val="007018A1"/>
    <w:rsid w:val="00701A56"/>
    <w:rsid w:val="00701CB1"/>
    <w:rsid w:val="007021B1"/>
    <w:rsid w:val="00702536"/>
    <w:rsid w:val="0070293C"/>
    <w:rsid w:val="00702D02"/>
    <w:rsid w:val="00702FC4"/>
    <w:rsid w:val="00703133"/>
    <w:rsid w:val="007045DA"/>
    <w:rsid w:val="00704E85"/>
    <w:rsid w:val="00705200"/>
    <w:rsid w:val="00705365"/>
    <w:rsid w:val="00705FCC"/>
    <w:rsid w:val="0070677D"/>
    <w:rsid w:val="00706F47"/>
    <w:rsid w:val="00706F7B"/>
    <w:rsid w:val="007070B1"/>
    <w:rsid w:val="007071A3"/>
    <w:rsid w:val="00707549"/>
    <w:rsid w:val="00707B17"/>
    <w:rsid w:val="00707B45"/>
    <w:rsid w:val="00707BDB"/>
    <w:rsid w:val="00707F7A"/>
    <w:rsid w:val="007108BC"/>
    <w:rsid w:val="00710EC4"/>
    <w:rsid w:val="0071134E"/>
    <w:rsid w:val="00711548"/>
    <w:rsid w:val="007117EA"/>
    <w:rsid w:val="00712286"/>
    <w:rsid w:val="007124A5"/>
    <w:rsid w:val="007129DC"/>
    <w:rsid w:val="007136E0"/>
    <w:rsid w:val="00713D5C"/>
    <w:rsid w:val="00713F09"/>
    <w:rsid w:val="0071408B"/>
    <w:rsid w:val="00714A64"/>
    <w:rsid w:val="0071513F"/>
    <w:rsid w:val="007157AF"/>
    <w:rsid w:val="00715B61"/>
    <w:rsid w:val="00715DE8"/>
    <w:rsid w:val="00717050"/>
    <w:rsid w:val="007174E6"/>
    <w:rsid w:val="00717A34"/>
    <w:rsid w:val="00720518"/>
    <w:rsid w:val="00720874"/>
    <w:rsid w:val="00720AE4"/>
    <w:rsid w:val="00720D8E"/>
    <w:rsid w:val="00721215"/>
    <w:rsid w:val="00721401"/>
    <w:rsid w:val="007216EC"/>
    <w:rsid w:val="00721949"/>
    <w:rsid w:val="00721ACF"/>
    <w:rsid w:val="00721DF2"/>
    <w:rsid w:val="00722031"/>
    <w:rsid w:val="007224FB"/>
    <w:rsid w:val="00722902"/>
    <w:rsid w:val="007229DE"/>
    <w:rsid w:val="00722D80"/>
    <w:rsid w:val="00723633"/>
    <w:rsid w:val="00723AAB"/>
    <w:rsid w:val="007246C3"/>
    <w:rsid w:val="00724A7E"/>
    <w:rsid w:val="00724FB1"/>
    <w:rsid w:val="00725699"/>
    <w:rsid w:val="00725978"/>
    <w:rsid w:val="007262CC"/>
    <w:rsid w:val="00726B09"/>
    <w:rsid w:val="00726F3F"/>
    <w:rsid w:val="00727423"/>
    <w:rsid w:val="00727D18"/>
    <w:rsid w:val="007304FE"/>
    <w:rsid w:val="00730FD1"/>
    <w:rsid w:val="00731042"/>
    <w:rsid w:val="007313F5"/>
    <w:rsid w:val="0073156E"/>
    <w:rsid w:val="00731787"/>
    <w:rsid w:val="0073191A"/>
    <w:rsid w:val="00731993"/>
    <w:rsid w:val="007326F9"/>
    <w:rsid w:val="007328D6"/>
    <w:rsid w:val="00733A48"/>
    <w:rsid w:val="00733DBD"/>
    <w:rsid w:val="00733FAB"/>
    <w:rsid w:val="00734484"/>
    <w:rsid w:val="0073519A"/>
    <w:rsid w:val="007357E3"/>
    <w:rsid w:val="00735BB7"/>
    <w:rsid w:val="0073600C"/>
    <w:rsid w:val="00737895"/>
    <w:rsid w:val="00737D93"/>
    <w:rsid w:val="00740940"/>
    <w:rsid w:val="00740BEA"/>
    <w:rsid w:val="0074124A"/>
    <w:rsid w:val="007413EA"/>
    <w:rsid w:val="0074149B"/>
    <w:rsid w:val="00741D65"/>
    <w:rsid w:val="007420CE"/>
    <w:rsid w:val="0074210F"/>
    <w:rsid w:val="00742342"/>
    <w:rsid w:val="007423C3"/>
    <w:rsid w:val="00743C16"/>
    <w:rsid w:val="007441AF"/>
    <w:rsid w:val="0074483D"/>
    <w:rsid w:val="007449EC"/>
    <w:rsid w:val="007451C4"/>
    <w:rsid w:val="00745738"/>
    <w:rsid w:val="00745A3C"/>
    <w:rsid w:val="00745B05"/>
    <w:rsid w:val="00745B0F"/>
    <w:rsid w:val="00745F2B"/>
    <w:rsid w:val="00746522"/>
    <w:rsid w:val="007468A9"/>
    <w:rsid w:val="00746BC5"/>
    <w:rsid w:val="00746E65"/>
    <w:rsid w:val="0074722A"/>
    <w:rsid w:val="00747784"/>
    <w:rsid w:val="0074781D"/>
    <w:rsid w:val="00747CDE"/>
    <w:rsid w:val="007503F0"/>
    <w:rsid w:val="0075095A"/>
    <w:rsid w:val="00750AAF"/>
    <w:rsid w:val="00751B99"/>
    <w:rsid w:val="00752283"/>
    <w:rsid w:val="0075242F"/>
    <w:rsid w:val="007528AB"/>
    <w:rsid w:val="00752F68"/>
    <w:rsid w:val="00753778"/>
    <w:rsid w:val="0075388F"/>
    <w:rsid w:val="00753ED0"/>
    <w:rsid w:val="00754C68"/>
    <w:rsid w:val="00755285"/>
    <w:rsid w:val="007555EF"/>
    <w:rsid w:val="00756DCD"/>
    <w:rsid w:val="00756F0F"/>
    <w:rsid w:val="007572A7"/>
    <w:rsid w:val="00757354"/>
    <w:rsid w:val="00757C1C"/>
    <w:rsid w:val="00757FA7"/>
    <w:rsid w:val="0076001C"/>
    <w:rsid w:val="00760443"/>
    <w:rsid w:val="00760A7D"/>
    <w:rsid w:val="00760D26"/>
    <w:rsid w:val="00760E5E"/>
    <w:rsid w:val="00760F38"/>
    <w:rsid w:val="0076126B"/>
    <w:rsid w:val="00761516"/>
    <w:rsid w:val="0076292B"/>
    <w:rsid w:val="00762EC2"/>
    <w:rsid w:val="0076303B"/>
    <w:rsid w:val="007632C7"/>
    <w:rsid w:val="007633B6"/>
    <w:rsid w:val="00763640"/>
    <w:rsid w:val="0076439F"/>
    <w:rsid w:val="007643A4"/>
    <w:rsid w:val="00765175"/>
    <w:rsid w:val="007659E3"/>
    <w:rsid w:val="00765E33"/>
    <w:rsid w:val="00765F3F"/>
    <w:rsid w:val="00765FB1"/>
    <w:rsid w:val="00766452"/>
    <w:rsid w:val="00766AF1"/>
    <w:rsid w:val="00766BD7"/>
    <w:rsid w:val="00766C57"/>
    <w:rsid w:val="00767866"/>
    <w:rsid w:val="0076797B"/>
    <w:rsid w:val="00767B22"/>
    <w:rsid w:val="00770040"/>
    <w:rsid w:val="007706FA"/>
    <w:rsid w:val="00770A75"/>
    <w:rsid w:val="00770A7A"/>
    <w:rsid w:val="0077105F"/>
    <w:rsid w:val="0077154D"/>
    <w:rsid w:val="007724EB"/>
    <w:rsid w:val="007724F3"/>
    <w:rsid w:val="007724F5"/>
    <w:rsid w:val="0077257D"/>
    <w:rsid w:val="00772812"/>
    <w:rsid w:val="00772EF6"/>
    <w:rsid w:val="00773678"/>
    <w:rsid w:val="00773FEA"/>
    <w:rsid w:val="007741C8"/>
    <w:rsid w:val="007741D2"/>
    <w:rsid w:val="0077459E"/>
    <w:rsid w:val="0077470D"/>
    <w:rsid w:val="00774910"/>
    <w:rsid w:val="00774CAE"/>
    <w:rsid w:val="00774EEF"/>
    <w:rsid w:val="00774F66"/>
    <w:rsid w:val="0077589D"/>
    <w:rsid w:val="00775CA2"/>
    <w:rsid w:val="00775D24"/>
    <w:rsid w:val="00776131"/>
    <w:rsid w:val="00776B97"/>
    <w:rsid w:val="00776C06"/>
    <w:rsid w:val="00776C07"/>
    <w:rsid w:val="00776DEE"/>
    <w:rsid w:val="00777CF2"/>
    <w:rsid w:val="00777F14"/>
    <w:rsid w:val="00780A21"/>
    <w:rsid w:val="00780AB7"/>
    <w:rsid w:val="007816A8"/>
    <w:rsid w:val="0078187F"/>
    <w:rsid w:val="0078215E"/>
    <w:rsid w:val="00782239"/>
    <w:rsid w:val="007825AF"/>
    <w:rsid w:val="00782B22"/>
    <w:rsid w:val="00782E03"/>
    <w:rsid w:val="00782EB9"/>
    <w:rsid w:val="007835BF"/>
    <w:rsid w:val="007836B0"/>
    <w:rsid w:val="00783BB9"/>
    <w:rsid w:val="00783E77"/>
    <w:rsid w:val="007848AD"/>
    <w:rsid w:val="00785A88"/>
    <w:rsid w:val="00785D18"/>
    <w:rsid w:val="007862CC"/>
    <w:rsid w:val="00786A07"/>
    <w:rsid w:val="00786DB8"/>
    <w:rsid w:val="007875A5"/>
    <w:rsid w:val="0078761E"/>
    <w:rsid w:val="00787AAF"/>
    <w:rsid w:val="00787AEA"/>
    <w:rsid w:val="0079090E"/>
    <w:rsid w:val="00790A84"/>
    <w:rsid w:val="00790D6D"/>
    <w:rsid w:val="00790F33"/>
    <w:rsid w:val="0079150D"/>
    <w:rsid w:val="00791A82"/>
    <w:rsid w:val="00791CB0"/>
    <w:rsid w:val="0079312E"/>
    <w:rsid w:val="00793388"/>
    <w:rsid w:val="00794C35"/>
    <w:rsid w:val="0079521B"/>
    <w:rsid w:val="00795531"/>
    <w:rsid w:val="0079564E"/>
    <w:rsid w:val="00795B00"/>
    <w:rsid w:val="00795BD1"/>
    <w:rsid w:val="00795E96"/>
    <w:rsid w:val="0079624B"/>
    <w:rsid w:val="007962AC"/>
    <w:rsid w:val="0079679D"/>
    <w:rsid w:val="00796A1A"/>
    <w:rsid w:val="00796F3E"/>
    <w:rsid w:val="00797B86"/>
    <w:rsid w:val="007A0568"/>
    <w:rsid w:val="007A08D4"/>
    <w:rsid w:val="007A09ED"/>
    <w:rsid w:val="007A0E40"/>
    <w:rsid w:val="007A1131"/>
    <w:rsid w:val="007A13A6"/>
    <w:rsid w:val="007A1BE8"/>
    <w:rsid w:val="007A209E"/>
    <w:rsid w:val="007A298B"/>
    <w:rsid w:val="007A2CCB"/>
    <w:rsid w:val="007A3122"/>
    <w:rsid w:val="007A3618"/>
    <w:rsid w:val="007A37AC"/>
    <w:rsid w:val="007A3A17"/>
    <w:rsid w:val="007A3CB9"/>
    <w:rsid w:val="007A3FF3"/>
    <w:rsid w:val="007A4724"/>
    <w:rsid w:val="007A48AB"/>
    <w:rsid w:val="007A4BC1"/>
    <w:rsid w:val="007A4EFF"/>
    <w:rsid w:val="007A579C"/>
    <w:rsid w:val="007A5BE9"/>
    <w:rsid w:val="007A5F12"/>
    <w:rsid w:val="007A6DC5"/>
    <w:rsid w:val="007B02D4"/>
    <w:rsid w:val="007B0737"/>
    <w:rsid w:val="007B0D4E"/>
    <w:rsid w:val="007B0E18"/>
    <w:rsid w:val="007B1543"/>
    <w:rsid w:val="007B19ED"/>
    <w:rsid w:val="007B1B15"/>
    <w:rsid w:val="007B30DF"/>
    <w:rsid w:val="007B3370"/>
    <w:rsid w:val="007B33BC"/>
    <w:rsid w:val="007B3997"/>
    <w:rsid w:val="007B4239"/>
    <w:rsid w:val="007B4824"/>
    <w:rsid w:val="007B4961"/>
    <w:rsid w:val="007B4BBB"/>
    <w:rsid w:val="007B5244"/>
    <w:rsid w:val="007B60CC"/>
    <w:rsid w:val="007B6EB8"/>
    <w:rsid w:val="007B7811"/>
    <w:rsid w:val="007B784B"/>
    <w:rsid w:val="007C07C8"/>
    <w:rsid w:val="007C0E42"/>
    <w:rsid w:val="007C19DD"/>
    <w:rsid w:val="007C1BE9"/>
    <w:rsid w:val="007C2272"/>
    <w:rsid w:val="007C228F"/>
    <w:rsid w:val="007C24C8"/>
    <w:rsid w:val="007C313A"/>
    <w:rsid w:val="007C3612"/>
    <w:rsid w:val="007C39D9"/>
    <w:rsid w:val="007C3C96"/>
    <w:rsid w:val="007C3D60"/>
    <w:rsid w:val="007C45E3"/>
    <w:rsid w:val="007C4627"/>
    <w:rsid w:val="007C4E08"/>
    <w:rsid w:val="007C5202"/>
    <w:rsid w:val="007C556C"/>
    <w:rsid w:val="007C5A41"/>
    <w:rsid w:val="007C676C"/>
    <w:rsid w:val="007C6A34"/>
    <w:rsid w:val="007C7D00"/>
    <w:rsid w:val="007D058C"/>
    <w:rsid w:val="007D05E0"/>
    <w:rsid w:val="007D090C"/>
    <w:rsid w:val="007D0EE3"/>
    <w:rsid w:val="007D0F49"/>
    <w:rsid w:val="007D1979"/>
    <w:rsid w:val="007D19AA"/>
    <w:rsid w:val="007D1AF3"/>
    <w:rsid w:val="007D1B62"/>
    <w:rsid w:val="007D1B6A"/>
    <w:rsid w:val="007D1E0D"/>
    <w:rsid w:val="007D22CE"/>
    <w:rsid w:val="007D25AC"/>
    <w:rsid w:val="007D263A"/>
    <w:rsid w:val="007D2D0D"/>
    <w:rsid w:val="007D33E8"/>
    <w:rsid w:val="007D348F"/>
    <w:rsid w:val="007D3808"/>
    <w:rsid w:val="007D3A64"/>
    <w:rsid w:val="007D3D5A"/>
    <w:rsid w:val="007D3D80"/>
    <w:rsid w:val="007D40B0"/>
    <w:rsid w:val="007D48FE"/>
    <w:rsid w:val="007D5667"/>
    <w:rsid w:val="007D6187"/>
    <w:rsid w:val="007D64A8"/>
    <w:rsid w:val="007D653B"/>
    <w:rsid w:val="007D6999"/>
    <w:rsid w:val="007D6FC2"/>
    <w:rsid w:val="007D7300"/>
    <w:rsid w:val="007D75EB"/>
    <w:rsid w:val="007D77D7"/>
    <w:rsid w:val="007D7A54"/>
    <w:rsid w:val="007E04B3"/>
    <w:rsid w:val="007E0886"/>
    <w:rsid w:val="007E0E1E"/>
    <w:rsid w:val="007E0ED6"/>
    <w:rsid w:val="007E0ED8"/>
    <w:rsid w:val="007E1668"/>
    <w:rsid w:val="007E16E3"/>
    <w:rsid w:val="007E1B3A"/>
    <w:rsid w:val="007E1F04"/>
    <w:rsid w:val="007E2CCC"/>
    <w:rsid w:val="007E2E92"/>
    <w:rsid w:val="007E3CE4"/>
    <w:rsid w:val="007E48E5"/>
    <w:rsid w:val="007E5758"/>
    <w:rsid w:val="007E5AAB"/>
    <w:rsid w:val="007E5D6C"/>
    <w:rsid w:val="007E659C"/>
    <w:rsid w:val="007E6C26"/>
    <w:rsid w:val="007E6D0A"/>
    <w:rsid w:val="007E7069"/>
    <w:rsid w:val="007F00B0"/>
    <w:rsid w:val="007F072A"/>
    <w:rsid w:val="007F0AC5"/>
    <w:rsid w:val="007F0DC4"/>
    <w:rsid w:val="007F123B"/>
    <w:rsid w:val="007F2484"/>
    <w:rsid w:val="007F282B"/>
    <w:rsid w:val="007F2B3E"/>
    <w:rsid w:val="007F31BD"/>
    <w:rsid w:val="007F38C5"/>
    <w:rsid w:val="007F3B8E"/>
    <w:rsid w:val="007F3E14"/>
    <w:rsid w:val="007F441F"/>
    <w:rsid w:val="007F4495"/>
    <w:rsid w:val="007F48C1"/>
    <w:rsid w:val="007F49A3"/>
    <w:rsid w:val="007F4C8E"/>
    <w:rsid w:val="007F5540"/>
    <w:rsid w:val="007F5CBF"/>
    <w:rsid w:val="007F6A1E"/>
    <w:rsid w:val="007F6A4A"/>
    <w:rsid w:val="007F6A98"/>
    <w:rsid w:val="007F6ABD"/>
    <w:rsid w:val="007F73BC"/>
    <w:rsid w:val="007F77A1"/>
    <w:rsid w:val="00800188"/>
    <w:rsid w:val="008001E0"/>
    <w:rsid w:val="0080038B"/>
    <w:rsid w:val="00800606"/>
    <w:rsid w:val="00800D64"/>
    <w:rsid w:val="00800FA8"/>
    <w:rsid w:val="00801220"/>
    <w:rsid w:val="0080166D"/>
    <w:rsid w:val="008017AE"/>
    <w:rsid w:val="00801B80"/>
    <w:rsid w:val="00803D21"/>
    <w:rsid w:val="00803EEF"/>
    <w:rsid w:val="0080411E"/>
    <w:rsid w:val="00804487"/>
    <w:rsid w:val="008052DF"/>
    <w:rsid w:val="00805328"/>
    <w:rsid w:val="008055F7"/>
    <w:rsid w:val="008058C7"/>
    <w:rsid w:val="00805A67"/>
    <w:rsid w:val="00805E50"/>
    <w:rsid w:val="00805F31"/>
    <w:rsid w:val="00805F38"/>
    <w:rsid w:val="0080692D"/>
    <w:rsid w:val="008076E3"/>
    <w:rsid w:val="008077E9"/>
    <w:rsid w:val="00810FC3"/>
    <w:rsid w:val="008115C0"/>
    <w:rsid w:val="008124DB"/>
    <w:rsid w:val="00813C61"/>
    <w:rsid w:val="00815E46"/>
    <w:rsid w:val="00815F65"/>
    <w:rsid w:val="00816152"/>
    <w:rsid w:val="00816283"/>
    <w:rsid w:val="00816B5D"/>
    <w:rsid w:val="00816B6C"/>
    <w:rsid w:val="00816EAC"/>
    <w:rsid w:val="0081706B"/>
    <w:rsid w:val="008173AF"/>
    <w:rsid w:val="00817D02"/>
    <w:rsid w:val="00817FC2"/>
    <w:rsid w:val="0082011B"/>
    <w:rsid w:val="008201B3"/>
    <w:rsid w:val="0082032C"/>
    <w:rsid w:val="008207AF"/>
    <w:rsid w:val="008209CE"/>
    <w:rsid w:val="00820B95"/>
    <w:rsid w:val="00821657"/>
    <w:rsid w:val="008217DB"/>
    <w:rsid w:val="00821F00"/>
    <w:rsid w:val="008224D0"/>
    <w:rsid w:val="00822AAF"/>
    <w:rsid w:val="00822F79"/>
    <w:rsid w:val="00823873"/>
    <w:rsid w:val="008247B8"/>
    <w:rsid w:val="008247E9"/>
    <w:rsid w:val="00825F49"/>
    <w:rsid w:val="00826354"/>
    <w:rsid w:val="00826803"/>
    <w:rsid w:val="00826AA9"/>
    <w:rsid w:val="00826DF5"/>
    <w:rsid w:val="008273E1"/>
    <w:rsid w:val="00827413"/>
    <w:rsid w:val="008278FD"/>
    <w:rsid w:val="0083061A"/>
    <w:rsid w:val="00830A13"/>
    <w:rsid w:val="00830B18"/>
    <w:rsid w:val="0083101E"/>
    <w:rsid w:val="008310E9"/>
    <w:rsid w:val="00831197"/>
    <w:rsid w:val="008327CF"/>
    <w:rsid w:val="00832935"/>
    <w:rsid w:val="00832BB8"/>
    <w:rsid w:val="00833849"/>
    <w:rsid w:val="00833A1C"/>
    <w:rsid w:val="00833F49"/>
    <w:rsid w:val="008348C4"/>
    <w:rsid w:val="008349A7"/>
    <w:rsid w:val="008351ED"/>
    <w:rsid w:val="00835456"/>
    <w:rsid w:val="00835744"/>
    <w:rsid w:val="00836219"/>
    <w:rsid w:val="008363C9"/>
    <w:rsid w:val="00836BDD"/>
    <w:rsid w:val="00836F76"/>
    <w:rsid w:val="00837825"/>
    <w:rsid w:val="00837B5C"/>
    <w:rsid w:val="00837B9D"/>
    <w:rsid w:val="00837C7E"/>
    <w:rsid w:val="00837EFB"/>
    <w:rsid w:val="00840905"/>
    <w:rsid w:val="0084146B"/>
    <w:rsid w:val="0084174F"/>
    <w:rsid w:val="0084208E"/>
    <w:rsid w:val="00842453"/>
    <w:rsid w:val="008426A9"/>
    <w:rsid w:val="0084325F"/>
    <w:rsid w:val="008440D7"/>
    <w:rsid w:val="008454B5"/>
    <w:rsid w:val="0084577C"/>
    <w:rsid w:val="00845C5A"/>
    <w:rsid w:val="008468EA"/>
    <w:rsid w:val="0084705C"/>
    <w:rsid w:val="008470EE"/>
    <w:rsid w:val="0084739D"/>
    <w:rsid w:val="008479A7"/>
    <w:rsid w:val="00847B1A"/>
    <w:rsid w:val="00850C96"/>
    <w:rsid w:val="0085127C"/>
    <w:rsid w:val="00851288"/>
    <w:rsid w:val="00851D18"/>
    <w:rsid w:val="00851FE4"/>
    <w:rsid w:val="0085224C"/>
    <w:rsid w:val="00852280"/>
    <w:rsid w:val="0085231F"/>
    <w:rsid w:val="00852743"/>
    <w:rsid w:val="00852C7C"/>
    <w:rsid w:val="00852D78"/>
    <w:rsid w:val="00853292"/>
    <w:rsid w:val="00854233"/>
    <w:rsid w:val="008542F0"/>
    <w:rsid w:val="00854A27"/>
    <w:rsid w:val="00854DF6"/>
    <w:rsid w:val="00855201"/>
    <w:rsid w:val="0085536B"/>
    <w:rsid w:val="0085543C"/>
    <w:rsid w:val="0085553E"/>
    <w:rsid w:val="0085569B"/>
    <w:rsid w:val="00855CB7"/>
    <w:rsid w:val="00855E2E"/>
    <w:rsid w:val="00855F7E"/>
    <w:rsid w:val="0085609B"/>
    <w:rsid w:val="008560AC"/>
    <w:rsid w:val="00856EDD"/>
    <w:rsid w:val="008574E1"/>
    <w:rsid w:val="00857571"/>
    <w:rsid w:val="00857B49"/>
    <w:rsid w:val="00857BB6"/>
    <w:rsid w:val="0086079E"/>
    <w:rsid w:val="00860B05"/>
    <w:rsid w:val="00861226"/>
    <w:rsid w:val="00861228"/>
    <w:rsid w:val="00862032"/>
    <w:rsid w:val="0086211A"/>
    <w:rsid w:val="008625E0"/>
    <w:rsid w:val="00862D71"/>
    <w:rsid w:val="00862EE0"/>
    <w:rsid w:val="00863A1E"/>
    <w:rsid w:val="00863D62"/>
    <w:rsid w:val="00864523"/>
    <w:rsid w:val="00864B83"/>
    <w:rsid w:val="00865310"/>
    <w:rsid w:val="00865538"/>
    <w:rsid w:val="00866224"/>
    <w:rsid w:val="00866279"/>
    <w:rsid w:val="00867294"/>
    <w:rsid w:val="00870177"/>
    <w:rsid w:val="00870185"/>
    <w:rsid w:val="008703F1"/>
    <w:rsid w:val="0087042C"/>
    <w:rsid w:val="00870520"/>
    <w:rsid w:val="00870D27"/>
    <w:rsid w:val="008717D1"/>
    <w:rsid w:val="00871967"/>
    <w:rsid w:val="00871E4F"/>
    <w:rsid w:val="0087268E"/>
    <w:rsid w:val="008726CB"/>
    <w:rsid w:val="00872FAB"/>
    <w:rsid w:val="00873A3C"/>
    <w:rsid w:val="0087442E"/>
    <w:rsid w:val="008746D0"/>
    <w:rsid w:val="00874877"/>
    <w:rsid w:val="00874DF5"/>
    <w:rsid w:val="00874EEA"/>
    <w:rsid w:val="00874F7A"/>
    <w:rsid w:val="00875165"/>
    <w:rsid w:val="00875479"/>
    <w:rsid w:val="00875871"/>
    <w:rsid w:val="00875AA1"/>
    <w:rsid w:val="00875B41"/>
    <w:rsid w:val="00875D83"/>
    <w:rsid w:val="00876087"/>
    <w:rsid w:val="008760A8"/>
    <w:rsid w:val="008760CE"/>
    <w:rsid w:val="0087610C"/>
    <w:rsid w:val="0087628A"/>
    <w:rsid w:val="00876C86"/>
    <w:rsid w:val="00876E64"/>
    <w:rsid w:val="0088021F"/>
    <w:rsid w:val="008803E6"/>
    <w:rsid w:val="008804A8"/>
    <w:rsid w:val="00880763"/>
    <w:rsid w:val="00880F42"/>
    <w:rsid w:val="00881660"/>
    <w:rsid w:val="0088281C"/>
    <w:rsid w:val="00883353"/>
    <w:rsid w:val="00884C55"/>
    <w:rsid w:val="00884DF8"/>
    <w:rsid w:val="0088618A"/>
    <w:rsid w:val="008866B5"/>
    <w:rsid w:val="008873A1"/>
    <w:rsid w:val="008877D0"/>
    <w:rsid w:val="00887AD7"/>
    <w:rsid w:val="00890620"/>
    <w:rsid w:val="008921E5"/>
    <w:rsid w:val="00892211"/>
    <w:rsid w:val="008928C6"/>
    <w:rsid w:val="0089329B"/>
    <w:rsid w:val="008934FE"/>
    <w:rsid w:val="008939CF"/>
    <w:rsid w:val="008939E2"/>
    <w:rsid w:val="00893A17"/>
    <w:rsid w:val="00894142"/>
    <w:rsid w:val="008945D5"/>
    <w:rsid w:val="008946C0"/>
    <w:rsid w:val="008948B9"/>
    <w:rsid w:val="008948F7"/>
    <w:rsid w:val="00895469"/>
    <w:rsid w:val="00895AFD"/>
    <w:rsid w:val="00896147"/>
    <w:rsid w:val="00896A46"/>
    <w:rsid w:val="00896CBD"/>
    <w:rsid w:val="0089798A"/>
    <w:rsid w:val="008A03F9"/>
    <w:rsid w:val="008A06A1"/>
    <w:rsid w:val="008A0F08"/>
    <w:rsid w:val="008A1565"/>
    <w:rsid w:val="008A16F3"/>
    <w:rsid w:val="008A242C"/>
    <w:rsid w:val="008A25B0"/>
    <w:rsid w:val="008A2766"/>
    <w:rsid w:val="008A2FC5"/>
    <w:rsid w:val="008A35F6"/>
    <w:rsid w:val="008A3923"/>
    <w:rsid w:val="008A39C8"/>
    <w:rsid w:val="008A3DF7"/>
    <w:rsid w:val="008A40E4"/>
    <w:rsid w:val="008A44B1"/>
    <w:rsid w:val="008A49E9"/>
    <w:rsid w:val="008A4BF5"/>
    <w:rsid w:val="008A5A78"/>
    <w:rsid w:val="008A5B26"/>
    <w:rsid w:val="008A5EAC"/>
    <w:rsid w:val="008A6286"/>
    <w:rsid w:val="008A66ED"/>
    <w:rsid w:val="008A6CA9"/>
    <w:rsid w:val="008A7729"/>
    <w:rsid w:val="008A7891"/>
    <w:rsid w:val="008A7ACF"/>
    <w:rsid w:val="008A7FAB"/>
    <w:rsid w:val="008B0005"/>
    <w:rsid w:val="008B0723"/>
    <w:rsid w:val="008B0CAA"/>
    <w:rsid w:val="008B15EF"/>
    <w:rsid w:val="008B1E65"/>
    <w:rsid w:val="008B3179"/>
    <w:rsid w:val="008B335F"/>
    <w:rsid w:val="008B34AC"/>
    <w:rsid w:val="008B37AC"/>
    <w:rsid w:val="008B3D19"/>
    <w:rsid w:val="008B4526"/>
    <w:rsid w:val="008B4613"/>
    <w:rsid w:val="008B4E5D"/>
    <w:rsid w:val="008B5C1A"/>
    <w:rsid w:val="008B5C3D"/>
    <w:rsid w:val="008B5D37"/>
    <w:rsid w:val="008B6543"/>
    <w:rsid w:val="008B65BD"/>
    <w:rsid w:val="008B6F07"/>
    <w:rsid w:val="008B730B"/>
    <w:rsid w:val="008B754B"/>
    <w:rsid w:val="008B77B1"/>
    <w:rsid w:val="008B7AD8"/>
    <w:rsid w:val="008C00B7"/>
    <w:rsid w:val="008C07AE"/>
    <w:rsid w:val="008C08FB"/>
    <w:rsid w:val="008C0BF1"/>
    <w:rsid w:val="008C0BFB"/>
    <w:rsid w:val="008C1AAB"/>
    <w:rsid w:val="008C1D60"/>
    <w:rsid w:val="008C1F0B"/>
    <w:rsid w:val="008C2540"/>
    <w:rsid w:val="008C28C0"/>
    <w:rsid w:val="008C29F3"/>
    <w:rsid w:val="008C39A0"/>
    <w:rsid w:val="008C3BB9"/>
    <w:rsid w:val="008C3D78"/>
    <w:rsid w:val="008C4163"/>
    <w:rsid w:val="008C47FB"/>
    <w:rsid w:val="008C511D"/>
    <w:rsid w:val="008C51B8"/>
    <w:rsid w:val="008C58B7"/>
    <w:rsid w:val="008C5B04"/>
    <w:rsid w:val="008C5E3B"/>
    <w:rsid w:val="008C607A"/>
    <w:rsid w:val="008C60E2"/>
    <w:rsid w:val="008C65C0"/>
    <w:rsid w:val="008C6674"/>
    <w:rsid w:val="008C6886"/>
    <w:rsid w:val="008C6963"/>
    <w:rsid w:val="008C717C"/>
    <w:rsid w:val="008C7541"/>
    <w:rsid w:val="008D01D1"/>
    <w:rsid w:val="008D03E1"/>
    <w:rsid w:val="008D0A03"/>
    <w:rsid w:val="008D1235"/>
    <w:rsid w:val="008D18D7"/>
    <w:rsid w:val="008D1A1F"/>
    <w:rsid w:val="008D1A84"/>
    <w:rsid w:val="008D26DC"/>
    <w:rsid w:val="008D26F0"/>
    <w:rsid w:val="008D281A"/>
    <w:rsid w:val="008D2AE7"/>
    <w:rsid w:val="008D32E8"/>
    <w:rsid w:val="008D3344"/>
    <w:rsid w:val="008D3734"/>
    <w:rsid w:val="008D3761"/>
    <w:rsid w:val="008D396C"/>
    <w:rsid w:val="008D3D44"/>
    <w:rsid w:val="008D45A6"/>
    <w:rsid w:val="008D467D"/>
    <w:rsid w:val="008D4820"/>
    <w:rsid w:val="008D48E4"/>
    <w:rsid w:val="008D496C"/>
    <w:rsid w:val="008D497C"/>
    <w:rsid w:val="008D4BC1"/>
    <w:rsid w:val="008D54EC"/>
    <w:rsid w:val="008D5B98"/>
    <w:rsid w:val="008D6409"/>
    <w:rsid w:val="008D692B"/>
    <w:rsid w:val="008D69A2"/>
    <w:rsid w:val="008D767C"/>
    <w:rsid w:val="008D7791"/>
    <w:rsid w:val="008D79E2"/>
    <w:rsid w:val="008E0773"/>
    <w:rsid w:val="008E095C"/>
    <w:rsid w:val="008E1363"/>
    <w:rsid w:val="008E1583"/>
    <w:rsid w:val="008E1D37"/>
    <w:rsid w:val="008E1DC1"/>
    <w:rsid w:val="008E29FE"/>
    <w:rsid w:val="008E2A3E"/>
    <w:rsid w:val="008E33E6"/>
    <w:rsid w:val="008E390A"/>
    <w:rsid w:val="008E3956"/>
    <w:rsid w:val="008E3AEE"/>
    <w:rsid w:val="008E3B3A"/>
    <w:rsid w:val="008E3B82"/>
    <w:rsid w:val="008E4658"/>
    <w:rsid w:val="008E483C"/>
    <w:rsid w:val="008E4A66"/>
    <w:rsid w:val="008E4D1C"/>
    <w:rsid w:val="008E4D29"/>
    <w:rsid w:val="008E5110"/>
    <w:rsid w:val="008E552C"/>
    <w:rsid w:val="008E55B2"/>
    <w:rsid w:val="008E57ED"/>
    <w:rsid w:val="008E65E4"/>
    <w:rsid w:val="008E7AC3"/>
    <w:rsid w:val="008E7EA9"/>
    <w:rsid w:val="008E7EB8"/>
    <w:rsid w:val="008F0062"/>
    <w:rsid w:val="008F02B2"/>
    <w:rsid w:val="008F08E2"/>
    <w:rsid w:val="008F154B"/>
    <w:rsid w:val="008F249E"/>
    <w:rsid w:val="008F2B24"/>
    <w:rsid w:val="008F3099"/>
    <w:rsid w:val="008F3687"/>
    <w:rsid w:val="008F379A"/>
    <w:rsid w:val="008F3FFE"/>
    <w:rsid w:val="008F40BF"/>
    <w:rsid w:val="008F42B8"/>
    <w:rsid w:val="008F4A42"/>
    <w:rsid w:val="008F4B85"/>
    <w:rsid w:val="008F52E3"/>
    <w:rsid w:val="008F5521"/>
    <w:rsid w:val="008F569B"/>
    <w:rsid w:val="008F56F1"/>
    <w:rsid w:val="008F5AE1"/>
    <w:rsid w:val="008F6045"/>
    <w:rsid w:val="008F6378"/>
    <w:rsid w:val="008F6573"/>
    <w:rsid w:val="008F6804"/>
    <w:rsid w:val="008F7298"/>
    <w:rsid w:val="008F73BD"/>
    <w:rsid w:val="008F76B5"/>
    <w:rsid w:val="008F7701"/>
    <w:rsid w:val="008F787B"/>
    <w:rsid w:val="008F7FC7"/>
    <w:rsid w:val="0090039F"/>
    <w:rsid w:val="009007F7"/>
    <w:rsid w:val="00900952"/>
    <w:rsid w:val="00900955"/>
    <w:rsid w:val="00900A5B"/>
    <w:rsid w:val="00900B22"/>
    <w:rsid w:val="00900B99"/>
    <w:rsid w:val="00900F7F"/>
    <w:rsid w:val="009015F7"/>
    <w:rsid w:val="0090177A"/>
    <w:rsid w:val="00901800"/>
    <w:rsid w:val="00901ECE"/>
    <w:rsid w:val="00901F7E"/>
    <w:rsid w:val="00901F89"/>
    <w:rsid w:val="0090247A"/>
    <w:rsid w:val="00902CCE"/>
    <w:rsid w:val="0090373B"/>
    <w:rsid w:val="00903995"/>
    <w:rsid w:val="009045CB"/>
    <w:rsid w:val="00904C96"/>
    <w:rsid w:val="00905038"/>
    <w:rsid w:val="00905545"/>
    <w:rsid w:val="00905E61"/>
    <w:rsid w:val="0090635B"/>
    <w:rsid w:val="009065FD"/>
    <w:rsid w:val="00907542"/>
    <w:rsid w:val="009075E6"/>
    <w:rsid w:val="00907E6C"/>
    <w:rsid w:val="00910104"/>
    <w:rsid w:val="009104B4"/>
    <w:rsid w:val="009105C3"/>
    <w:rsid w:val="00910B6E"/>
    <w:rsid w:val="0091125C"/>
    <w:rsid w:val="00912C50"/>
    <w:rsid w:val="00912E26"/>
    <w:rsid w:val="00912E78"/>
    <w:rsid w:val="009131D9"/>
    <w:rsid w:val="00913703"/>
    <w:rsid w:val="00913962"/>
    <w:rsid w:val="00913987"/>
    <w:rsid w:val="00913FF2"/>
    <w:rsid w:val="00914146"/>
    <w:rsid w:val="0091456E"/>
    <w:rsid w:val="00914A80"/>
    <w:rsid w:val="00914F8A"/>
    <w:rsid w:val="00915B58"/>
    <w:rsid w:val="00915CF9"/>
    <w:rsid w:val="009160A6"/>
    <w:rsid w:val="00916774"/>
    <w:rsid w:val="00916A59"/>
    <w:rsid w:val="0091707A"/>
    <w:rsid w:val="00917673"/>
    <w:rsid w:val="0091775B"/>
    <w:rsid w:val="00917825"/>
    <w:rsid w:val="00917EFB"/>
    <w:rsid w:val="009206AD"/>
    <w:rsid w:val="00920966"/>
    <w:rsid w:val="00920A29"/>
    <w:rsid w:val="00921444"/>
    <w:rsid w:val="00921749"/>
    <w:rsid w:val="0092279D"/>
    <w:rsid w:val="009229FE"/>
    <w:rsid w:val="00922A9E"/>
    <w:rsid w:val="00922E5F"/>
    <w:rsid w:val="009235B3"/>
    <w:rsid w:val="00923A05"/>
    <w:rsid w:val="00923B9A"/>
    <w:rsid w:val="0092418E"/>
    <w:rsid w:val="00924464"/>
    <w:rsid w:val="00924C77"/>
    <w:rsid w:val="009252CB"/>
    <w:rsid w:val="00926059"/>
    <w:rsid w:val="009263A4"/>
    <w:rsid w:val="009302F9"/>
    <w:rsid w:val="009303B2"/>
    <w:rsid w:val="009308BB"/>
    <w:rsid w:val="00930ED7"/>
    <w:rsid w:val="00931213"/>
    <w:rsid w:val="00931660"/>
    <w:rsid w:val="00931700"/>
    <w:rsid w:val="00931928"/>
    <w:rsid w:val="00932603"/>
    <w:rsid w:val="009327A8"/>
    <w:rsid w:val="00932810"/>
    <w:rsid w:val="009328E3"/>
    <w:rsid w:val="00932DDF"/>
    <w:rsid w:val="009338FC"/>
    <w:rsid w:val="00933EEC"/>
    <w:rsid w:val="0093412E"/>
    <w:rsid w:val="00934401"/>
    <w:rsid w:val="009346DF"/>
    <w:rsid w:val="0093560D"/>
    <w:rsid w:val="009359D4"/>
    <w:rsid w:val="009360A6"/>
    <w:rsid w:val="00936208"/>
    <w:rsid w:val="009366C2"/>
    <w:rsid w:val="009367F0"/>
    <w:rsid w:val="00936D66"/>
    <w:rsid w:val="00937E81"/>
    <w:rsid w:val="009400BC"/>
    <w:rsid w:val="00940A50"/>
    <w:rsid w:val="00940E1C"/>
    <w:rsid w:val="00940E26"/>
    <w:rsid w:val="00940EF6"/>
    <w:rsid w:val="00940F48"/>
    <w:rsid w:val="00941B33"/>
    <w:rsid w:val="00941B8E"/>
    <w:rsid w:val="00941BF4"/>
    <w:rsid w:val="00941EA7"/>
    <w:rsid w:val="009422B4"/>
    <w:rsid w:val="009429B7"/>
    <w:rsid w:val="00942A48"/>
    <w:rsid w:val="00942C43"/>
    <w:rsid w:val="00942E9D"/>
    <w:rsid w:val="00943798"/>
    <w:rsid w:val="009447E6"/>
    <w:rsid w:val="00944BAA"/>
    <w:rsid w:val="00944CFB"/>
    <w:rsid w:val="00944EFF"/>
    <w:rsid w:val="00946458"/>
    <w:rsid w:val="00946E52"/>
    <w:rsid w:val="00946E8E"/>
    <w:rsid w:val="00947815"/>
    <w:rsid w:val="00950062"/>
    <w:rsid w:val="009501FF"/>
    <w:rsid w:val="009508CE"/>
    <w:rsid w:val="00950BE4"/>
    <w:rsid w:val="00951173"/>
    <w:rsid w:val="009524A1"/>
    <w:rsid w:val="00952CFC"/>
    <w:rsid w:val="00952F7A"/>
    <w:rsid w:val="00952FF9"/>
    <w:rsid w:val="009531C8"/>
    <w:rsid w:val="00953427"/>
    <w:rsid w:val="009535AE"/>
    <w:rsid w:val="00953E54"/>
    <w:rsid w:val="009543A0"/>
    <w:rsid w:val="00954974"/>
    <w:rsid w:val="00955422"/>
    <w:rsid w:val="00955819"/>
    <w:rsid w:val="00955A42"/>
    <w:rsid w:val="00955D81"/>
    <w:rsid w:val="0095602C"/>
    <w:rsid w:val="00956CAD"/>
    <w:rsid w:val="00956E5F"/>
    <w:rsid w:val="00956FE1"/>
    <w:rsid w:val="009578DE"/>
    <w:rsid w:val="00957B42"/>
    <w:rsid w:val="009607FA"/>
    <w:rsid w:val="0096088D"/>
    <w:rsid w:val="00960E4A"/>
    <w:rsid w:val="009611EF"/>
    <w:rsid w:val="00961649"/>
    <w:rsid w:val="0096230C"/>
    <w:rsid w:val="00962BF4"/>
    <w:rsid w:val="00962E05"/>
    <w:rsid w:val="00963584"/>
    <w:rsid w:val="009640ED"/>
    <w:rsid w:val="00964210"/>
    <w:rsid w:val="009644D0"/>
    <w:rsid w:val="009647D1"/>
    <w:rsid w:val="00965382"/>
    <w:rsid w:val="00965618"/>
    <w:rsid w:val="00965D77"/>
    <w:rsid w:val="00966EB5"/>
    <w:rsid w:val="00966FEC"/>
    <w:rsid w:val="009671A0"/>
    <w:rsid w:val="009674EA"/>
    <w:rsid w:val="0096794B"/>
    <w:rsid w:val="00967BB9"/>
    <w:rsid w:val="00967D75"/>
    <w:rsid w:val="009708A4"/>
    <w:rsid w:val="00970AD4"/>
    <w:rsid w:val="00971794"/>
    <w:rsid w:val="00971820"/>
    <w:rsid w:val="00971974"/>
    <w:rsid w:val="00971B6D"/>
    <w:rsid w:val="00971BDE"/>
    <w:rsid w:val="00971ED9"/>
    <w:rsid w:val="0097259A"/>
    <w:rsid w:val="009728DC"/>
    <w:rsid w:val="00972D9F"/>
    <w:rsid w:val="00972F8B"/>
    <w:rsid w:val="009731CA"/>
    <w:rsid w:val="00975AAF"/>
    <w:rsid w:val="00975CFF"/>
    <w:rsid w:val="00975E41"/>
    <w:rsid w:val="00975F23"/>
    <w:rsid w:val="00976177"/>
    <w:rsid w:val="009762B5"/>
    <w:rsid w:val="00976728"/>
    <w:rsid w:val="00976835"/>
    <w:rsid w:val="00976CF1"/>
    <w:rsid w:val="00977372"/>
    <w:rsid w:val="00977E4A"/>
    <w:rsid w:val="0098078C"/>
    <w:rsid w:val="00980B0B"/>
    <w:rsid w:val="00980E95"/>
    <w:rsid w:val="009811A6"/>
    <w:rsid w:val="00981ED3"/>
    <w:rsid w:val="0098293A"/>
    <w:rsid w:val="00982CCD"/>
    <w:rsid w:val="00982E4A"/>
    <w:rsid w:val="00983113"/>
    <w:rsid w:val="009831E9"/>
    <w:rsid w:val="00983C06"/>
    <w:rsid w:val="0098422A"/>
    <w:rsid w:val="009849C3"/>
    <w:rsid w:val="00985D24"/>
    <w:rsid w:val="00985E41"/>
    <w:rsid w:val="00985FC4"/>
    <w:rsid w:val="009861ED"/>
    <w:rsid w:val="00986FA2"/>
    <w:rsid w:val="009871BD"/>
    <w:rsid w:val="00987750"/>
    <w:rsid w:val="00987A0A"/>
    <w:rsid w:val="0099080C"/>
    <w:rsid w:val="00990AD3"/>
    <w:rsid w:val="00990C98"/>
    <w:rsid w:val="00991022"/>
    <w:rsid w:val="00991F9C"/>
    <w:rsid w:val="009920B5"/>
    <w:rsid w:val="0099283C"/>
    <w:rsid w:val="00992AFB"/>
    <w:rsid w:val="00992BA9"/>
    <w:rsid w:val="00992F07"/>
    <w:rsid w:val="009930B0"/>
    <w:rsid w:val="00993971"/>
    <w:rsid w:val="009939DF"/>
    <w:rsid w:val="00993C2F"/>
    <w:rsid w:val="0099488E"/>
    <w:rsid w:val="0099544D"/>
    <w:rsid w:val="009955E1"/>
    <w:rsid w:val="0099594D"/>
    <w:rsid w:val="00996753"/>
    <w:rsid w:val="00996829"/>
    <w:rsid w:val="00996C0A"/>
    <w:rsid w:val="00997018"/>
    <w:rsid w:val="00997734"/>
    <w:rsid w:val="00997A43"/>
    <w:rsid w:val="00997AFE"/>
    <w:rsid w:val="00997EDF"/>
    <w:rsid w:val="009A09E3"/>
    <w:rsid w:val="009A104C"/>
    <w:rsid w:val="009A17D5"/>
    <w:rsid w:val="009A1838"/>
    <w:rsid w:val="009A1E9B"/>
    <w:rsid w:val="009A244E"/>
    <w:rsid w:val="009A256D"/>
    <w:rsid w:val="009A315A"/>
    <w:rsid w:val="009A332D"/>
    <w:rsid w:val="009A376D"/>
    <w:rsid w:val="009A3E11"/>
    <w:rsid w:val="009A4417"/>
    <w:rsid w:val="009A4ACF"/>
    <w:rsid w:val="009A51CA"/>
    <w:rsid w:val="009A52A7"/>
    <w:rsid w:val="009A5529"/>
    <w:rsid w:val="009A594A"/>
    <w:rsid w:val="009A63A4"/>
    <w:rsid w:val="009A6D8E"/>
    <w:rsid w:val="009A7534"/>
    <w:rsid w:val="009A7584"/>
    <w:rsid w:val="009A79FA"/>
    <w:rsid w:val="009A7F4E"/>
    <w:rsid w:val="009B0DB2"/>
    <w:rsid w:val="009B1807"/>
    <w:rsid w:val="009B296C"/>
    <w:rsid w:val="009B2D14"/>
    <w:rsid w:val="009B3005"/>
    <w:rsid w:val="009B33E4"/>
    <w:rsid w:val="009B3413"/>
    <w:rsid w:val="009B3C1B"/>
    <w:rsid w:val="009B438D"/>
    <w:rsid w:val="009B4E0F"/>
    <w:rsid w:val="009B546C"/>
    <w:rsid w:val="009B5491"/>
    <w:rsid w:val="009B63E5"/>
    <w:rsid w:val="009B6611"/>
    <w:rsid w:val="009B671A"/>
    <w:rsid w:val="009B6757"/>
    <w:rsid w:val="009B67BB"/>
    <w:rsid w:val="009B7104"/>
    <w:rsid w:val="009B715E"/>
    <w:rsid w:val="009B74C9"/>
    <w:rsid w:val="009B7664"/>
    <w:rsid w:val="009B76EC"/>
    <w:rsid w:val="009B7915"/>
    <w:rsid w:val="009B7A1A"/>
    <w:rsid w:val="009B7F1E"/>
    <w:rsid w:val="009C090D"/>
    <w:rsid w:val="009C0A71"/>
    <w:rsid w:val="009C1E9F"/>
    <w:rsid w:val="009C27E0"/>
    <w:rsid w:val="009C3ACA"/>
    <w:rsid w:val="009C3B16"/>
    <w:rsid w:val="009C3D10"/>
    <w:rsid w:val="009C3EFE"/>
    <w:rsid w:val="009C3F71"/>
    <w:rsid w:val="009C408C"/>
    <w:rsid w:val="009C48F6"/>
    <w:rsid w:val="009C4CB3"/>
    <w:rsid w:val="009C4F27"/>
    <w:rsid w:val="009C5076"/>
    <w:rsid w:val="009C5ABF"/>
    <w:rsid w:val="009C602C"/>
    <w:rsid w:val="009C6ABE"/>
    <w:rsid w:val="009C6CE9"/>
    <w:rsid w:val="009C7222"/>
    <w:rsid w:val="009C7950"/>
    <w:rsid w:val="009D0460"/>
    <w:rsid w:val="009D1066"/>
    <w:rsid w:val="009D10EA"/>
    <w:rsid w:val="009D1929"/>
    <w:rsid w:val="009D1EA2"/>
    <w:rsid w:val="009D1F56"/>
    <w:rsid w:val="009D2233"/>
    <w:rsid w:val="009D2356"/>
    <w:rsid w:val="009D327A"/>
    <w:rsid w:val="009D32B5"/>
    <w:rsid w:val="009D3944"/>
    <w:rsid w:val="009D3B09"/>
    <w:rsid w:val="009D3FD4"/>
    <w:rsid w:val="009D3FFD"/>
    <w:rsid w:val="009D4282"/>
    <w:rsid w:val="009D4522"/>
    <w:rsid w:val="009D4685"/>
    <w:rsid w:val="009D48C1"/>
    <w:rsid w:val="009D4EE9"/>
    <w:rsid w:val="009D6548"/>
    <w:rsid w:val="009D680D"/>
    <w:rsid w:val="009D685C"/>
    <w:rsid w:val="009D6DA8"/>
    <w:rsid w:val="009D7C9B"/>
    <w:rsid w:val="009E0007"/>
    <w:rsid w:val="009E02C5"/>
    <w:rsid w:val="009E03D0"/>
    <w:rsid w:val="009E046C"/>
    <w:rsid w:val="009E0794"/>
    <w:rsid w:val="009E0F50"/>
    <w:rsid w:val="009E0F75"/>
    <w:rsid w:val="009E147E"/>
    <w:rsid w:val="009E19A4"/>
    <w:rsid w:val="009E1F7C"/>
    <w:rsid w:val="009E1F88"/>
    <w:rsid w:val="009E2013"/>
    <w:rsid w:val="009E20B0"/>
    <w:rsid w:val="009E25F1"/>
    <w:rsid w:val="009E3048"/>
    <w:rsid w:val="009E3103"/>
    <w:rsid w:val="009E3CB0"/>
    <w:rsid w:val="009E4724"/>
    <w:rsid w:val="009E4862"/>
    <w:rsid w:val="009E56F1"/>
    <w:rsid w:val="009E5DD0"/>
    <w:rsid w:val="009E6658"/>
    <w:rsid w:val="009E67E7"/>
    <w:rsid w:val="009E6840"/>
    <w:rsid w:val="009E6970"/>
    <w:rsid w:val="009E6D8A"/>
    <w:rsid w:val="009E73FE"/>
    <w:rsid w:val="009E74B6"/>
    <w:rsid w:val="009E74CE"/>
    <w:rsid w:val="009E77CF"/>
    <w:rsid w:val="009E7854"/>
    <w:rsid w:val="009E7A2D"/>
    <w:rsid w:val="009E7C93"/>
    <w:rsid w:val="009F002D"/>
    <w:rsid w:val="009F02A0"/>
    <w:rsid w:val="009F0CBA"/>
    <w:rsid w:val="009F0D7E"/>
    <w:rsid w:val="009F0DF5"/>
    <w:rsid w:val="009F1BC1"/>
    <w:rsid w:val="009F2995"/>
    <w:rsid w:val="009F2D7E"/>
    <w:rsid w:val="009F3500"/>
    <w:rsid w:val="009F399C"/>
    <w:rsid w:val="009F439B"/>
    <w:rsid w:val="009F43CA"/>
    <w:rsid w:val="009F457E"/>
    <w:rsid w:val="009F4769"/>
    <w:rsid w:val="009F4856"/>
    <w:rsid w:val="009F4A50"/>
    <w:rsid w:val="009F4FEF"/>
    <w:rsid w:val="009F581C"/>
    <w:rsid w:val="009F6B53"/>
    <w:rsid w:val="009F6F05"/>
    <w:rsid w:val="009F72BF"/>
    <w:rsid w:val="009F7434"/>
    <w:rsid w:val="009F7832"/>
    <w:rsid w:val="009F78F1"/>
    <w:rsid w:val="00A00E6F"/>
    <w:rsid w:val="00A011C0"/>
    <w:rsid w:val="00A022E7"/>
    <w:rsid w:val="00A025A6"/>
    <w:rsid w:val="00A02DC9"/>
    <w:rsid w:val="00A033F9"/>
    <w:rsid w:val="00A041D1"/>
    <w:rsid w:val="00A04448"/>
    <w:rsid w:val="00A044FB"/>
    <w:rsid w:val="00A04682"/>
    <w:rsid w:val="00A0474C"/>
    <w:rsid w:val="00A047A1"/>
    <w:rsid w:val="00A05A8F"/>
    <w:rsid w:val="00A05BB4"/>
    <w:rsid w:val="00A05D9D"/>
    <w:rsid w:val="00A061D4"/>
    <w:rsid w:val="00A06273"/>
    <w:rsid w:val="00A073DE"/>
    <w:rsid w:val="00A07EF3"/>
    <w:rsid w:val="00A10197"/>
    <w:rsid w:val="00A10B58"/>
    <w:rsid w:val="00A10B6A"/>
    <w:rsid w:val="00A10C0D"/>
    <w:rsid w:val="00A10CBD"/>
    <w:rsid w:val="00A10E63"/>
    <w:rsid w:val="00A112E1"/>
    <w:rsid w:val="00A11EE9"/>
    <w:rsid w:val="00A1215D"/>
    <w:rsid w:val="00A12566"/>
    <w:rsid w:val="00A12DEF"/>
    <w:rsid w:val="00A133E8"/>
    <w:rsid w:val="00A1366B"/>
    <w:rsid w:val="00A136B6"/>
    <w:rsid w:val="00A13B25"/>
    <w:rsid w:val="00A13C56"/>
    <w:rsid w:val="00A13D00"/>
    <w:rsid w:val="00A14328"/>
    <w:rsid w:val="00A14693"/>
    <w:rsid w:val="00A14F11"/>
    <w:rsid w:val="00A1682F"/>
    <w:rsid w:val="00A16F6E"/>
    <w:rsid w:val="00A17013"/>
    <w:rsid w:val="00A201B1"/>
    <w:rsid w:val="00A20F6B"/>
    <w:rsid w:val="00A21BE6"/>
    <w:rsid w:val="00A21FB1"/>
    <w:rsid w:val="00A221CC"/>
    <w:rsid w:val="00A221D8"/>
    <w:rsid w:val="00A22BD6"/>
    <w:rsid w:val="00A239B8"/>
    <w:rsid w:val="00A241B0"/>
    <w:rsid w:val="00A243AC"/>
    <w:rsid w:val="00A24484"/>
    <w:rsid w:val="00A24C96"/>
    <w:rsid w:val="00A259B1"/>
    <w:rsid w:val="00A25B1F"/>
    <w:rsid w:val="00A25E1D"/>
    <w:rsid w:val="00A2646F"/>
    <w:rsid w:val="00A26CAB"/>
    <w:rsid w:val="00A26FA2"/>
    <w:rsid w:val="00A27026"/>
    <w:rsid w:val="00A271C9"/>
    <w:rsid w:val="00A272BB"/>
    <w:rsid w:val="00A27771"/>
    <w:rsid w:val="00A30304"/>
    <w:rsid w:val="00A30AA9"/>
    <w:rsid w:val="00A30D07"/>
    <w:rsid w:val="00A30D71"/>
    <w:rsid w:val="00A314D4"/>
    <w:rsid w:val="00A31537"/>
    <w:rsid w:val="00A31841"/>
    <w:rsid w:val="00A32B25"/>
    <w:rsid w:val="00A330A0"/>
    <w:rsid w:val="00A331D4"/>
    <w:rsid w:val="00A33791"/>
    <w:rsid w:val="00A33A3E"/>
    <w:rsid w:val="00A3478B"/>
    <w:rsid w:val="00A34BEE"/>
    <w:rsid w:val="00A358D9"/>
    <w:rsid w:val="00A360AF"/>
    <w:rsid w:val="00A363B6"/>
    <w:rsid w:val="00A3752E"/>
    <w:rsid w:val="00A376D9"/>
    <w:rsid w:val="00A37825"/>
    <w:rsid w:val="00A3792C"/>
    <w:rsid w:val="00A37C1D"/>
    <w:rsid w:val="00A4049C"/>
    <w:rsid w:val="00A405A2"/>
    <w:rsid w:val="00A406DB"/>
    <w:rsid w:val="00A40DE0"/>
    <w:rsid w:val="00A41123"/>
    <w:rsid w:val="00A4133B"/>
    <w:rsid w:val="00A41BF5"/>
    <w:rsid w:val="00A4305E"/>
    <w:rsid w:val="00A43620"/>
    <w:rsid w:val="00A43884"/>
    <w:rsid w:val="00A43AA5"/>
    <w:rsid w:val="00A43EED"/>
    <w:rsid w:val="00A441AA"/>
    <w:rsid w:val="00A446B7"/>
    <w:rsid w:val="00A446D3"/>
    <w:rsid w:val="00A44FF0"/>
    <w:rsid w:val="00A4544B"/>
    <w:rsid w:val="00A45714"/>
    <w:rsid w:val="00A45A0F"/>
    <w:rsid w:val="00A45D62"/>
    <w:rsid w:val="00A46028"/>
    <w:rsid w:val="00A469D5"/>
    <w:rsid w:val="00A46A8E"/>
    <w:rsid w:val="00A46C55"/>
    <w:rsid w:val="00A46CBC"/>
    <w:rsid w:val="00A46D9F"/>
    <w:rsid w:val="00A46EFF"/>
    <w:rsid w:val="00A477EA"/>
    <w:rsid w:val="00A479C3"/>
    <w:rsid w:val="00A47A4C"/>
    <w:rsid w:val="00A47F1B"/>
    <w:rsid w:val="00A47F35"/>
    <w:rsid w:val="00A502AA"/>
    <w:rsid w:val="00A50FDD"/>
    <w:rsid w:val="00A51348"/>
    <w:rsid w:val="00A51360"/>
    <w:rsid w:val="00A51821"/>
    <w:rsid w:val="00A51C08"/>
    <w:rsid w:val="00A5219E"/>
    <w:rsid w:val="00A52DD3"/>
    <w:rsid w:val="00A53122"/>
    <w:rsid w:val="00A53AE1"/>
    <w:rsid w:val="00A53B00"/>
    <w:rsid w:val="00A53CC6"/>
    <w:rsid w:val="00A54031"/>
    <w:rsid w:val="00A554A1"/>
    <w:rsid w:val="00A557DE"/>
    <w:rsid w:val="00A55FF3"/>
    <w:rsid w:val="00A56016"/>
    <w:rsid w:val="00A56452"/>
    <w:rsid w:val="00A566B2"/>
    <w:rsid w:val="00A56AAD"/>
    <w:rsid w:val="00A5724A"/>
    <w:rsid w:val="00A607D0"/>
    <w:rsid w:val="00A60C4B"/>
    <w:rsid w:val="00A61203"/>
    <w:rsid w:val="00A61B7C"/>
    <w:rsid w:val="00A61D1E"/>
    <w:rsid w:val="00A61DEC"/>
    <w:rsid w:val="00A625F7"/>
    <w:rsid w:val="00A626A8"/>
    <w:rsid w:val="00A62947"/>
    <w:rsid w:val="00A63072"/>
    <w:rsid w:val="00A630AF"/>
    <w:rsid w:val="00A6373E"/>
    <w:rsid w:val="00A63851"/>
    <w:rsid w:val="00A63AF2"/>
    <w:rsid w:val="00A65226"/>
    <w:rsid w:val="00A652E3"/>
    <w:rsid w:val="00A65871"/>
    <w:rsid w:val="00A671C1"/>
    <w:rsid w:val="00A67915"/>
    <w:rsid w:val="00A70083"/>
    <w:rsid w:val="00A702FD"/>
    <w:rsid w:val="00A707FF"/>
    <w:rsid w:val="00A70B72"/>
    <w:rsid w:val="00A720A0"/>
    <w:rsid w:val="00A72918"/>
    <w:rsid w:val="00A72B06"/>
    <w:rsid w:val="00A72D14"/>
    <w:rsid w:val="00A72F96"/>
    <w:rsid w:val="00A73637"/>
    <w:rsid w:val="00A75123"/>
    <w:rsid w:val="00A75325"/>
    <w:rsid w:val="00A75612"/>
    <w:rsid w:val="00A75756"/>
    <w:rsid w:val="00A75A3D"/>
    <w:rsid w:val="00A75F46"/>
    <w:rsid w:val="00A764A2"/>
    <w:rsid w:val="00A7656E"/>
    <w:rsid w:val="00A76AF6"/>
    <w:rsid w:val="00A76B0B"/>
    <w:rsid w:val="00A76BB4"/>
    <w:rsid w:val="00A76DDB"/>
    <w:rsid w:val="00A7727B"/>
    <w:rsid w:val="00A778EA"/>
    <w:rsid w:val="00A80A8F"/>
    <w:rsid w:val="00A817DF"/>
    <w:rsid w:val="00A81B76"/>
    <w:rsid w:val="00A8231E"/>
    <w:rsid w:val="00A82F58"/>
    <w:rsid w:val="00A8332D"/>
    <w:rsid w:val="00A836A4"/>
    <w:rsid w:val="00A83A12"/>
    <w:rsid w:val="00A83D92"/>
    <w:rsid w:val="00A83DE7"/>
    <w:rsid w:val="00A83FB8"/>
    <w:rsid w:val="00A84DEF"/>
    <w:rsid w:val="00A855B7"/>
    <w:rsid w:val="00A85604"/>
    <w:rsid w:val="00A85738"/>
    <w:rsid w:val="00A85BFE"/>
    <w:rsid w:val="00A85FE7"/>
    <w:rsid w:val="00A8600A"/>
    <w:rsid w:val="00A865A2"/>
    <w:rsid w:val="00A86EEB"/>
    <w:rsid w:val="00A8744B"/>
    <w:rsid w:val="00A87D7E"/>
    <w:rsid w:val="00A87DD7"/>
    <w:rsid w:val="00A902BA"/>
    <w:rsid w:val="00A91261"/>
    <w:rsid w:val="00A915A4"/>
    <w:rsid w:val="00A9228B"/>
    <w:rsid w:val="00A9307C"/>
    <w:rsid w:val="00A933F5"/>
    <w:rsid w:val="00A93B78"/>
    <w:rsid w:val="00A93F83"/>
    <w:rsid w:val="00A94502"/>
    <w:rsid w:val="00A94950"/>
    <w:rsid w:val="00A94A54"/>
    <w:rsid w:val="00A95107"/>
    <w:rsid w:val="00A955EC"/>
    <w:rsid w:val="00A9616C"/>
    <w:rsid w:val="00A966F8"/>
    <w:rsid w:val="00A96928"/>
    <w:rsid w:val="00A96A44"/>
    <w:rsid w:val="00A96B38"/>
    <w:rsid w:val="00A97F21"/>
    <w:rsid w:val="00AA0153"/>
    <w:rsid w:val="00AA0791"/>
    <w:rsid w:val="00AA10CA"/>
    <w:rsid w:val="00AA1D6A"/>
    <w:rsid w:val="00AA1F9B"/>
    <w:rsid w:val="00AA2AF4"/>
    <w:rsid w:val="00AA2D77"/>
    <w:rsid w:val="00AA2DED"/>
    <w:rsid w:val="00AA32EB"/>
    <w:rsid w:val="00AA3C02"/>
    <w:rsid w:val="00AA431A"/>
    <w:rsid w:val="00AA4880"/>
    <w:rsid w:val="00AA4CAD"/>
    <w:rsid w:val="00AA4F2F"/>
    <w:rsid w:val="00AA5042"/>
    <w:rsid w:val="00AA598B"/>
    <w:rsid w:val="00AA5AC0"/>
    <w:rsid w:val="00AA5D9E"/>
    <w:rsid w:val="00AA630F"/>
    <w:rsid w:val="00AA651A"/>
    <w:rsid w:val="00AA67D9"/>
    <w:rsid w:val="00AA6932"/>
    <w:rsid w:val="00AA6A2A"/>
    <w:rsid w:val="00AA6EF2"/>
    <w:rsid w:val="00AA72B1"/>
    <w:rsid w:val="00AA7E1C"/>
    <w:rsid w:val="00AA7E42"/>
    <w:rsid w:val="00AB0CB3"/>
    <w:rsid w:val="00AB1793"/>
    <w:rsid w:val="00AB1A71"/>
    <w:rsid w:val="00AB1C02"/>
    <w:rsid w:val="00AB1DCD"/>
    <w:rsid w:val="00AB274C"/>
    <w:rsid w:val="00AB2D97"/>
    <w:rsid w:val="00AB2DF6"/>
    <w:rsid w:val="00AB301E"/>
    <w:rsid w:val="00AB3341"/>
    <w:rsid w:val="00AB33F3"/>
    <w:rsid w:val="00AB3424"/>
    <w:rsid w:val="00AB3F2A"/>
    <w:rsid w:val="00AB40E0"/>
    <w:rsid w:val="00AB4A3E"/>
    <w:rsid w:val="00AB4DAA"/>
    <w:rsid w:val="00AB4DBC"/>
    <w:rsid w:val="00AB4EB7"/>
    <w:rsid w:val="00AB525E"/>
    <w:rsid w:val="00AB55BF"/>
    <w:rsid w:val="00AB56A7"/>
    <w:rsid w:val="00AB6CCB"/>
    <w:rsid w:val="00AB70A6"/>
    <w:rsid w:val="00AB7580"/>
    <w:rsid w:val="00AB7E28"/>
    <w:rsid w:val="00AC0294"/>
    <w:rsid w:val="00AC0E29"/>
    <w:rsid w:val="00AC0EEB"/>
    <w:rsid w:val="00AC1470"/>
    <w:rsid w:val="00AC1684"/>
    <w:rsid w:val="00AC1B1F"/>
    <w:rsid w:val="00AC1F5E"/>
    <w:rsid w:val="00AC2A7C"/>
    <w:rsid w:val="00AC2B6E"/>
    <w:rsid w:val="00AC2E8A"/>
    <w:rsid w:val="00AC47DE"/>
    <w:rsid w:val="00AC4D09"/>
    <w:rsid w:val="00AC5609"/>
    <w:rsid w:val="00AC63A7"/>
    <w:rsid w:val="00AC667B"/>
    <w:rsid w:val="00AC6E0C"/>
    <w:rsid w:val="00AC6E73"/>
    <w:rsid w:val="00AC76E5"/>
    <w:rsid w:val="00AC7A6E"/>
    <w:rsid w:val="00AC7E08"/>
    <w:rsid w:val="00AC7F7A"/>
    <w:rsid w:val="00AD00DA"/>
    <w:rsid w:val="00AD0AD8"/>
    <w:rsid w:val="00AD0B0A"/>
    <w:rsid w:val="00AD0B8F"/>
    <w:rsid w:val="00AD0BB1"/>
    <w:rsid w:val="00AD0C9F"/>
    <w:rsid w:val="00AD0E14"/>
    <w:rsid w:val="00AD1A7E"/>
    <w:rsid w:val="00AD2101"/>
    <w:rsid w:val="00AD2169"/>
    <w:rsid w:val="00AD23D7"/>
    <w:rsid w:val="00AD2525"/>
    <w:rsid w:val="00AD2649"/>
    <w:rsid w:val="00AD28EA"/>
    <w:rsid w:val="00AD2FA6"/>
    <w:rsid w:val="00AD3056"/>
    <w:rsid w:val="00AD3AF1"/>
    <w:rsid w:val="00AD3BF7"/>
    <w:rsid w:val="00AD3E28"/>
    <w:rsid w:val="00AD3FD0"/>
    <w:rsid w:val="00AD438D"/>
    <w:rsid w:val="00AD450F"/>
    <w:rsid w:val="00AD4637"/>
    <w:rsid w:val="00AD4D00"/>
    <w:rsid w:val="00AD4DE8"/>
    <w:rsid w:val="00AD5964"/>
    <w:rsid w:val="00AD5A86"/>
    <w:rsid w:val="00AD5AA1"/>
    <w:rsid w:val="00AD5FCB"/>
    <w:rsid w:val="00AD6064"/>
    <w:rsid w:val="00AD611C"/>
    <w:rsid w:val="00AD6393"/>
    <w:rsid w:val="00AD7440"/>
    <w:rsid w:val="00AD74AC"/>
    <w:rsid w:val="00AD7805"/>
    <w:rsid w:val="00AD7A2F"/>
    <w:rsid w:val="00AE00B8"/>
    <w:rsid w:val="00AE0444"/>
    <w:rsid w:val="00AE111C"/>
    <w:rsid w:val="00AE13E4"/>
    <w:rsid w:val="00AE14D2"/>
    <w:rsid w:val="00AE18E4"/>
    <w:rsid w:val="00AE1AF7"/>
    <w:rsid w:val="00AE2131"/>
    <w:rsid w:val="00AE23CD"/>
    <w:rsid w:val="00AE2408"/>
    <w:rsid w:val="00AE257D"/>
    <w:rsid w:val="00AE2672"/>
    <w:rsid w:val="00AE26E4"/>
    <w:rsid w:val="00AE3401"/>
    <w:rsid w:val="00AE3BBB"/>
    <w:rsid w:val="00AE42EB"/>
    <w:rsid w:val="00AE44A3"/>
    <w:rsid w:val="00AE53A7"/>
    <w:rsid w:val="00AE53DA"/>
    <w:rsid w:val="00AE56D4"/>
    <w:rsid w:val="00AE60A7"/>
    <w:rsid w:val="00AE6C8E"/>
    <w:rsid w:val="00AE6D5C"/>
    <w:rsid w:val="00AE7710"/>
    <w:rsid w:val="00AE7AE4"/>
    <w:rsid w:val="00AE7E9D"/>
    <w:rsid w:val="00AF0436"/>
    <w:rsid w:val="00AF0CB7"/>
    <w:rsid w:val="00AF113C"/>
    <w:rsid w:val="00AF180D"/>
    <w:rsid w:val="00AF206C"/>
    <w:rsid w:val="00AF23C4"/>
    <w:rsid w:val="00AF2591"/>
    <w:rsid w:val="00AF2B23"/>
    <w:rsid w:val="00AF2B5F"/>
    <w:rsid w:val="00AF36F2"/>
    <w:rsid w:val="00AF3C9F"/>
    <w:rsid w:val="00AF3CDA"/>
    <w:rsid w:val="00AF3E2D"/>
    <w:rsid w:val="00AF451F"/>
    <w:rsid w:val="00AF4820"/>
    <w:rsid w:val="00AF4894"/>
    <w:rsid w:val="00AF4FF2"/>
    <w:rsid w:val="00AF547E"/>
    <w:rsid w:val="00AF6254"/>
    <w:rsid w:val="00AF65A7"/>
    <w:rsid w:val="00AF71A9"/>
    <w:rsid w:val="00AF7CED"/>
    <w:rsid w:val="00B001F5"/>
    <w:rsid w:val="00B00590"/>
    <w:rsid w:val="00B011C0"/>
    <w:rsid w:val="00B014F9"/>
    <w:rsid w:val="00B01C65"/>
    <w:rsid w:val="00B02482"/>
    <w:rsid w:val="00B027BB"/>
    <w:rsid w:val="00B031A2"/>
    <w:rsid w:val="00B033F4"/>
    <w:rsid w:val="00B03634"/>
    <w:rsid w:val="00B04054"/>
    <w:rsid w:val="00B0428C"/>
    <w:rsid w:val="00B05DEA"/>
    <w:rsid w:val="00B05FD2"/>
    <w:rsid w:val="00B06EDF"/>
    <w:rsid w:val="00B072D0"/>
    <w:rsid w:val="00B0777B"/>
    <w:rsid w:val="00B10E99"/>
    <w:rsid w:val="00B10F54"/>
    <w:rsid w:val="00B11ABF"/>
    <w:rsid w:val="00B11D3F"/>
    <w:rsid w:val="00B123CF"/>
    <w:rsid w:val="00B12B4A"/>
    <w:rsid w:val="00B12E06"/>
    <w:rsid w:val="00B133DF"/>
    <w:rsid w:val="00B13841"/>
    <w:rsid w:val="00B1394E"/>
    <w:rsid w:val="00B1430D"/>
    <w:rsid w:val="00B14876"/>
    <w:rsid w:val="00B14DB9"/>
    <w:rsid w:val="00B14FF1"/>
    <w:rsid w:val="00B156ED"/>
    <w:rsid w:val="00B15CCD"/>
    <w:rsid w:val="00B15F08"/>
    <w:rsid w:val="00B15FC3"/>
    <w:rsid w:val="00B16291"/>
    <w:rsid w:val="00B16B3B"/>
    <w:rsid w:val="00B16B58"/>
    <w:rsid w:val="00B16D17"/>
    <w:rsid w:val="00B16D1C"/>
    <w:rsid w:val="00B16D69"/>
    <w:rsid w:val="00B17073"/>
    <w:rsid w:val="00B17108"/>
    <w:rsid w:val="00B174BE"/>
    <w:rsid w:val="00B204B6"/>
    <w:rsid w:val="00B2074C"/>
    <w:rsid w:val="00B20866"/>
    <w:rsid w:val="00B21226"/>
    <w:rsid w:val="00B223D5"/>
    <w:rsid w:val="00B227C8"/>
    <w:rsid w:val="00B22C82"/>
    <w:rsid w:val="00B22FB4"/>
    <w:rsid w:val="00B233A9"/>
    <w:rsid w:val="00B23FFA"/>
    <w:rsid w:val="00B242C7"/>
    <w:rsid w:val="00B24B7E"/>
    <w:rsid w:val="00B24E1C"/>
    <w:rsid w:val="00B24EFA"/>
    <w:rsid w:val="00B25139"/>
    <w:rsid w:val="00B25528"/>
    <w:rsid w:val="00B25CD6"/>
    <w:rsid w:val="00B25EEC"/>
    <w:rsid w:val="00B2697F"/>
    <w:rsid w:val="00B26F95"/>
    <w:rsid w:val="00B2701B"/>
    <w:rsid w:val="00B271BD"/>
    <w:rsid w:val="00B274F1"/>
    <w:rsid w:val="00B27654"/>
    <w:rsid w:val="00B278DB"/>
    <w:rsid w:val="00B27BA8"/>
    <w:rsid w:val="00B27C8C"/>
    <w:rsid w:val="00B27D3D"/>
    <w:rsid w:val="00B30245"/>
    <w:rsid w:val="00B305FD"/>
    <w:rsid w:val="00B3125B"/>
    <w:rsid w:val="00B313C3"/>
    <w:rsid w:val="00B3159C"/>
    <w:rsid w:val="00B31C35"/>
    <w:rsid w:val="00B31DE3"/>
    <w:rsid w:val="00B320C9"/>
    <w:rsid w:val="00B321A3"/>
    <w:rsid w:val="00B323BB"/>
    <w:rsid w:val="00B327C3"/>
    <w:rsid w:val="00B33C65"/>
    <w:rsid w:val="00B341E7"/>
    <w:rsid w:val="00B34C22"/>
    <w:rsid w:val="00B34DF7"/>
    <w:rsid w:val="00B34EB6"/>
    <w:rsid w:val="00B3570A"/>
    <w:rsid w:val="00B37130"/>
    <w:rsid w:val="00B3728B"/>
    <w:rsid w:val="00B3749D"/>
    <w:rsid w:val="00B37DE7"/>
    <w:rsid w:val="00B37EF0"/>
    <w:rsid w:val="00B37F51"/>
    <w:rsid w:val="00B40A04"/>
    <w:rsid w:val="00B40D91"/>
    <w:rsid w:val="00B40FE2"/>
    <w:rsid w:val="00B4103A"/>
    <w:rsid w:val="00B41330"/>
    <w:rsid w:val="00B4194D"/>
    <w:rsid w:val="00B42021"/>
    <w:rsid w:val="00B424FD"/>
    <w:rsid w:val="00B4262C"/>
    <w:rsid w:val="00B42757"/>
    <w:rsid w:val="00B42816"/>
    <w:rsid w:val="00B42C64"/>
    <w:rsid w:val="00B43621"/>
    <w:rsid w:val="00B439F9"/>
    <w:rsid w:val="00B43F58"/>
    <w:rsid w:val="00B43FA8"/>
    <w:rsid w:val="00B44115"/>
    <w:rsid w:val="00B44132"/>
    <w:rsid w:val="00B44B5B"/>
    <w:rsid w:val="00B44C32"/>
    <w:rsid w:val="00B45C50"/>
    <w:rsid w:val="00B45F60"/>
    <w:rsid w:val="00B46220"/>
    <w:rsid w:val="00B467AE"/>
    <w:rsid w:val="00B46A8A"/>
    <w:rsid w:val="00B46AF0"/>
    <w:rsid w:val="00B46CA1"/>
    <w:rsid w:val="00B47321"/>
    <w:rsid w:val="00B47DBF"/>
    <w:rsid w:val="00B50B91"/>
    <w:rsid w:val="00B50C4E"/>
    <w:rsid w:val="00B50CF4"/>
    <w:rsid w:val="00B50F37"/>
    <w:rsid w:val="00B5118E"/>
    <w:rsid w:val="00B513FF"/>
    <w:rsid w:val="00B51440"/>
    <w:rsid w:val="00B5184D"/>
    <w:rsid w:val="00B51A3B"/>
    <w:rsid w:val="00B5228A"/>
    <w:rsid w:val="00B527E0"/>
    <w:rsid w:val="00B5297E"/>
    <w:rsid w:val="00B52DB2"/>
    <w:rsid w:val="00B534BA"/>
    <w:rsid w:val="00B5388C"/>
    <w:rsid w:val="00B53BD4"/>
    <w:rsid w:val="00B53D65"/>
    <w:rsid w:val="00B544D2"/>
    <w:rsid w:val="00B5472B"/>
    <w:rsid w:val="00B54A21"/>
    <w:rsid w:val="00B54C07"/>
    <w:rsid w:val="00B54C41"/>
    <w:rsid w:val="00B54D18"/>
    <w:rsid w:val="00B54EC8"/>
    <w:rsid w:val="00B54F3C"/>
    <w:rsid w:val="00B554C9"/>
    <w:rsid w:val="00B55782"/>
    <w:rsid w:val="00B55F79"/>
    <w:rsid w:val="00B561CC"/>
    <w:rsid w:val="00B56384"/>
    <w:rsid w:val="00B565C1"/>
    <w:rsid w:val="00B56879"/>
    <w:rsid w:val="00B5730B"/>
    <w:rsid w:val="00B57EDD"/>
    <w:rsid w:val="00B60050"/>
    <w:rsid w:val="00B6075B"/>
    <w:rsid w:val="00B608ED"/>
    <w:rsid w:val="00B60E40"/>
    <w:rsid w:val="00B6261E"/>
    <w:rsid w:val="00B62A9B"/>
    <w:rsid w:val="00B62FF9"/>
    <w:rsid w:val="00B63FC4"/>
    <w:rsid w:val="00B6445D"/>
    <w:rsid w:val="00B6486C"/>
    <w:rsid w:val="00B64B0E"/>
    <w:rsid w:val="00B64EAD"/>
    <w:rsid w:val="00B652DC"/>
    <w:rsid w:val="00B65395"/>
    <w:rsid w:val="00B65D60"/>
    <w:rsid w:val="00B666C3"/>
    <w:rsid w:val="00B66762"/>
    <w:rsid w:val="00B6684A"/>
    <w:rsid w:val="00B66DC4"/>
    <w:rsid w:val="00B672CB"/>
    <w:rsid w:val="00B67656"/>
    <w:rsid w:val="00B67A5D"/>
    <w:rsid w:val="00B70266"/>
    <w:rsid w:val="00B70C61"/>
    <w:rsid w:val="00B71400"/>
    <w:rsid w:val="00B71719"/>
    <w:rsid w:val="00B71E54"/>
    <w:rsid w:val="00B71EB3"/>
    <w:rsid w:val="00B71FE1"/>
    <w:rsid w:val="00B728A9"/>
    <w:rsid w:val="00B72AAF"/>
    <w:rsid w:val="00B72D37"/>
    <w:rsid w:val="00B73114"/>
    <w:rsid w:val="00B73198"/>
    <w:rsid w:val="00B7330C"/>
    <w:rsid w:val="00B73BAB"/>
    <w:rsid w:val="00B73DCA"/>
    <w:rsid w:val="00B73E32"/>
    <w:rsid w:val="00B7408F"/>
    <w:rsid w:val="00B7537E"/>
    <w:rsid w:val="00B76BD7"/>
    <w:rsid w:val="00B76EBD"/>
    <w:rsid w:val="00B801C1"/>
    <w:rsid w:val="00B80250"/>
    <w:rsid w:val="00B8047A"/>
    <w:rsid w:val="00B8056B"/>
    <w:rsid w:val="00B81571"/>
    <w:rsid w:val="00B81DE8"/>
    <w:rsid w:val="00B81E02"/>
    <w:rsid w:val="00B82259"/>
    <w:rsid w:val="00B8243F"/>
    <w:rsid w:val="00B82D32"/>
    <w:rsid w:val="00B8321C"/>
    <w:rsid w:val="00B8340F"/>
    <w:rsid w:val="00B83EC1"/>
    <w:rsid w:val="00B843F0"/>
    <w:rsid w:val="00B84894"/>
    <w:rsid w:val="00B849D3"/>
    <w:rsid w:val="00B84A46"/>
    <w:rsid w:val="00B85298"/>
    <w:rsid w:val="00B86834"/>
    <w:rsid w:val="00B86BE8"/>
    <w:rsid w:val="00B87329"/>
    <w:rsid w:val="00B87DF6"/>
    <w:rsid w:val="00B915AB"/>
    <w:rsid w:val="00B91BDF"/>
    <w:rsid w:val="00B91E8D"/>
    <w:rsid w:val="00B9233B"/>
    <w:rsid w:val="00B92584"/>
    <w:rsid w:val="00B92AB7"/>
    <w:rsid w:val="00B92B86"/>
    <w:rsid w:val="00B9365C"/>
    <w:rsid w:val="00B93AA6"/>
    <w:rsid w:val="00B93B05"/>
    <w:rsid w:val="00B93C98"/>
    <w:rsid w:val="00B94499"/>
    <w:rsid w:val="00B94AD2"/>
    <w:rsid w:val="00B94D47"/>
    <w:rsid w:val="00B9520C"/>
    <w:rsid w:val="00B952B4"/>
    <w:rsid w:val="00B95B0E"/>
    <w:rsid w:val="00B96355"/>
    <w:rsid w:val="00B96A71"/>
    <w:rsid w:val="00B96D27"/>
    <w:rsid w:val="00B96F63"/>
    <w:rsid w:val="00B976D2"/>
    <w:rsid w:val="00B9770C"/>
    <w:rsid w:val="00BA0C62"/>
    <w:rsid w:val="00BA0FE8"/>
    <w:rsid w:val="00BA14D9"/>
    <w:rsid w:val="00BA1ED8"/>
    <w:rsid w:val="00BA2510"/>
    <w:rsid w:val="00BA2515"/>
    <w:rsid w:val="00BA25FD"/>
    <w:rsid w:val="00BA3534"/>
    <w:rsid w:val="00BA37BA"/>
    <w:rsid w:val="00BA3EE0"/>
    <w:rsid w:val="00BA3F50"/>
    <w:rsid w:val="00BA4540"/>
    <w:rsid w:val="00BA45CA"/>
    <w:rsid w:val="00BA4F6C"/>
    <w:rsid w:val="00BA56C7"/>
    <w:rsid w:val="00BA5BF4"/>
    <w:rsid w:val="00BA5F22"/>
    <w:rsid w:val="00BA6161"/>
    <w:rsid w:val="00BA6B0A"/>
    <w:rsid w:val="00BA6CAA"/>
    <w:rsid w:val="00BA706A"/>
    <w:rsid w:val="00BA72C6"/>
    <w:rsid w:val="00BA7470"/>
    <w:rsid w:val="00BA7995"/>
    <w:rsid w:val="00BA7D2D"/>
    <w:rsid w:val="00BB0219"/>
    <w:rsid w:val="00BB0DD3"/>
    <w:rsid w:val="00BB0F3F"/>
    <w:rsid w:val="00BB1162"/>
    <w:rsid w:val="00BB175C"/>
    <w:rsid w:val="00BB2104"/>
    <w:rsid w:val="00BB2247"/>
    <w:rsid w:val="00BB22A1"/>
    <w:rsid w:val="00BB25E4"/>
    <w:rsid w:val="00BB26CC"/>
    <w:rsid w:val="00BB2BEA"/>
    <w:rsid w:val="00BB420C"/>
    <w:rsid w:val="00BB4B3F"/>
    <w:rsid w:val="00BB5746"/>
    <w:rsid w:val="00BB5C17"/>
    <w:rsid w:val="00BB5F80"/>
    <w:rsid w:val="00BB68D9"/>
    <w:rsid w:val="00BB6C05"/>
    <w:rsid w:val="00BB7318"/>
    <w:rsid w:val="00BB7425"/>
    <w:rsid w:val="00BB7B6D"/>
    <w:rsid w:val="00BC011D"/>
    <w:rsid w:val="00BC035C"/>
    <w:rsid w:val="00BC042A"/>
    <w:rsid w:val="00BC0648"/>
    <w:rsid w:val="00BC0F30"/>
    <w:rsid w:val="00BC191E"/>
    <w:rsid w:val="00BC1D15"/>
    <w:rsid w:val="00BC25DC"/>
    <w:rsid w:val="00BC27D7"/>
    <w:rsid w:val="00BC2887"/>
    <w:rsid w:val="00BC3358"/>
    <w:rsid w:val="00BC45BD"/>
    <w:rsid w:val="00BC4D4E"/>
    <w:rsid w:val="00BC4EE7"/>
    <w:rsid w:val="00BC5A14"/>
    <w:rsid w:val="00BC64AE"/>
    <w:rsid w:val="00BC6761"/>
    <w:rsid w:val="00BC7801"/>
    <w:rsid w:val="00BC7D08"/>
    <w:rsid w:val="00BD0554"/>
    <w:rsid w:val="00BD07E6"/>
    <w:rsid w:val="00BD07F0"/>
    <w:rsid w:val="00BD10BD"/>
    <w:rsid w:val="00BD122F"/>
    <w:rsid w:val="00BD124D"/>
    <w:rsid w:val="00BD2C4C"/>
    <w:rsid w:val="00BD2CEC"/>
    <w:rsid w:val="00BD358A"/>
    <w:rsid w:val="00BD3DD0"/>
    <w:rsid w:val="00BD3FC0"/>
    <w:rsid w:val="00BD4364"/>
    <w:rsid w:val="00BD4937"/>
    <w:rsid w:val="00BD4C8F"/>
    <w:rsid w:val="00BD4E95"/>
    <w:rsid w:val="00BD5423"/>
    <w:rsid w:val="00BD5501"/>
    <w:rsid w:val="00BD5B75"/>
    <w:rsid w:val="00BD6928"/>
    <w:rsid w:val="00BD7668"/>
    <w:rsid w:val="00BD795F"/>
    <w:rsid w:val="00BD7E04"/>
    <w:rsid w:val="00BE0C9A"/>
    <w:rsid w:val="00BE0D6C"/>
    <w:rsid w:val="00BE0EF7"/>
    <w:rsid w:val="00BE181E"/>
    <w:rsid w:val="00BE22AC"/>
    <w:rsid w:val="00BE22CC"/>
    <w:rsid w:val="00BE2D38"/>
    <w:rsid w:val="00BE2E0C"/>
    <w:rsid w:val="00BE3082"/>
    <w:rsid w:val="00BE33CB"/>
    <w:rsid w:val="00BE381F"/>
    <w:rsid w:val="00BE3B11"/>
    <w:rsid w:val="00BE3E31"/>
    <w:rsid w:val="00BE4CD8"/>
    <w:rsid w:val="00BE4D4D"/>
    <w:rsid w:val="00BE4FD3"/>
    <w:rsid w:val="00BE59A3"/>
    <w:rsid w:val="00BE6007"/>
    <w:rsid w:val="00BE66BF"/>
    <w:rsid w:val="00BE69BA"/>
    <w:rsid w:val="00BE6BFE"/>
    <w:rsid w:val="00BE78E2"/>
    <w:rsid w:val="00BE7FB9"/>
    <w:rsid w:val="00BF0BD0"/>
    <w:rsid w:val="00BF0F38"/>
    <w:rsid w:val="00BF1653"/>
    <w:rsid w:val="00BF2028"/>
    <w:rsid w:val="00BF2414"/>
    <w:rsid w:val="00BF293C"/>
    <w:rsid w:val="00BF31B2"/>
    <w:rsid w:val="00BF351D"/>
    <w:rsid w:val="00BF3A75"/>
    <w:rsid w:val="00BF40E4"/>
    <w:rsid w:val="00BF4266"/>
    <w:rsid w:val="00BF454A"/>
    <w:rsid w:val="00BF4954"/>
    <w:rsid w:val="00BF4D6C"/>
    <w:rsid w:val="00BF5891"/>
    <w:rsid w:val="00BF5AF8"/>
    <w:rsid w:val="00BF5FCC"/>
    <w:rsid w:val="00BF6C15"/>
    <w:rsid w:val="00BF7019"/>
    <w:rsid w:val="00BF70DA"/>
    <w:rsid w:val="00BF7BBB"/>
    <w:rsid w:val="00BF7C2E"/>
    <w:rsid w:val="00BF7E20"/>
    <w:rsid w:val="00BF7F55"/>
    <w:rsid w:val="00C00EBD"/>
    <w:rsid w:val="00C01157"/>
    <w:rsid w:val="00C0239C"/>
    <w:rsid w:val="00C02C50"/>
    <w:rsid w:val="00C02C83"/>
    <w:rsid w:val="00C03516"/>
    <w:rsid w:val="00C0381B"/>
    <w:rsid w:val="00C03B39"/>
    <w:rsid w:val="00C03FC5"/>
    <w:rsid w:val="00C04E05"/>
    <w:rsid w:val="00C05432"/>
    <w:rsid w:val="00C0584E"/>
    <w:rsid w:val="00C05C09"/>
    <w:rsid w:val="00C05CA7"/>
    <w:rsid w:val="00C0604E"/>
    <w:rsid w:val="00C06175"/>
    <w:rsid w:val="00C0693A"/>
    <w:rsid w:val="00C06BBB"/>
    <w:rsid w:val="00C07C56"/>
    <w:rsid w:val="00C100B4"/>
    <w:rsid w:val="00C10DA8"/>
    <w:rsid w:val="00C10F6D"/>
    <w:rsid w:val="00C11159"/>
    <w:rsid w:val="00C112A7"/>
    <w:rsid w:val="00C1246F"/>
    <w:rsid w:val="00C126B4"/>
    <w:rsid w:val="00C128B5"/>
    <w:rsid w:val="00C13178"/>
    <w:rsid w:val="00C13197"/>
    <w:rsid w:val="00C134E3"/>
    <w:rsid w:val="00C13722"/>
    <w:rsid w:val="00C145E8"/>
    <w:rsid w:val="00C14779"/>
    <w:rsid w:val="00C14C10"/>
    <w:rsid w:val="00C15055"/>
    <w:rsid w:val="00C15084"/>
    <w:rsid w:val="00C15277"/>
    <w:rsid w:val="00C15B6D"/>
    <w:rsid w:val="00C160F9"/>
    <w:rsid w:val="00C16830"/>
    <w:rsid w:val="00C16943"/>
    <w:rsid w:val="00C17AA8"/>
    <w:rsid w:val="00C17BEB"/>
    <w:rsid w:val="00C20104"/>
    <w:rsid w:val="00C20425"/>
    <w:rsid w:val="00C20B36"/>
    <w:rsid w:val="00C20CB2"/>
    <w:rsid w:val="00C217D1"/>
    <w:rsid w:val="00C217EB"/>
    <w:rsid w:val="00C218A8"/>
    <w:rsid w:val="00C21D00"/>
    <w:rsid w:val="00C21D23"/>
    <w:rsid w:val="00C21D92"/>
    <w:rsid w:val="00C2210F"/>
    <w:rsid w:val="00C227FC"/>
    <w:rsid w:val="00C22CE2"/>
    <w:rsid w:val="00C2349B"/>
    <w:rsid w:val="00C234FF"/>
    <w:rsid w:val="00C236F4"/>
    <w:rsid w:val="00C23A4A"/>
    <w:rsid w:val="00C2482C"/>
    <w:rsid w:val="00C24E5F"/>
    <w:rsid w:val="00C255DF"/>
    <w:rsid w:val="00C25655"/>
    <w:rsid w:val="00C256A5"/>
    <w:rsid w:val="00C257A3"/>
    <w:rsid w:val="00C25A6C"/>
    <w:rsid w:val="00C26FC3"/>
    <w:rsid w:val="00C27108"/>
    <w:rsid w:val="00C271AC"/>
    <w:rsid w:val="00C27352"/>
    <w:rsid w:val="00C27361"/>
    <w:rsid w:val="00C27776"/>
    <w:rsid w:val="00C277ED"/>
    <w:rsid w:val="00C27949"/>
    <w:rsid w:val="00C279FD"/>
    <w:rsid w:val="00C27ACF"/>
    <w:rsid w:val="00C27F12"/>
    <w:rsid w:val="00C301D3"/>
    <w:rsid w:val="00C303F1"/>
    <w:rsid w:val="00C312E7"/>
    <w:rsid w:val="00C315A0"/>
    <w:rsid w:val="00C318F6"/>
    <w:rsid w:val="00C31B6D"/>
    <w:rsid w:val="00C31DD0"/>
    <w:rsid w:val="00C31FB8"/>
    <w:rsid w:val="00C32EA3"/>
    <w:rsid w:val="00C331BD"/>
    <w:rsid w:val="00C339E2"/>
    <w:rsid w:val="00C34409"/>
    <w:rsid w:val="00C34F2B"/>
    <w:rsid w:val="00C3522E"/>
    <w:rsid w:val="00C35A40"/>
    <w:rsid w:val="00C36571"/>
    <w:rsid w:val="00C366C4"/>
    <w:rsid w:val="00C366EF"/>
    <w:rsid w:val="00C36827"/>
    <w:rsid w:val="00C36DEF"/>
    <w:rsid w:val="00C37650"/>
    <w:rsid w:val="00C37C18"/>
    <w:rsid w:val="00C37DD5"/>
    <w:rsid w:val="00C37EDD"/>
    <w:rsid w:val="00C40735"/>
    <w:rsid w:val="00C40D66"/>
    <w:rsid w:val="00C40E9D"/>
    <w:rsid w:val="00C410A9"/>
    <w:rsid w:val="00C41185"/>
    <w:rsid w:val="00C412EF"/>
    <w:rsid w:val="00C4132C"/>
    <w:rsid w:val="00C416D4"/>
    <w:rsid w:val="00C4198B"/>
    <w:rsid w:val="00C41A06"/>
    <w:rsid w:val="00C41EDE"/>
    <w:rsid w:val="00C42E92"/>
    <w:rsid w:val="00C431CC"/>
    <w:rsid w:val="00C43833"/>
    <w:rsid w:val="00C43C04"/>
    <w:rsid w:val="00C44902"/>
    <w:rsid w:val="00C453E0"/>
    <w:rsid w:val="00C45464"/>
    <w:rsid w:val="00C45615"/>
    <w:rsid w:val="00C4684C"/>
    <w:rsid w:val="00C46CE8"/>
    <w:rsid w:val="00C475B8"/>
    <w:rsid w:val="00C476AA"/>
    <w:rsid w:val="00C47D84"/>
    <w:rsid w:val="00C500F8"/>
    <w:rsid w:val="00C50370"/>
    <w:rsid w:val="00C50B1C"/>
    <w:rsid w:val="00C51C03"/>
    <w:rsid w:val="00C52524"/>
    <w:rsid w:val="00C5285F"/>
    <w:rsid w:val="00C52BC9"/>
    <w:rsid w:val="00C52BDA"/>
    <w:rsid w:val="00C52D89"/>
    <w:rsid w:val="00C5356B"/>
    <w:rsid w:val="00C54781"/>
    <w:rsid w:val="00C5487B"/>
    <w:rsid w:val="00C54B9C"/>
    <w:rsid w:val="00C55448"/>
    <w:rsid w:val="00C55A98"/>
    <w:rsid w:val="00C55E1F"/>
    <w:rsid w:val="00C55EBA"/>
    <w:rsid w:val="00C5670D"/>
    <w:rsid w:val="00C56868"/>
    <w:rsid w:val="00C56F38"/>
    <w:rsid w:val="00C57DB2"/>
    <w:rsid w:val="00C57FEE"/>
    <w:rsid w:val="00C60046"/>
    <w:rsid w:val="00C60B3F"/>
    <w:rsid w:val="00C61764"/>
    <w:rsid w:val="00C62314"/>
    <w:rsid w:val="00C62CA4"/>
    <w:rsid w:val="00C62F8D"/>
    <w:rsid w:val="00C6308A"/>
    <w:rsid w:val="00C633DF"/>
    <w:rsid w:val="00C63669"/>
    <w:rsid w:val="00C6442F"/>
    <w:rsid w:val="00C659C1"/>
    <w:rsid w:val="00C65B90"/>
    <w:rsid w:val="00C66291"/>
    <w:rsid w:val="00C662BA"/>
    <w:rsid w:val="00C6649D"/>
    <w:rsid w:val="00C665C5"/>
    <w:rsid w:val="00C6691B"/>
    <w:rsid w:val="00C66BFF"/>
    <w:rsid w:val="00C673C3"/>
    <w:rsid w:val="00C6762C"/>
    <w:rsid w:val="00C70A38"/>
    <w:rsid w:val="00C71202"/>
    <w:rsid w:val="00C71900"/>
    <w:rsid w:val="00C71B9E"/>
    <w:rsid w:val="00C721BC"/>
    <w:rsid w:val="00C7236C"/>
    <w:rsid w:val="00C72BF6"/>
    <w:rsid w:val="00C72F42"/>
    <w:rsid w:val="00C731B4"/>
    <w:rsid w:val="00C73C1C"/>
    <w:rsid w:val="00C7402A"/>
    <w:rsid w:val="00C74179"/>
    <w:rsid w:val="00C74654"/>
    <w:rsid w:val="00C746EF"/>
    <w:rsid w:val="00C74788"/>
    <w:rsid w:val="00C74A95"/>
    <w:rsid w:val="00C75769"/>
    <w:rsid w:val="00C75B16"/>
    <w:rsid w:val="00C76160"/>
    <w:rsid w:val="00C76A3C"/>
    <w:rsid w:val="00C76ABF"/>
    <w:rsid w:val="00C76D65"/>
    <w:rsid w:val="00C771DE"/>
    <w:rsid w:val="00C7768A"/>
    <w:rsid w:val="00C77F19"/>
    <w:rsid w:val="00C807F1"/>
    <w:rsid w:val="00C8095B"/>
    <w:rsid w:val="00C80A9E"/>
    <w:rsid w:val="00C80E19"/>
    <w:rsid w:val="00C81C0E"/>
    <w:rsid w:val="00C82A17"/>
    <w:rsid w:val="00C83439"/>
    <w:rsid w:val="00C83573"/>
    <w:rsid w:val="00C835AA"/>
    <w:rsid w:val="00C8396B"/>
    <w:rsid w:val="00C84590"/>
    <w:rsid w:val="00C8478D"/>
    <w:rsid w:val="00C84A91"/>
    <w:rsid w:val="00C85CA5"/>
    <w:rsid w:val="00C85EF0"/>
    <w:rsid w:val="00C86CA5"/>
    <w:rsid w:val="00C86FDB"/>
    <w:rsid w:val="00C876F5"/>
    <w:rsid w:val="00C90DAA"/>
    <w:rsid w:val="00C92967"/>
    <w:rsid w:val="00C92D6C"/>
    <w:rsid w:val="00C92E4F"/>
    <w:rsid w:val="00C932BC"/>
    <w:rsid w:val="00C93684"/>
    <w:rsid w:val="00C93791"/>
    <w:rsid w:val="00C93F7A"/>
    <w:rsid w:val="00C9411C"/>
    <w:rsid w:val="00C94417"/>
    <w:rsid w:val="00C9466F"/>
    <w:rsid w:val="00C951E1"/>
    <w:rsid w:val="00C95716"/>
    <w:rsid w:val="00C95C88"/>
    <w:rsid w:val="00C95E73"/>
    <w:rsid w:val="00C96195"/>
    <w:rsid w:val="00C96231"/>
    <w:rsid w:val="00C96933"/>
    <w:rsid w:val="00C96AFD"/>
    <w:rsid w:val="00C970B9"/>
    <w:rsid w:val="00C979EF"/>
    <w:rsid w:val="00C97A9A"/>
    <w:rsid w:val="00CA029D"/>
    <w:rsid w:val="00CA0453"/>
    <w:rsid w:val="00CA099E"/>
    <w:rsid w:val="00CA1135"/>
    <w:rsid w:val="00CA16C7"/>
    <w:rsid w:val="00CA18E4"/>
    <w:rsid w:val="00CA247D"/>
    <w:rsid w:val="00CA2855"/>
    <w:rsid w:val="00CA2B66"/>
    <w:rsid w:val="00CA2CD4"/>
    <w:rsid w:val="00CA4237"/>
    <w:rsid w:val="00CA4370"/>
    <w:rsid w:val="00CA4796"/>
    <w:rsid w:val="00CA4CDC"/>
    <w:rsid w:val="00CA507F"/>
    <w:rsid w:val="00CA51DB"/>
    <w:rsid w:val="00CA56DE"/>
    <w:rsid w:val="00CA5795"/>
    <w:rsid w:val="00CA59F7"/>
    <w:rsid w:val="00CA65D0"/>
    <w:rsid w:val="00CA6ABF"/>
    <w:rsid w:val="00CA789C"/>
    <w:rsid w:val="00CA7C65"/>
    <w:rsid w:val="00CB0651"/>
    <w:rsid w:val="00CB074F"/>
    <w:rsid w:val="00CB0B6D"/>
    <w:rsid w:val="00CB0BC9"/>
    <w:rsid w:val="00CB0F8A"/>
    <w:rsid w:val="00CB0FB9"/>
    <w:rsid w:val="00CB13E3"/>
    <w:rsid w:val="00CB1670"/>
    <w:rsid w:val="00CB176D"/>
    <w:rsid w:val="00CB200A"/>
    <w:rsid w:val="00CB28A7"/>
    <w:rsid w:val="00CB309C"/>
    <w:rsid w:val="00CB3165"/>
    <w:rsid w:val="00CB37D3"/>
    <w:rsid w:val="00CB4652"/>
    <w:rsid w:val="00CB474D"/>
    <w:rsid w:val="00CB4F77"/>
    <w:rsid w:val="00CB556E"/>
    <w:rsid w:val="00CB5737"/>
    <w:rsid w:val="00CB5800"/>
    <w:rsid w:val="00CB5ACF"/>
    <w:rsid w:val="00CB5BE9"/>
    <w:rsid w:val="00CB5E91"/>
    <w:rsid w:val="00CB5F58"/>
    <w:rsid w:val="00CB6446"/>
    <w:rsid w:val="00CB6924"/>
    <w:rsid w:val="00CB6B11"/>
    <w:rsid w:val="00CB6C88"/>
    <w:rsid w:val="00CB74B9"/>
    <w:rsid w:val="00CB74D6"/>
    <w:rsid w:val="00CB7880"/>
    <w:rsid w:val="00CB7881"/>
    <w:rsid w:val="00CB78FF"/>
    <w:rsid w:val="00CB7AF9"/>
    <w:rsid w:val="00CB7B9E"/>
    <w:rsid w:val="00CC0111"/>
    <w:rsid w:val="00CC13CA"/>
    <w:rsid w:val="00CC165E"/>
    <w:rsid w:val="00CC23D5"/>
    <w:rsid w:val="00CC2AEF"/>
    <w:rsid w:val="00CC3518"/>
    <w:rsid w:val="00CC363F"/>
    <w:rsid w:val="00CC3B25"/>
    <w:rsid w:val="00CC3EA2"/>
    <w:rsid w:val="00CC4155"/>
    <w:rsid w:val="00CC4326"/>
    <w:rsid w:val="00CC4486"/>
    <w:rsid w:val="00CC4700"/>
    <w:rsid w:val="00CC47DD"/>
    <w:rsid w:val="00CC4B42"/>
    <w:rsid w:val="00CC4D97"/>
    <w:rsid w:val="00CC55CD"/>
    <w:rsid w:val="00CC5632"/>
    <w:rsid w:val="00CC7209"/>
    <w:rsid w:val="00CC7664"/>
    <w:rsid w:val="00CC77F4"/>
    <w:rsid w:val="00CC7F64"/>
    <w:rsid w:val="00CD0608"/>
    <w:rsid w:val="00CD061D"/>
    <w:rsid w:val="00CD0622"/>
    <w:rsid w:val="00CD070D"/>
    <w:rsid w:val="00CD0F24"/>
    <w:rsid w:val="00CD10FD"/>
    <w:rsid w:val="00CD17E5"/>
    <w:rsid w:val="00CD21D1"/>
    <w:rsid w:val="00CD3950"/>
    <w:rsid w:val="00CD46E7"/>
    <w:rsid w:val="00CD4785"/>
    <w:rsid w:val="00CD4BF3"/>
    <w:rsid w:val="00CD4D1C"/>
    <w:rsid w:val="00CD56FC"/>
    <w:rsid w:val="00CD5ACE"/>
    <w:rsid w:val="00CD5E26"/>
    <w:rsid w:val="00CD5EB8"/>
    <w:rsid w:val="00CD6DC7"/>
    <w:rsid w:val="00CD7B92"/>
    <w:rsid w:val="00CD7CBE"/>
    <w:rsid w:val="00CE036C"/>
    <w:rsid w:val="00CE04AC"/>
    <w:rsid w:val="00CE07EF"/>
    <w:rsid w:val="00CE15DC"/>
    <w:rsid w:val="00CE16AF"/>
    <w:rsid w:val="00CE19A8"/>
    <w:rsid w:val="00CE23AC"/>
    <w:rsid w:val="00CE3321"/>
    <w:rsid w:val="00CE4887"/>
    <w:rsid w:val="00CE4D43"/>
    <w:rsid w:val="00CE4DE4"/>
    <w:rsid w:val="00CE4DEC"/>
    <w:rsid w:val="00CE59BB"/>
    <w:rsid w:val="00CE5A28"/>
    <w:rsid w:val="00CE5C0C"/>
    <w:rsid w:val="00CE5C8A"/>
    <w:rsid w:val="00CE64F4"/>
    <w:rsid w:val="00CE6926"/>
    <w:rsid w:val="00CE6962"/>
    <w:rsid w:val="00CE6FC3"/>
    <w:rsid w:val="00CE73EC"/>
    <w:rsid w:val="00CE75CA"/>
    <w:rsid w:val="00CE7F8B"/>
    <w:rsid w:val="00CF0602"/>
    <w:rsid w:val="00CF079F"/>
    <w:rsid w:val="00CF0D32"/>
    <w:rsid w:val="00CF10C4"/>
    <w:rsid w:val="00CF11B4"/>
    <w:rsid w:val="00CF169F"/>
    <w:rsid w:val="00CF1BED"/>
    <w:rsid w:val="00CF1BFD"/>
    <w:rsid w:val="00CF1FC1"/>
    <w:rsid w:val="00CF29AB"/>
    <w:rsid w:val="00CF2E40"/>
    <w:rsid w:val="00CF3601"/>
    <w:rsid w:val="00CF3B4D"/>
    <w:rsid w:val="00CF44C5"/>
    <w:rsid w:val="00CF474E"/>
    <w:rsid w:val="00CF4933"/>
    <w:rsid w:val="00CF4DDD"/>
    <w:rsid w:val="00CF4EC3"/>
    <w:rsid w:val="00CF4FC5"/>
    <w:rsid w:val="00CF5E23"/>
    <w:rsid w:val="00CF632A"/>
    <w:rsid w:val="00CF6981"/>
    <w:rsid w:val="00CF6D1F"/>
    <w:rsid w:val="00CF6E60"/>
    <w:rsid w:val="00CF6E74"/>
    <w:rsid w:val="00CF70C4"/>
    <w:rsid w:val="00CF7580"/>
    <w:rsid w:val="00CF7867"/>
    <w:rsid w:val="00CF7972"/>
    <w:rsid w:val="00CF79DB"/>
    <w:rsid w:val="00D00093"/>
    <w:rsid w:val="00D001C2"/>
    <w:rsid w:val="00D0038F"/>
    <w:rsid w:val="00D00F21"/>
    <w:rsid w:val="00D01B89"/>
    <w:rsid w:val="00D01C5E"/>
    <w:rsid w:val="00D021F4"/>
    <w:rsid w:val="00D02305"/>
    <w:rsid w:val="00D02CEF"/>
    <w:rsid w:val="00D03017"/>
    <w:rsid w:val="00D03466"/>
    <w:rsid w:val="00D03517"/>
    <w:rsid w:val="00D03852"/>
    <w:rsid w:val="00D03969"/>
    <w:rsid w:val="00D03B0B"/>
    <w:rsid w:val="00D0441C"/>
    <w:rsid w:val="00D04455"/>
    <w:rsid w:val="00D04629"/>
    <w:rsid w:val="00D04C56"/>
    <w:rsid w:val="00D05768"/>
    <w:rsid w:val="00D05A47"/>
    <w:rsid w:val="00D05CF3"/>
    <w:rsid w:val="00D06EA2"/>
    <w:rsid w:val="00D076E2"/>
    <w:rsid w:val="00D07B54"/>
    <w:rsid w:val="00D07BCD"/>
    <w:rsid w:val="00D100A2"/>
    <w:rsid w:val="00D1022C"/>
    <w:rsid w:val="00D107E9"/>
    <w:rsid w:val="00D116C6"/>
    <w:rsid w:val="00D11BF0"/>
    <w:rsid w:val="00D12051"/>
    <w:rsid w:val="00D12496"/>
    <w:rsid w:val="00D12AF1"/>
    <w:rsid w:val="00D12EFA"/>
    <w:rsid w:val="00D13FE8"/>
    <w:rsid w:val="00D146C0"/>
    <w:rsid w:val="00D14BA9"/>
    <w:rsid w:val="00D152F8"/>
    <w:rsid w:val="00D15669"/>
    <w:rsid w:val="00D15A02"/>
    <w:rsid w:val="00D15D4F"/>
    <w:rsid w:val="00D164CF"/>
    <w:rsid w:val="00D16624"/>
    <w:rsid w:val="00D16AAF"/>
    <w:rsid w:val="00D179F4"/>
    <w:rsid w:val="00D17AC1"/>
    <w:rsid w:val="00D2009A"/>
    <w:rsid w:val="00D208F8"/>
    <w:rsid w:val="00D20B5B"/>
    <w:rsid w:val="00D20E95"/>
    <w:rsid w:val="00D20F66"/>
    <w:rsid w:val="00D223D9"/>
    <w:rsid w:val="00D224F5"/>
    <w:rsid w:val="00D224FB"/>
    <w:rsid w:val="00D2258C"/>
    <w:rsid w:val="00D232D1"/>
    <w:rsid w:val="00D23310"/>
    <w:rsid w:val="00D23822"/>
    <w:rsid w:val="00D238F7"/>
    <w:rsid w:val="00D2416C"/>
    <w:rsid w:val="00D245A4"/>
    <w:rsid w:val="00D25A4E"/>
    <w:rsid w:val="00D25B4B"/>
    <w:rsid w:val="00D25B87"/>
    <w:rsid w:val="00D271D0"/>
    <w:rsid w:val="00D2750D"/>
    <w:rsid w:val="00D279B3"/>
    <w:rsid w:val="00D30197"/>
    <w:rsid w:val="00D30EFB"/>
    <w:rsid w:val="00D3120E"/>
    <w:rsid w:val="00D31618"/>
    <w:rsid w:val="00D319E3"/>
    <w:rsid w:val="00D327EB"/>
    <w:rsid w:val="00D33197"/>
    <w:rsid w:val="00D33B03"/>
    <w:rsid w:val="00D340F0"/>
    <w:rsid w:val="00D34211"/>
    <w:rsid w:val="00D346C9"/>
    <w:rsid w:val="00D34DBB"/>
    <w:rsid w:val="00D35D76"/>
    <w:rsid w:val="00D3606B"/>
    <w:rsid w:val="00D36744"/>
    <w:rsid w:val="00D36CAC"/>
    <w:rsid w:val="00D36E75"/>
    <w:rsid w:val="00D370F8"/>
    <w:rsid w:val="00D37A4D"/>
    <w:rsid w:val="00D37A5F"/>
    <w:rsid w:val="00D37E2B"/>
    <w:rsid w:val="00D40045"/>
    <w:rsid w:val="00D401FC"/>
    <w:rsid w:val="00D40427"/>
    <w:rsid w:val="00D40477"/>
    <w:rsid w:val="00D41067"/>
    <w:rsid w:val="00D41FAA"/>
    <w:rsid w:val="00D42869"/>
    <w:rsid w:val="00D428BF"/>
    <w:rsid w:val="00D429AB"/>
    <w:rsid w:val="00D42B49"/>
    <w:rsid w:val="00D43F96"/>
    <w:rsid w:val="00D4434B"/>
    <w:rsid w:val="00D444BD"/>
    <w:rsid w:val="00D44638"/>
    <w:rsid w:val="00D44AB8"/>
    <w:rsid w:val="00D4565C"/>
    <w:rsid w:val="00D45CE4"/>
    <w:rsid w:val="00D460B4"/>
    <w:rsid w:val="00D465A3"/>
    <w:rsid w:val="00D4661E"/>
    <w:rsid w:val="00D4743F"/>
    <w:rsid w:val="00D509B7"/>
    <w:rsid w:val="00D51C50"/>
    <w:rsid w:val="00D53091"/>
    <w:rsid w:val="00D530F6"/>
    <w:rsid w:val="00D533D8"/>
    <w:rsid w:val="00D53FE0"/>
    <w:rsid w:val="00D5403E"/>
    <w:rsid w:val="00D54146"/>
    <w:rsid w:val="00D54362"/>
    <w:rsid w:val="00D54F3E"/>
    <w:rsid w:val="00D55222"/>
    <w:rsid w:val="00D554F6"/>
    <w:rsid w:val="00D555AD"/>
    <w:rsid w:val="00D55C14"/>
    <w:rsid w:val="00D5605D"/>
    <w:rsid w:val="00D56B03"/>
    <w:rsid w:val="00D5727E"/>
    <w:rsid w:val="00D577DA"/>
    <w:rsid w:val="00D5781A"/>
    <w:rsid w:val="00D57878"/>
    <w:rsid w:val="00D57E84"/>
    <w:rsid w:val="00D60603"/>
    <w:rsid w:val="00D6125B"/>
    <w:rsid w:val="00D613A7"/>
    <w:rsid w:val="00D6188D"/>
    <w:rsid w:val="00D61A45"/>
    <w:rsid w:val="00D62620"/>
    <w:rsid w:val="00D626C5"/>
    <w:rsid w:val="00D627C1"/>
    <w:rsid w:val="00D63182"/>
    <w:rsid w:val="00D636EE"/>
    <w:rsid w:val="00D637CA"/>
    <w:rsid w:val="00D63A91"/>
    <w:rsid w:val="00D63AF2"/>
    <w:rsid w:val="00D63DE8"/>
    <w:rsid w:val="00D63E6C"/>
    <w:rsid w:val="00D641E2"/>
    <w:rsid w:val="00D64215"/>
    <w:rsid w:val="00D6424D"/>
    <w:rsid w:val="00D64875"/>
    <w:rsid w:val="00D648E0"/>
    <w:rsid w:val="00D64958"/>
    <w:rsid w:val="00D649E9"/>
    <w:rsid w:val="00D64FBD"/>
    <w:rsid w:val="00D65895"/>
    <w:rsid w:val="00D65C82"/>
    <w:rsid w:val="00D65C86"/>
    <w:rsid w:val="00D66D70"/>
    <w:rsid w:val="00D670F3"/>
    <w:rsid w:val="00D70B6B"/>
    <w:rsid w:val="00D7162E"/>
    <w:rsid w:val="00D719A2"/>
    <w:rsid w:val="00D71D8A"/>
    <w:rsid w:val="00D72111"/>
    <w:rsid w:val="00D73733"/>
    <w:rsid w:val="00D73BA7"/>
    <w:rsid w:val="00D7456F"/>
    <w:rsid w:val="00D74D51"/>
    <w:rsid w:val="00D7565B"/>
    <w:rsid w:val="00D75F2D"/>
    <w:rsid w:val="00D773CB"/>
    <w:rsid w:val="00D77F3E"/>
    <w:rsid w:val="00D80858"/>
    <w:rsid w:val="00D81BE1"/>
    <w:rsid w:val="00D834F5"/>
    <w:rsid w:val="00D83D13"/>
    <w:rsid w:val="00D84232"/>
    <w:rsid w:val="00D846E1"/>
    <w:rsid w:val="00D848DD"/>
    <w:rsid w:val="00D84AE2"/>
    <w:rsid w:val="00D85532"/>
    <w:rsid w:val="00D85663"/>
    <w:rsid w:val="00D858CB"/>
    <w:rsid w:val="00D85C99"/>
    <w:rsid w:val="00D85EAD"/>
    <w:rsid w:val="00D8630E"/>
    <w:rsid w:val="00D866A3"/>
    <w:rsid w:val="00D8699D"/>
    <w:rsid w:val="00D86D11"/>
    <w:rsid w:val="00D8716B"/>
    <w:rsid w:val="00D8753D"/>
    <w:rsid w:val="00D875A3"/>
    <w:rsid w:val="00D90A23"/>
    <w:rsid w:val="00D90DA8"/>
    <w:rsid w:val="00D91510"/>
    <w:rsid w:val="00D92088"/>
    <w:rsid w:val="00D925C3"/>
    <w:rsid w:val="00D92607"/>
    <w:rsid w:val="00D9305A"/>
    <w:rsid w:val="00D930C2"/>
    <w:rsid w:val="00D93496"/>
    <w:rsid w:val="00D937B4"/>
    <w:rsid w:val="00D93AA9"/>
    <w:rsid w:val="00D941D6"/>
    <w:rsid w:val="00D9435A"/>
    <w:rsid w:val="00D94990"/>
    <w:rsid w:val="00D95200"/>
    <w:rsid w:val="00D95806"/>
    <w:rsid w:val="00D95958"/>
    <w:rsid w:val="00D959A0"/>
    <w:rsid w:val="00D95F6A"/>
    <w:rsid w:val="00D96147"/>
    <w:rsid w:val="00D969B1"/>
    <w:rsid w:val="00D96DFF"/>
    <w:rsid w:val="00D96F97"/>
    <w:rsid w:val="00D96FCC"/>
    <w:rsid w:val="00D970D6"/>
    <w:rsid w:val="00D976B6"/>
    <w:rsid w:val="00D97D10"/>
    <w:rsid w:val="00DA06D9"/>
    <w:rsid w:val="00DA0994"/>
    <w:rsid w:val="00DA0F5A"/>
    <w:rsid w:val="00DA1072"/>
    <w:rsid w:val="00DA18E3"/>
    <w:rsid w:val="00DA2351"/>
    <w:rsid w:val="00DA2725"/>
    <w:rsid w:val="00DA2751"/>
    <w:rsid w:val="00DA2787"/>
    <w:rsid w:val="00DA2E8F"/>
    <w:rsid w:val="00DA319B"/>
    <w:rsid w:val="00DA360D"/>
    <w:rsid w:val="00DA3706"/>
    <w:rsid w:val="00DA39D2"/>
    <w:rsid w:val="00DA427E"/>
    <w:rsid w:val="00DA4FFE"/>
    <w:rsid w:val="00DA512B"/>
    <w:rsid w:val="00DA521A"/>
    <w:rsid w:val="00DA52F1"/>
    <w:rsid w:val="00DA543B"/>
    <w:rsid w:val="00DA57EB"/>
    <w:rsid w:val="00DA5803"/>
    <w:rsid w:val="00DA58E5"/>
    <w:rsid w:val="00DA6F30"/>
    <w:rsid w:val="00DA7553"/>
    <w:rsid w:val="00DB0D8A"/>
    <w:rsid w:val="00DB0FFF"/>
    <w:rsid w:val="00DB1297"/>
    <w:rsid w:val="00DB1983"/>
    <w:rsid w:val="00DB198F"/>
    <w:rsid w:val="00DB1AF0"/>
    <w:rsid w:val="00DB2291"/>
    <w:rsid w:val="00DB2464"/>
    <w:rsid w:val="00DB2B86"/>
    <w:rsid w:val="00DB2EE0"/>
    <w:rsid w:val="00DB3008"/>
    <w:rsid w:val="00DB3098"/>
    <w:rsid w:val="00DB38FC"/>
    <w:rsid w:val="00DB3B29"/>
    <w:rsid w:val="00DB3DD2"/>
    <w:rsid w:val="00DB51FD"/>
    <w:rsid w:val="00DB5719"/>
    <w:rsid w:val="00DB62C0"/>
    <w:rsid w:val="00DB689B"/>
    <w:rsid w:val="00DB68FA"/>
    <w:rsid w:val="00DB6DAA"/>
    <w:rsid w:val="00DB791A"/>
    <w:rsid w:val="00DB79FF"/>
    <w:rsid w:val="00DB7A43"/>
    <w:rsid w:val="00DB7EDE"/>
    <w:rsid w:val="00DC0016"/>
    <w:rsid w:val="00DC0159"/>
    <w:rsid w:val="00DC06A8"/>
    <w:rsid w:val="00DC0721"/>
    <w:rsid w:val="00DC0F68"/>
    <w:rsid w:val="00DC30D8"/>
    <w:rsid w:val="00DC333C"/>
    <w:rsid w:val="00DC35EA"/>
    <w:rsid w:val="00DC3D01"/>
    <w:rsid w:val="00DC3DE5"/>
    <w:rsid w:val="00DC4D3B"/>
    <w:rsid w:val="00DC54E6"/>
    <w:rsid w:val="00DC5DE3"/>
    <w:rsid w:val="00DC6427"/>
    <w:rsid w:val="00DC6619"/>
    <w:rsid w:val="00DC7556"/>
    <w:rsid w:val="00DD0151"/>
    <w:rsid w:val="00DD131E"/>
    <w:rsid w:val="00DD188B"/>
    <w:rsid w:val="00DD1950"/>
    <w:rsid w:val="00DD2003"/>
    <w:rsid w:val="00DD21C7"/>
    <w:rsid w:val="00DD25B7"/>
    <w:rsid w:val="00DD25FC"/>
    <w:rsid w:val="00DD2BF2"/>
    <w:rsid w:val="00DD2FCF"/>
    <w:rsid w:val="00DD3451"/>
    <w:rsid w:val="00DD3877"/>
    <w:rsid w:val="00DD43FA"/>
    <w:rsid w:val="00DD44E8"/>
    <w:rsid w:val="00DD4508"/>
    <w:rsid w:val="00DD479D"/>
    <w:rsid w:val="00DD4976"/>
    <w:rsid w:val="00DD4C26"/>
    <w:rsid w:val="00DD58D8"/>
    <w:rsid w:val="00DD6A64"/>
    <w:rsid w:val="00DD6EEB"/>
    <w:rsid w:val="00DD6F2E"/>
    <w:rsid w:val="00DD79E8"/>
    <w:rsid w:val="00DD7A59"/>
    <w:rsid w:val="00DE00FC"/>
    <w:rsid w:val="00DE05F0"/>
    <w:rsid w:val="00DE07D1"/>
    <w:rsid w:val="00DE08A6"/>
    <w:rsid w:val="00DE098B"/>
    <w:rsid w:val="00DE2114"/>
    <w:rsid w:val="00DE3D24"/>
    <w:rsid w:val="00DE40B1"/>
    <w:rsid w:val="00DE411E"/>
    <w:rsid w:val="00DE45D8"/>
    <w:rsid w:val="00DE47C5"/>
    <w:rsid w:val="00DE4A07"/>
    <w:rsid w:val="00DE4C7E"/>
    <w:rsid w:val="00DE58F1"/>
    <w:rsid w:val="00DE5C9B"/>
    <w:rsid w:val="00DE6F12"/>
    <w:rsid w:val="00DE7145"/>
    <w:rsid w:val="00DE74EE"/>
    <w:rsid w:val="00DE7742"/>
    <w:rsid w:val="00DF0551"/>
    <w:rsid w:val="00DF0677"/>
    <w:rsid w:val="00DF0CD2"/>
    <w:rsid w:val="00DF1129"/>
    <w:rsid w:val="00DF1157"/>
    <w:rsid w:val="00DF1A0E"/>
    <w:rsid w:val="00DF1BD0"/>
    <w:rsid w:val="00DF1F6D"/>
    <w:rsid w:val="00DF27F3"/>
    <w:rsid w:val="00DF28FF"/>
    <w:rsid w:val="00DF329E"/>
    <w:rsid w:val="00DF3A80"/>
    <w:rsid w:val="00DF3BE9"/>
    <w:rsid w:val="00DF3E15"/>
    <w:rsid w:val="00DF4251"/>
    <w:rsid w:val="00DF4D6F"/>
    <w:rsid w:val="00DF58F2"/>
    <w:rsid w:val="00DF5AE0"/>
    <w:rsid w:val="00DF5BB6"/>
    <w:rsid w:val="00DF5E36"/>
    <w:rsid w:val="00DF6727"/>
    <w:rsid w:val="00DF697A"/>
    <w:rsid w:val="00DF6B7B"/>
    <w:rsid w:val="00DF6DE2"/>
    <w:rsid w:val="00DF71BE"/>
    <w:rsid w:val="00DF7A9D"/>
    <w:rsid w:val="00DF7AC5"/>
    <w:rsid w:val="00DF7B9B"/>
    <w:rsid w:val="00DF7C4A"/>
    <w:rsid w:val="00DF7FC0"/>
    <w:rsid w:val="00E009B4"/>
    <w:rsid w:val="00E01181"/>
    <w:rsid w:val="00E014D9"/>
    <w:rsid w:val="00E0164B"/>
    <w:rsid w:val="00E01C20"/>
    <w:rsid w:val="00E01E96"/>
    <w:rsid w:val="00E021B8"/>
    <w:rsid w:val="00E02BFE"/>
    <w:rsid w:val="00E02F00"/>
    <w:rsid w:val="00E03433"/>
    <w:rsid w:val="00E040F4"/>
    <w:rsid w:val="00E04550"/>
    <w:rsid w:val="00E04E1E"/>
    <w:rsid w:val="00E04E23"/>
    <w:rsid w:val="00E052E6"/>
    <w:rsid w:val="00E10947"/>
    <w:rsid w:val="00E10C27"/>
    <w:rsid w:val="00E1103A"/>
    <w:rsid w:val="00E11549"/>
    <w:rsid w:val="00E11BD3"/>
    <w:rsid w:val="00E11D85"/>
    <w:rsid w:val="00E120A8"/>
    <w:rsid w:val="00E120F4"/>
    <w:rsid w:val="00E12163"/>
    <w:rsid w:val="00E12CC5"/>
    <w:rsid w:val="00E12ED1"/>
    <w:rsid w:val="00E1354F"/>
    <w:rsid w:val="00E13688"/>
    <w:rsid w:val="00E138EC"/>
    <w:rsid w:val="00E13AE5"/>
    <w:rsid w:val="00E13F44"/>
    <w:rsid w:val="00E14EB6"/>
    <w:rsid w:val="00E154E5"/>
    <w:rsid w:val="00E1561C"/>
    <w:rsid w:val="00E15778"/>
    <w:rsid w:val="00E158C0"/>
    <w:rsid w:val="00E158E4"/>
    <w:rsid w:val="00E15F08"/>
    <w:rsid w:val="00E15F48"/>
    <w:rsid w:val="00E165F0"/>
    <w:rsid w:val="00E16D22"/>
    <w:rsid w:val="00E16F16"/>
    <w:rsid w:val="00E174D0"/>
    <w:rsid w:val="00E207B1"/>
    <w:rsid w:val="00E2103C"/>
    <w:rsid w:val="00E21A01"/>
    <w:rsid w:val="00E21D49"/>
    <w:rsid w:val="00E2235B"/>
    <w:rsid w:val="00E22448"/>
    <w:rsid w:val="00E229FB"/>
    <w:rsid w:val="00E23438"/>
    <w:rsid w:val="00E235D3"/>
    <w:rsid w:val="00E23A07"/>
    <w:rsid w:val="00E24079"/>
    <w:rsid w:val="00E24359"/>
    <w:rsid w:val="00E24477"/>
    <w:rsid w:val="00E25019"/>
    <w:rsid w:val="00E25F00"/>
    <w:rsid w:val="00E2604C"/>
    <w:rsid w:val="00E26937"/>
    <w:rsid w:val="00E26ADE"/>
    <w:rsid w:val="00E26D5C"/>
    <w:rsid w:val="00E270CB"/>
    <w:rsid w:val="00E2722A"/>
    <w:rsid w:val="00E2763B"/>
    <w:rsid w:val="00E3169B"/>
    <w:rsid w:val="00E321E3"/>
    <w:rsid w:val="00E324A8"/>
    <w:rsid w:val="00E32DB5"/>
    <w:rsid w:val="00E33175"/>
    <w:rsid w:val="00E336AA"/>
    <w:rsid w:val="00E33825"/>
    <w:rsid w:val="00E33872"/>
    <w:rsid w:val="00E33961"/>
    <w:rsid w:val="00E34145"/>
    <w:rsid w:val="00E3654B"/>
    <w:rsid w:val="00E36EB2"/>
    <w:rsid w:val="00E37111"/>
    <w:rsid w:val="00E37242"/>
    <w:rsid w:val="00E372FB"/>
    <w:rsid w:val="00E373ED"/>
    <w:rsid w:val="00E4093C"/>
    <w:rsid w:val="00E40F4D"/>
    <w:rsid w:val="00E415E9"/>
    <w:rsid w:val="00E42231"/>
    <w:rsid w:val="00E42FAF"/>
    <w:rsid w:val="00E43314"/>
    <w:rsid w:val="00E439DA"/>
    <w:rsid w:val="00E4415C"/>
    <w:rsid w:val="00E4425C"/>
    <w:rsid w:val="00E445F2"/>
    <w:rsid w:val="00E44A60"/>
    <w:rsid w:val="00E44A7C"/>
    <w:rsid w:val="00E44DC8"/>
    <w:rsid w:val="00E44FD9"/>
    <w:rsid w:val="00E45342"/>
    <w:rsid w:val="00E45379"/>
    <w:rsid w:val="00E453AB"/>
    <w:rsid w:val="00E46062"/>
    <w:rsid w:val="00E4644D"/>
    <w:rsid w:val="00E475A6"/>
    <w:rsid w:val="00E47C06"/>
    <w:rsid w:val="00E47DDD"/>
    <w:rsid w:val="00E47EF3"/>
    <w:rsid w:val="00E50837"/>
    <w:rsid w:val="00E51609"/>
    <w:rsid w:val="00E521C4"/>
    <w:rsid w:val="00E52BB5"/>
    <w:rsid w:val="00E53BAB"/>
    <w:rsid w:val="00E53E38"/>
    <w:rsid w:val="00E54112"/>
    <w:rsid w:val="00E5458B"/>
    <w:rsid w:val="00E54CA3"/>
    <w:rsid w:val="00E550EF"/>
    <w:rsid w:val="00E5532D"/>
    <w:rsid w:val="00E5572B"/>
    <w:rsid w:val="00E557D4"/>
    <w:rsid w:val="00E55920"/>
    <w:rsid w:val="00E56153"/>
    <w:rsid w:val="00E561EC"/>
    <w:rsid w:val="00E566E6"/>
    <w:rsid w:val="00E56A3D"/>
    <w:rsid w:val="00E57BA3"/>
    <w:rsid w:val="00E57C11"/>
    <w:rsid w:val="00E57C91"/>
    <w:rsid w:val="00E57ED3"/>
    <w:rsid w:val="00E60452"/>
    <w:rsid w:val="00E60606"/>
    <w:rsid w:val="00E607D7"/>
    <w:rsid w:val="00E60872"/>
    <w:rsid w:val="00E60D94"/>
    <w:rsid w:val="00E60F33"/>
    <w:rsid w:val="00E6145D"/>
    <w:rsid w:val="00E614BE"/>
    <w:rsid w:val="00E61640"/>
    <w:rsid w:val="00E6273C"/>
    <w:rsid w:val="00E62AC0"/>
    <w:rsid w:val="00E62B09"/>
    <w:rsid w:val="00E62BE1"/>
    <w:rsid w:val="00E6394A"/>
    <w:rsid w:val="00E63AC6"/>
    <w:rsid w:val="00E63BDA"/>
    <w:rsid w:val="00E64046"/>
    <w:rsid w:val="00E64410"/>
    <w:rsid w:val="00E6501F"/>
    <w:rsid w:val="00E657BE"/>
    <w:rsid w:val="00E65A4C"/>
    <w:rsid w:val="00E65E7B"/>
    <w:rsid w:val="00E6672B"/>
    <w:rsid w:val="00E668E6"/>
    <w:rsid w:val="00E66994"/>
    <w:rsid w:val="00E67500"/>
    <w:rsid w:val="00E67D08"/>
    <w:rsid w:val="00E700FC"/>
    <w:rsid w:val="00E70589"/>
    <w:rsid w:val="00E70F98"/>
    <w:rsid w:val="00E7101D"/>
    <w:rsid w:val="00E71467"/>
    <w:rsid w:val="00E7148A"/>
    <w:rsid w:val="00E715E9"/>
    <w:rsid w:val="00E71919"/>
    <w:rsid w:val="00E71995"/>
    <w:rsid w:val="00E71DD3"/>
    <w:rsid w:val="00E71DDC"/>
    <w:rsid w:val="00E7247A"/>
    <w:rsid w:val="00E7281F"/>
    <w:rsid w:val="00E72F6A"/>
    <w:rsid w:val="00E736DA"/>
    <w:rsid w:val="00E73B01"/>
    <w:rsid w:val="00E74BBE"/>
    <w:rsid w:val="00E751CD"/>
    <w:rsid w:val="00E75DF7"/>
    <w:rsid w:val="00E75E82"/>
    <w:rsid w:val="00E76064"/>
    <w:rsid w:val="00E7670E"/>
    <w:rsid w:val="00E7688F"/>
    <w:rsid w:val="00E76EEB"/>
    <w:rsid w:val="00E77171"/>
    <w:rsid w:val="00E77740"/>
    <w:rsid w:val="00E778CB"/>
    <w:rsid w:val="00E77A4C"/>
    <w:rsid w:val="00E77B8A"/>
    <w:rsid w:val="00E77C0E"/>
    <w:rsid w:val="00E80481"/>
    <w:rsid w:val="00E809A5"/>
    <w:rsid w:val="00E81487"/>
    <w:rsid w:val="00E815FC"/>
    <w:rsid w:val="00E81F4A"/>
    <w:rsid w:val="00E82260"/>
    <w:rsid w:val="00E82853"/>
    <w:rsid w:val="00E82964"/>
    <w:rsid w:val="00E8324B"/>
    <w:rsid w:val="00E83622"/>
    <w:rsid w:val="00E83ADF"/>
    <w:rsid w:val="00E83BE1"/>
    <w:rsid w:val="00E83EFC"/>
    <w:rsid w:val="00E84422"/>
    <w:rsid w:val="00E85587"/>
    <w:rsid w:val="00E8565A"/>
    <w:rsid w:val="00E860E2"/>
    <w:rsid w:val="00E8670B"/>
    <w:rsid w:val="00E8676B"/>
    <w:rsid w:val="00E86D8D"/>
    <w:rsid w:val="00E86F1C"/>
    <w:rsid w:val="00E87CBF"/>
    <w:rsid w:val="00E90810"/>
    <w:rsid w:val="00E9083C"/>
    <w:rsid w:val="00E91117"/>
    <w:rsid w:val="00E913FD"/>
    <w:rsid w:val="00E914F7"/>
    <w:rsid w:val="00E91809"/>
    <w:rsid w:val="00E91951"/>
    <w:rsid w:val="00E9196A"/>
    <w:rsid w:val="00E920F3"/>
    <w:rsid w:val="00E924EC"/>
    <w:rsid w:val="00E92836"/>
    <w:rsid w:val="00E9284B"/>
    <w:rsid w:val="00E92CCA"/>
    <w:rsid w:val="00E92CFF"/>
    <w:rsid w:val="00E93DC3"/>
    <w:rsid w:val="00E947B1"/>
    <w:rsid w:val="00E94933"/>
    <w:rsid w:val="00E94A41"/>
    <w:rsid w:val="00E94D00"/>
    <w:rsid w:val="00E9511B"/>
    <w:rsid w:val="00E95138"/>
    <w:rsid w:val="00E951CA"/>
    <w:rsid w:val="00E951D1"/>
    <w:rsid w:val="00E9527D"/>
    <w:rsid w:val="00E9548D"/>
    <w:rsid w:val="00E9566F"/>
    <w:rsid w:val="00E95686"/>
    <w:rsid w:val="00E958E6"/>
    <w:rsid w:val="00E95AED"/>
    <w:rsid w:val="00E95CE4"/>
    <w:rsid w:val="00E95F48"/>
    <w:rsid w:val="00E964F2"/>
    <w:rsid w:val="00E97321"/>
    <w:rsid w:val="00E973A8"/>
    <w:rsid w:val="00E975A1"/>
    <w:rsid w:val="00EA0234"/>
    <w:rsid w:val="00EA0376"/>
    <w:rsid w:val="00EA0980"/>
    <w:rsid w:val="00EA0D7D"/>
    <w:rsid w:val="00EA0E35"/>
    <w:rsid w:val="00EA0F84"/>
    <w:rsid w:val="00EA103B"/>
    <w:rsid w:val="00EA1925"/>
    <w:rsid w:val="00EA1C6F"/>
    <w:rsid w:val="00EA2224"/>
    <w:rsid w:val="00EA236F"/>
    <w:rsid w:val="00EA2EAF"/>
    <w:rsid w:val="00EA35EE"/>
    <w:rsid w:val="00EA40A7"/>
    <w:rsid w:val="00EA4145"/>
    <w:rsid w:val="00EA4DF3"/>
    <w:rsid w:val="00EA50EC"/>
    <w:rsid w:val="00EA5E98"/>
    <w:rsid w:val="00EA5F9C"/>
    <w:rsid w:val="00EA677B"/>
    <w:rsid w:val="00EA72EF"/>
    <w:rsid w:val="00EA7E54"/>
    <w:rsid w:val="00EB0241"/>
    <w:rsid w:val="00EB0A0F"/>
    <w:rsid w:val="00EB0AF1"/>
    <w:rsid w:val="00EB15F0"/>
    <w:rsid w:val="00EB16E9"/>
    <w:rsid w:val="00EB1900"/>
    <w:rsid w:val="00EB1B49"/>
    <w:rsid w:val="00EB1C09"/>
    <w:rsid w:val="00EB2AFF"/>
    <w:rsid w:val="00EB2DA9"/>
    <w:rsid w:val="00EB38D5"/>
    <w:rsid w:val="00EB47D0"/>
    <w:rsid w:val="00EB489E"/>
    <w:rsid w:val="00EB4A5A"/>
    <w:rsid w:val="00EB4B09"/>
    <w:rsid w:val="00EB4D1B"/>
    <w:rsid w:val="00EB509F"/>
    <w:rsid w:val="00EB50B2"/>
    <w:rsid w:val="00EB530F"/>
    <w:rsid w:val="00EB5D62"/>
    <w:rsid w:val="00EB5D8B"/>
    <w:rsid w:val="00EB6AEB"/>
    <w:rsid w:val="00EB6B7C"/>
    <w:rsid w:val="00EB6C20"/>
    <w:rsid w:val="00EB7594"/>
    <w:rsid w:val="00EB77BC"/>
    <w:rsid w:val="00EB7E79"/>
    <w:rsid w:val="00EC032D"/>
    <w:rsid w:val="00EC05E8"/>
    <w:rsid w:val="00EC0893"/>
    <w:rsid w:val="00EC0AB3"/>
    <w:rsid w:val="00EC1C05"/>
    <w:rsid w:val="00EC1DA9"/>
    <w:rsid w:val="00EC1F16"/>
    <w:rsid w:val="00EC1FF7"/>
    <w:rsid w:val="00EC268A"/>
    <w:rsid w:val="00EC2979"/>
    <w:rsid w:val="00EC2D71"/>
    <w:rsid w:val="00EC391E"/>
    <w:rsid w:val="00EC3996"/>
    <w:rsid w:val="00EC40F3"/>
    <w:rsid w:val="00EC431B"/>
    <w:rsid w:val="00EC4351"/>
    <w:rsid w:val="00EC44BD"/>
    <w:rsid w:val="00EC5AD9"/>
    <w:rsid w:val="00EC5E40"/>
    <w:rsid w:val="00EC6086"/>
    <w:rsid w:val="00EC6407"/>
    <w:rsid w:val="00EC667A"/>
    <w:rsid w:val="00EC670F"/>
    <w:rsid w:val="00EC69FF"/>
    <w:rsid w:val="00EC6CF7"/>
    <w:rsid w:val="00EC7D1E"/>
    <w:rsid w:val="00EC7E42"/>
    <w:rsid w:val="00ED043B"/>
    <w:rsid w:val="00ED091D"/>
    <w:rsid w:val="00ED1176"/>
    <w:rsid w:val="00ED2209"/>
    <w:rsid w:val="00ED2783"/>
    <w:rsid w:val="00ED28C5"/>
    <w:rsid w:val="00ED331C"/>
    <w:rsid w:val="00ED3F7E"/>
    <w:rsid w:val="00ED4239"/>
    <w:rsid w:val="00ED4283"/>
    <w:rsid w:val="00ED42B5"/>
    <w:rsid w:val="00ED4C90"/>
    <w:rsid w:val="00ED4DB0"/>
    <w:rsid w:val="00ED600F"/>
    <w:rsid w:val="00ED6B06"/>
    <w:rsid w:val="00ED6C0B"/>
    <w:rsid w:val="00ED6C8B"/>
    <w:rsid w:val="00ED74AC"/>
    <w:rsid w:val="00ED74FD"/>
    <w:rsid w:val="00ED76B3"/>
    <w:rsid w:val="00ED7E9D"/>
    <w:rsid w:val="00EE0363"/>
    <w:rsid w:val="00EE03E8"/>
    <w:rsid w:val="00EE06F6"/>
    <w:rsid w:val="00EE0DE2"/>
    <w:rsid w:val="00EE147A"/>
    <w:rsid w:val="00EE169B"/>
    <w:rsid w:val="00EE1787"/>
    <w:rsid w:val="00EE17A5"/>
    <w:rsid w:val="00EE1817"/>
    <w:rsid w:val="00EE1A99"/>
    <w:rsid w:val="00EE2BBA"/>
    <w:rsid w:val="00EE3FDA"/>
    <w:rsid w:val="00EE4652"/>
    <w:rsid w:val="00EE48CC"/>
    <w:rsid w:val="00EE4CB1"/>
    <w:rsid w:val="00EE53A6"/>
    <w:rsid w:val="00EE57F2"/>
    <w:rsid w:val="00EE6492"/>
    <w:rsid w:val="00EE7FB3"/>
    <w:rsid w:val="00EF01D9"/>
    <w:rsid w:val="00EF0309"/>
    <w:rsid w:val="00EF0B2A"/>
    <w:rsid w:val="00EF0B5F"/>
    <w:rsid w:val="00EF1011"/>
    <w:rsid w:val="00EF115B"/>
    <w:rsid w:val="00EF12D5"/>
    <w:rsid w:val="00EF1412"/>
    <w:rsid w:val="00EF209D"/>
    <w:rsid w:val="00EF2413"/>
    <w:rsid w:val="00EF2889"/>
    <w:rsid w:val="00EF2D5D"/>
    <w:rsid w:val="00EF30B5"/>
    <w:rsid w:val="00EF36E3"/>
    <w:rsid w:val="00EF45A1"/>
    <w:rsid w:val="00EF49F0"/>
    <w:rsid w:val="00EF4C9C"/>
    <w:rsid w:val="00EF54F4"/>
    <w:rsid w:val="00EF55DB"/>
    <w:rsid w:val="00EF5C64"/>
    <w:rsid w:val="00EF6882"/>
    <w:rsid w:val="00EF6966"/>
    <w:rsid w:val="00EF6B4D"/>
    <w:rsid w:val="00EF72E6"/>
    <w:rsid w:val="00EF7F87"/>
    <w:rsid w:val="00F00170"/>
    <w:rsid w:val="00F00A1D"/>
    <w:rsid w:val="00F00BE5"/>
    <w:rsid w:val="00F01269"/>
    <w:rsid w:val="00F0133A"/>
    <w:rsid w:val="00F0137A"/>
    <w:rsid w:val="00F01A5E"/>
    <w:rsid w:val="00F01AE5"/>
    <w:rsid w:val="00F01C01"/>
    <w:rsid w:val="00F02648"/>
    <w:rsid w:val="00F026E2"/>
    <w:rsid w:val="00F0373E"/>
    <w:rsid w:val="00F03CEA"/>
    <w:rsid w:val="00F048F3"/>
    <w:rsid w:val="00F04CB9"/>
    <w:rsid w:val="00F0566A"/>
    <w:rsid w:val="00F05C14"/>
    <w:rsid w:val="00F05C52"/>
    <w:rsid w:val="00F067F1"/>
    <w:rsid w:val="00F0703B"/>
    <w:rsid w:val="00F07445"/>
    <w:rsid w:val="00F0765A"/>
    <w:rsid w:val="00F07705"/>
    <w:rsid w:val="00F07CC1"/>
    <w:rsid w:val="00F102E6"/>
    <w:rsid w:val="00F10CF8"/>
    <w:rsid w:val="00F1105D"/>
    <w:rsid w:val="00F110CD"/>
    <w:rsid w:val="00F1193D"/>
    <w:rsid w:val="00F12345"/>
    <w:rsid w:val="00F123CF"/>
    <w:rsid w:val="00F12C87"/>
    <w:rsid w:val="00F12DEA"/>
    <w:rsid w:val="00F12EB5"/>
    <w:rsid w:val="00F1327B"/>
    <w:rsid w:val="00F13316"/>
    <w:rsid w:val="00F13690"/>
    <w:rsid w:val="00F137D0"/>
    <w:rsid w:val="00F13C0B"/>
    <w:rsid w:val="00F1501F"/>
    <w:rsid w:val="00F1550B"/>
    <w:rsid w:val="00F16709"/>
    <w:rsid w:val="00F176AD"/>
    <w:rsid w:val="00F17CA7"/>
    <w:rsid w:val="00F21859"/>
    <w:rsid w:val="00F21971"/>
    <w:rsid w:val="00F21D81"/>
    <w:rsid w:val="00F21E99"/>
    <w:rsid w:val="00F21F1C"/>
    <w:rsid w:val="00F221B3"/>
    <w:rsid w:val="00F227DA"/>
    <w:rsid w:val="00F22A68"/>
    <w:rsid w:val="00F22CC8"/>
    <w:rsid w:val="00F234AA"/>
    <w:rsid w:val="00F23529"/>
    <w:rsid w:val="00F23941"/>
    <w:rsid w:val="00F23EF6"/>
    <w:rsid w:val="00F242C2"/>
    <w:rsid w:val="00F249C7"/>
    <w:rsid w:val="00F24BC6"/>
    <w:rsid w:val="00F25629"/>
    <w:rsid w:val="00F2594C"/>
    <w:rsid w:val="00F25F46"/>
    <w:rsid w:val="00F25FE7"/>
    <w:rsid w:val="00F260FF"/>
    <w:rsid w:val="00F26330"/>
    <w:rsid w:val="00F26C4D"/>
    <w:rsid w:val="00F26C59"/>
    <w:rsid w:val="00F27D59"/>
    <w:rsid w:val="00F27DBB"/>
    <w:rsid w:val="00F30295"/>
    <w:rsid w:val="00F302A2"/>
    <w:rsid w:val="00F303E9"/>
    <w:rsid w:val="00F304D1"/>
    <w:rsid w:val="00F30A3A"/>
    <w:rsid w:val="00F30F80"/>
    <w:rsid w:val="00F314B1"/>
    <w:rsid w:val="00F31973"/>
    <w:rsid w:val="00F31A2A"/>
    <w:rsid w:val="00F31BE8"/>
    <w:rsid w:val="00F3212D"/>
    <w:rsid w:val="00F321F3"/>
    <w:rsid w:val="00F32AFA"/>
    <w:rsid w:val="00F3361A"/>
    <w:rsid w:val="00F33EF5"/>
    <w:rsid w:val="00F34198"/>
    <w:rsid w:val="00F35380"/>
    <w:rsid w:val="00F36142"/>
    <w:rsid w:val="00F36264"/>
    <w:rsid w:val="00F36FAE"/>
    <w:rsid w:val="00F372D7"/>
    <w:rsid w:val="00F373F7"/>
    <w:rsid w:val="00F3742E"/>
    <w:rsid w:val="00F37AFA"/>
    <w:rsid w:val="00F37CE3"/>
    <w:rsid w:val="00F37CF0"/>
    <w:rsid w:val="00F37D0C"/>
    <w:rsid w:val="00F400B5"/>
    <w:rsid w:val="00F40708"/>
    <w:rsid w:val="00F40C71"/>
    <w:rsid w:val="00F40CAD"/>
    <w:rsid w:val="00F41BB7"/>
    <w:rsid w:val="00F41C66"/>
    <w:rsid w:val="00F41EB2"/>
    <w:rsid w:val="00F41FD3"/>
    <w:rsid w:val="00F4206D"/>
    <w:rsid w:val="00F4279C"/>
    <w:rsid w:val="00F43041"/>
    <w:rsid w:val="00F43824"/>
    <w:rsid w:val="00F43A2C"/>
    <w:rsid w:val="00F43D23"/>
    <w:rsid w:val="00F4468F"/>
    <w:rsid w:val="00F44AF4"/>
    <w:rsid w:val="00F44BAA"/>
    <w:rsid w:val="00F44CBC"/>
    <w:rsid w:val="00F4580E"/>
    <w:rsid w:val="00F45A43"/>
    <w:rsid w:val="00F45F89"/>
    <w:rsid w:val="00F460C7"/>
    <w:rsid w:val="00F46165"/>
    <w:rsid w:val="00F46491"/>
    <w:rsid w:val="00F467DC"/>
    <w:rsid w:val="00F468AC"/>
    <w:rsid w:val="00F46AEB"/>
    <w:rsid w:val="00F46D2A"/>
    <w:rsid w:val="00F472B9"/>
    <w:rsid w:val="00F477D8"/>
    <w:rsid w:val="00F4787C"/>
    <w:rsid w:val="00F505AB"/>
    <w:rsid w:val="00F50781"/>
    <w:rsid w:val="00F50984"/>
    <w:rsid w:val="00F50D2C"/>
    <w:rsid w:val="00F51903"/>
    <w:rsid w:val="00F519D5"/>
    <w:rsid w:val="00F51B75"/>
    <w:rsid w:val="00F51F11"/>
    <w:rsid w:val="00F53143"/>
    <w:rsid w:val="00F5344E"/>
    <w:rsid w:val="00F5412F"/>
    <w:rsid w:val="00F54BB2"/>
    <w:rsid w:val="00F54E20"/>
    <w:rsid w:val="00F554AD"/>
    <w:rsid w:val="00F55759"/>
    <w:rsid w:val="00F561FB"/>
    <w:rsid w:val="00F566A6"/>
    <w:rsid w:val="00F56D55"/>
    <w:rsid w:val="00F56DEF"/>
    <w:rsid w:val="00F57155"/>
    <w:rsid w:val="00F571F1"/>
    <w:rsid w:val="00F57D25"/>
    <w:rsid w:val="00F60BCA"/>
    <w:rsid w:val="00F60F38"/>
    <w:rsid w:val="00F61337"/>
    <w:rsid w:val="00F615CD"/>
    <w:rsid w:val="00F6173B"/>
    <w:rsid w:val="00F62052"/>
    <w:rsid w:val="00F6209C"/>
    <w:rsid w:val="00F62337"/>
    <w:rsid w:val="00F62DE1"/>
    <w:rsid w:val="00F62E01"/>
    <w:rsid w:val="00F6343E"/>
    <w:rsid w:val="00F63784"/>
    <w:rsid w:val="00F63BC4"/>
    <w:rsid w:val="00F63F9C"/>
    <w:rsid w:val="00F6470A"/>
    <w:rsid w:val="00F65D08"/>
    <w:rsid w:val="00F6664A"/>
    <w:rsid w:val="00F6698B"/>
    <w:rsid w:val="00F67B87"/>
    <w:rsid w:val="00F67E58"/>
    <w:rsid w:val="00F705A2"/>
    <w:rsid w:val="00F7072C"/>
    <w:rsid w:val="00F709D3"/>
    <w:rsid w:val="00F7123E"/>
    <w:rsid w:val="00F71D08"/>
    <w:rsid w:val="00F71E64"/>
    <w:rsid w:val="00F72840"/>
    <w:rsid w:val="00F7396E"/>
    <w:rsid w:val="00F739B3"/>
    <w:rsid w:val="00F74454"/>
    <w:rsid w:val="00F74ABE"/>
    <w:rsid w:val="00F74FB3"/>
    <w:rsid w:val="00F75899"/>
    <w:rsid w:val="00F76796"/>
    <w:rsid w:val="00F76BCC"/>
    <w:rsid w:val="00F76EED"/>
    <w:rsid w:val="00F770DB"/>
    <w:rsid w:val="00F77471"/>
    <w:rsid w:val="00F774B4"/>
    <w:rsid w:val="00F77A7E"/>
    <w:rsid w:val="00F77B2B"/>
    <w:rsid w:val="00F77B70"/>
    <w:rsid w:val="00F80044"/>
    <w:rsid w:val="00F802A3"/>
    <w:rsid w:val="00F8080D"/>
    <w:rsid w:val="00F80E20"/>
    <w:rsid w:val="00F8118C"/>
    <w:rsid w:val="00F8160B"/>
    <w:rsid w:val="00F8183D"/>
    <w:rsid w:val="00F822C9"/>
    <w:rsid w:val="00F8265B"/>
    <w:rsid w:val="00F82BBC"/>
    <w:rsid w:val="00F83166"/>
    <w:rsid w:val="00F83A36"/>
    <w:rsid w:val="00F83C33"/>
    <w:rsid w:val="00F83E41"/>
    <w:rsid w:val="00F83E5B"/>
    <w:rsid w:val="00F83F66"/>
    <w:rsid w:val="00F83FB5"/>
    <w:rsid w:val="00F8427F"/>
    <w:rsid w:val="00F8566E"/>
    <w:rsid w:val="00F85ED4"/>
    <w:rsid w:val="00F86868"/>
    <w:rsid w:val="00F87827"/>
    <w:rsid w:val="00F8790C"/>
    <w:rsid w:val="00F87F33"/>
    <w:rsid w:val="00F90B1E"/>
    <w:rsid w:val="00F90BF3"/>
    <w:rsid w:val="00F90D88"/>
    <w:rsid w:val="00F91543"/>
    <w:rsid w:val="00F919B7"/>
    <w:rsid w:val="00F91AB6"/>
    <w:rsid w:val="00F91DD1"/>
    <w:rsid w:val="00F91FEE"/>
    <w:rsid w:val="00F921B2"/>
    <w:rsid w:val="00F9250E"/>
    <w:rsid w:val="00F92A03"/>
    <w:rsid w:val="00F92AE2"/>
    <w:rsid w:val="00F92D58"/>
    <w:rsid w:val="00F92F5D"/>
    <w:rsid w:val="00F93A91"/>
    <w:rsid w:val="00F9415E"/>
    <w:rsid w:val="00F9447B"/>
    <w:rsid w:val="00F945F9"/>
    <w:rsid w:val="00F951CC"/>
    <w:rsid w:val="00F9575D"/>
    <w:rsid w:val="00F95BD9"/>
    <w:rsid w:val="00F95D75"/>
    <w:rsid w:val="00F9624A"/>
    <w:rsid w:val="00F96F68"/>
    <w:rsid w:val="00F9701B"/>
    <w:rsid w:val="00F97B0A"/>
    <w:rsid w:val="00FA013B"/>
    <w:rsid w:val="00FA0288"/>
    <w:rsid w:val="00FA058E"/>
    <w:rsid w:val="00FA0799"/>
    <w:rsid w:val="00FA0872"/>
    <w:rsid w:val="00FA155F"/>
    <w:rsid w:val="00FA19C7"/>
    <w:rsid w:val="00FA1B07"/>
    <w:rsid w:val="00FA1C51"/>
    <w:rsid w:val="00FA211F"/>
    <w:rsid w:val="00FA223C"/>
    <w:rsid w:val="00FA2288"/>
    <w:rsid w:val="00FA24DF"/>
    <w:rsid w:val="00FA2AE6"/>
    <w:rsid w:val="00FA2E3E"/>
    <w:rsid w:val="00FA357D"/>
    <w:rsid w:val="00FA3D15"/>
    <w:rsid w:val="00FA3D2F"/>
    <w:rsid w:val="00FA41D6"/>
    <w:rsid w:val="00FA447C"/>
    <w:rsid w:val="00FA5930"/>
    <w:rsid w:val="00FA5FA2"/>
    <w:rsid w:val="00FA63A7"/>
    <w:rsid w:val="00FA69AD"/>
    <w:rsid w:val="00FA7885"/>
    <w:rsid w:val="00FA7EC1"/>
    <w:rsid w:val="00FB0427"/>
    <w:rsid w:val="00FB059A"/>
    <w:rsid w:val="00FB07AE"/>
    <w:rsid w:val="00FB0C9A"/>
    <w:rsid w:val="00FB0E04"/>
    <w:rsid w:val="00FB0E40"/>
    <w:rsid w:val="00FB1041"/>
    <w:rsid w:val="00FB1B81"/>
    <w:rsid w:val="00FB2073"/>
    <w:rsid w:val="00FB21C5"/>
    <w:rsid w:val="00FB250D"/>
    <w:rsid w:val="00FB2646"/>
    <w:rsid w:val="00FB2A37"/>
    <w:rsid w:val="00FB2D40"/>
    <w:rsid w:val="00FB2E06"/>
    <w:rsid w:val="00FB3440"/>
    <w:rsid w:val="00FB38A1"/>
    <w:rsid w:val="00FB3D1E"/>
    <w:rsid w:val="00FB3E9B"/>
    <w:rsid w:val="00FB3F43"/>
    <w:rsid w:val="00FB4144"/>
    <w:rsid w:val="00FB460A"/>
    <w:rsid w:val="00FB5017"/>
    <w:rsid w:val="00FB51E8"/>
    <w:rsid w:val="00FB55E0"/>
    <w:rsid w:val="00FB5B2F"/>
    <w:rsid w:val="00FB669B"/>
    <w:rsid w:val="00FB694A"/>
    <w:rsid w:val="00FB7320"/>
    <w:rsid w:val="00FB7935"/>
    <w:rsid w:val="00FB7A90"/>
    <w:rsid w:val="00FB7CB2"/>
    <w:rsid w:val="00FB7DFF"/>
    <w:rsid w:val="00FB7FF1"/>
    <w:rsid w:val="00FC03AD"/>
    <w:rsid w:val="00FC07F8"/>
    <w:rsid w:val="00FC0853"/>
    <w:rsid w:val="00FC0ADB"/>
    <w:rsid w:val="00FC169D"/>
    <w:rsid w:val="00FC16CD"/>
    <w:rsid w:val="00FC17D0"/>
    <w:rsid w:val="00FC1B63"/>
    <w:rsid w:val="00FC1BA2"/>
    <w:rsid w:val="00FC1D29"/>
    <w:rsid w:val="00FC3223"/>
    <w:rsid w:val="00FC3BB2"/>
    <w:rsid w:val="00FC4086"/>
    <w:rsid w:val="00FC4403"/>
    <w:rsid w:val="00FC441E"/>
    <w:rsid w:val="00FC44C3"/>
    <w:rsid w:val="00FC46EB"/>
    <w:rsid w:val="00FC49F6"/>
    <w:rsid w:val="00FC4AA7"/>
    <w:rsid w:val="00FC570C"/>
    <w:rsid w:val="00FC5C2A"/>
    <w:rsid w:val="00FC5EEB"/>
    <w:rsid w:val="00FC61E0"/>
    <w:rsid w:val="00FC64B5"/>
    <w:rsid w:val="00FC671B"/>
    <w:rsid w:val="00FC6DA7"/>
    <w:rsid w:val="00FC7A76"/>
    <w:rsid w:val="00FC7EFE"/>
    <w:rsid w:val="00FD0CA7"/>
    <w:rsid w:val="00FD0E3F"/>
    <w:rsid w:val="00FD1032"/>
    <w:rsid w:val="00FD117C"/>
    <w:rsid w:val="00FD179B"/>
    <w:rsid w:val="00FD1AB6"/>
    <w:rsid w:val="00FD1F53"/>
    <w:rsid w:val="00FD2304"/>
    <w:rsid w:val="00FD255C"/>
    <w:rsid w:val="00FD260D"/>
    <w:rsid w:val="00FD26E3"/>
    <w:rsid w:val="00FD2D5B"/>
    <w:rsid w:val="00FD3926"/>
    <w:rsid w:val="00FD3A1A"/>
    <w:rsid w:val="00FD3D4F"/>
    <w:rsid w:val="00FD40E5"/>
    <w:rsid w:val="00FD4206"/>
    <w:rsid w:val="00FD4A7F"/>
    <w:rsid w:val="00FD53BC"/>
    <w:rsid w:val="00FD53DD"/>
    <w:rsid w:val="00FD5692"/>
    <w:rsid w:val="00FD5E00"/>
    <w:rsid w:val="00FD6632"/>
    <w:rsid w:val="00FD66C5"/>
    <w:rsid w:val="00FD67F2"/>
    <w:rsid w:val="00FD67FE"/>
    <w:rsid w:val="00FD69F9"/>
    <w:rsid w:val="00FD6AE3"/>
    <w:rsid w:val="00FD6CF6"/>
    <w:rsid w:val="00FD6DDD"/>
    <w:rsid w:val="00FD7328"/>
    <w:rsid w:val="00FD78D1"/>
    <w:rsid w:val="00FD7AA2"/>
    <w:rsid w:val="00FE036B"/>
    <w:rsid w:val="00FE054A"/>
    <w:rsid w:val="00FE0A4A"/>
    <w:rsid w:val="00FE0EB3"/>
    <w:rsid w:val="00FE10FB"/>
    <w:rsid w:val="00FE13BA"/>
    <w:rsid w:val="00FE13F4"/>
    <w:rsid w:val="00FE27A4"/>
    <w:rsid w:val="00FE3675"/>
    <w:rsid w:val="00FE3680"/>
    <w:rsid w:val="00FE3D1A"/>
    <w:rsid w:val="00FE4526"/>
    <w:rsid w:val="00FE4B51"/>
    <w:rsid w:val="00FE5343"/>
    <w:rsid w:val="00FE5C17"/>
    <w:rsid w:val="00FE5D44"/>
    <w:rsid w:val="00FE636C"/>
    <w:rsid w:val="00FE6864"/>
    <w:rsid w:val="00FE68E6"/>
    <w:rsid w:val="00FE6BA1"/>
    <w:rsid w:val="00FE6C3A"/>
    <w:rsid w:val="00FE6DA5"/>
    <w:rsid w:val="00FE6DD0"/>
    <w:rsid w:val="00FE766B"/>
    <w:rsid w:val="00FF0AFA"/>
    <w:rsid w:val="00FF0CC6"/>
    <w:rsid w:val="00FF136E"/>
    <w:rsid w:val="00FF14E5"/>
    <w:rsid w:val="00FF178A"/>
    <w:rsid w:val="00FF1A14"/>
    <w:rsid w:val="00FF1CAA"/>
    <w:rsid w:val="00FF21B5"/>
    <w:rsid w:val="00FF22AB"/>
    <w:rsid w:val="00FF2328"/>
    <w:rsid w:val="00FF2363"/>
    <w:rsid w:val="00FF23AC"/>
    <w:rsid w:val="00FF3037"/>
    <w:rsid w:val="00FF3588"/>
    <w:rsid w:val="00FF36C1"/>
    <w:rsid w:val="00FF3A7D"/>
    <w:rsid w:val="00FF4303"/>
    <w:rsid w:val="00FF446A"/>
    <w:rsid w:val="00FF4981"/>
    <w:rsid w:val="00FF52E6"/>
    <w:rsid w:val="00FF604C"/>
    <w:rsid w:val="00FF61B2"/>
    <w:rsid w:val="00FF69FB"/>
    <w:rsid w:val="00FF6D0F"/>
    <w:rsid w:val="00FF6E7F"/>
    <w:rsid w:val="00FF7391"/>
    <w:rsid w:val="00FF7ACF"/>
    <w:rsid w:val="012B59F8"/>
    <w:rsid w:val="01826A17"/>
    <w:rsid w:val="01974DE5"/>
    <w:rsid w:val="022E4FE9"/>
    <w:rsid w:val="02314685"/>
    <w:rsid w:val="023D08A2"/>
    <w:rsid w:val="02403665"/>
    <w:rsid w:val="027A4BBF"/>
    <w:rsid w:val="02820016"/>
    <w:rsid w:val="02A17394"/>
    <w:rsid w:val="03200295"/>
    <w:rsid w:val="034028D6"/>
    <w:rsid w:val="0361657E"/>
    <w:rsid w:val="03714180"/>
    <w:rsid w:val="03E014E3"/>
    <w:rsid w:val="04190476"/>
    <w:rsid w:val="048C136E"/>
    <w:rsid w:val="04A846D8"/>
    <w:rsid w:val="04B65CEE"/>
    <w:rsid w:val="04E86B91"/>
    <w:rsid w:val="050F6592"/>
    <w:rsid w:val="05313D6E"/>
    <w:rsid w:val="05502988"/>
    <w:rsid w:val="056E4016"/>
    <w:rsid w:val="05980F0F"/>
    <w:rsid w:val="05A131E3"/>
    <w:rsid w:val="06150FEA"/>
    <w:rsid w:val="061A2049"/>
    <w:rsid w:val="0626753C"/>
    <w:rsid w:val="062D0520"/>
    <w:rsid w:val="06875481"/>
    <w:rsid w:val="069074E0"/>
    <w:rsid w:val="069F44D4"/>
    <w:rsid w:val="06B87DF9"/>
    <w:rsid w:val="06F840B2"/>
    <w:rsid w:val="070D7868"/>
    <w:rsid w:val="07C57C79"/>
    <w:rsid w:val="07CC1481"/>
    <w:rsid w:val="07D5248E"/>
    <w:rsid w:val="07F41987"/>
    <w:rsid w:val="07F74E1C"/>
    <w:rsid w:val="081A593D"/>
    <w:rsid w:val="081B54CF"/>
    <w:rsid w:val="08486558"/>
    <w:rsid w:val="08AA101F"/>
    <w:rsid w:val="08AA2ED7"/>
    <w:rsid w:val="091968A1"/>
    <w:rsid w:val="09553C88"/>
    <w:rsid w:val="095E640D"/>
    <w:rsid w:val="09AA2732"/>
    <w:rsid w:val="09C3349F"/>
    <w:rsid w:val="09E21E31"/>
    <w:rsid w:val="0A245017"/>
    <w:rsid w:val="0A876E4C"/>
    <w:rsid w:val="0AB03C91"/>
    <w:rsid w:val="0AD75E5D"/>
    <w:rsid w:val="0AF50259"/>
    <w:rsid w:val="0B17352D"/>
    <w:rsid w:val="0B945EE1"/>
    <w:rsid w:val="0BA2151C"/>
    <w:rsid w:val="0BA2720B"/>
    <w:rsid w:val="0BB37AFC"/>
    <w:rsid w:val="0BC35C62"/>
    <w:rsid w:val="0C3B4242"/>
    <w:rsid w:val="0C7866EB"/>
    <w:rsid w:val="0CC5690E"/>
    <w:rsid w:val="0CE254C3"/>
    <w:rsid w:val="0D694AD8"/>
    <w:rsid w:val="0D8B0652"/>
    <w:rsid w:val="0D9703A2"/>
    <w:rsid w:val="0DB52372"/>
    <w:rsid w:val="0DBB0D2D"/>
    <w:rsid w:val="0DCB078E"/>
    <w:rsid w:val="0DDC4FA0"/>
    <w:rsid w:val="0DF14D46"/>
    <w:rsid w:val="0E545BB1"/>
    <w:rsid w:val="0E546F93"/>
    <w:rsid w:val="0E9148AC"/>
    <w:rsid w:val="0E9C0D38"/>
    <w:rsid w:val="0F1A18DF"/>
    <w:rsid w:val="0F352A17"/>
    <w:rsid w:val="0FB616EC"/>
    <w:rsid w:val="0FFD3108"/>
    <w:rsid w:val="1070749D"/>
    <w:rsid w:val="10A54273"/>
    <w:rsid w:val="10BC4A75"/>
    <w:rsid w:val="10E5175E"/>
    <w:rsid w:val="111A25DA"/>
    <w:rsid w:val="1191135A"/>
    <w:rsid w:val="11D75383"/>
    <w:rsid w:val="120B537A"/>
    <w:rsid w:val="122F001B"/>
    <w:rsid w:val="126464A9"/>
    <w:rsid w:val="127D63E1"/>
    <w:rsid w:val="12ED6F04"/>
    <w:rsid w:val="12F828D0"/>
    <w:rsid w:val="13023513"/>
    <w:rsid w:val="132E06F5"/>
    <w:rsid w:val="133E4A57"/>
    <w:rsid w:val="13802A7C"/>
    <w:rsid w:val="13996DD4"/>
    <w:rsid w:val="13BA5B9C"/>
    <w:rsid w:val="13C15942"/>
    <w:rsid w:val="14045069"/>
    <w:rsid w:val="1454623A"/>
    <w:rsid w:val="14651C74"/>
    <w:rsid w:val="14742671"/>
    <w:rsid w:val="148E7ADE"/>
    <w:rsid w:val="14C61E2C"/>
    <w:rsid w:val="154104B3"/>
    <w:rsid w:val="15D2312F"/>
    <w:rsid w:val="15EC59F3"/>
    <w:rsid w:val="16141853"/>
    <w:rsid w:val="161D4E32"/>
    <w:rsid w:val="163003E0"/>
    <w:rsid w:val="163E76B0"/>
    <w:rsid w:val="16BF1C2D"/>
    <w:rsid w:val="16CB4239"/>
    <w:rsid w:val="16EE41DD"/>
    <w:rsid w:val="17A14E6B"/>
    <w:rsid w:val="17DD49B3"/>
    <w:rsid w:val="1944246D"/>
    <w:rsid w:val="195E5597"/>
    <w:rsid w:val="198D57B0"/>
    <w:rsid w:val="19D67D88"/>
    <w:rsid w:val="1A100209"/>
    <w:rsid w:val="1A2C5AD4"/>
    <w:rsid w:val="1A6A73D9"/>
    <w:rsid w:val="1B4B7A22"/>
    <w:rsid w:val="1C507174"/>
    <w:rsid w:val="1C9A01B5"/>
    <w:rsid w:val="1CD43A32"/>
    <w:rsid w:val="1CE47402"/>
    <w:rsid w:val="1D30540F"/>
    <w:rsid w:val="1D4F75E7"/>
    <w:rsid w:val="1D604F68"/>
    <w:rsid w:val="1D7F1C04"/>
    <w:rsid w:val="1D876420"/>
    <w:rsid w:val="1DDD335E"/>
    <w:rsid w:val="1DE237A8"/>
    <w:rsid w:val="1E3D32F4"/>
    <w:rsid w:val="1E416F76"/>
    <w:rsid w:val="1E4878F3"/>
    <w:rsid w:val="1EA71413"/>
    <w:rsid w:val="1EB96A00"/>
    <w:rsid w:val="1EBC337C"/>
    <w:rsid w:val="1F081FB6"/>
    <w:rsid w:val="1F8153C9"/>
    <w:rsid w:val="1FB01ADC"/>
    <w:rsid w:val="1FB21B12"/>
    <w:rsid w:val="1FEC543E"/>
    <w:rsid w:val="1FEC7B3E"/>
    <w:rsid w:val="1FEE2B19"/>
    <w:rsid w:val="20800CF8"/>
    <w:rsid w:val="2097696C"/>
    <w:rsid w:val="20D52267"/>
    <w:rsid w:val="20F92F86"/>
    <w:rsid w:val="21082CE1"/>
    <w:rsid w:val="21265ADD"/>
    <w:rsid w:val="212D35ED"/>
    <w:rsid w:val="21621C00"/>
    <w:rsid w:val="218C02B9"/>
    <w:rsid w:val="21D74CDE"/>
    <w:rsid w:val="22786D13"/>
    <w:rsid w:val="22BC259C"/>
    <w:rsid w:val="234A72C1"/>
    <w:rsid w:val="23501250"/>
    <w:rsid w:val="23656DE9"/>
    <w:rsid w:val="23803C26"/>
    <w:rsid w:val="23E348CE"/>
    <w:rsid w:val="246F2614"/>
    <w:rsid w:val="247A20AA"/>
    <w:rsid w:val="247B1781"/>
    <w:rsid w:val="24D40E03"/>
    <w:rsid w:val="24E916F8"/>
    <w:rsid w:val="24F63477"/>
    <w:rsid w:val="252B3571"/>
    <w:rsid w:val="25B673AA"/>
    <w:rsid w:val="25C90B7D"/>
    <w:rsid w:val="26180F62"/>
    <w:rsid w:val="263718F8"/>
    <w:rsid w:val="263F00FF"/>
    <w:rsid w:val="264E700F"/>
    <w:rsid w:val="267333CE"/>
    <w:rsid w:val="26A65309"/>
    <w:rsid w:val="26BD2594"/>
    <w:rsid w:val="27242FC5"/>
    <w:rsid w:val="2790792B"/>
    <w:rsid w:val="27F51721"/>
    <w:rsid w:val="27F854E5"/>
    <w:rsid w:val="284976B9"/>
    <w:rsid w:val="284B2D9F"/>
    <w:rsid w:val="28AF0C7D"/>
    <w:rsid w:val="28F434A6"/>
    <w:rsid w:val="290C16E7"/>
    <w:rsid w:val="29233D8C"/>
    <w:rsid w:val="29551371"/>
    <w:rsid w:val="29803ADE"/>
    <w:rsid w:val="29BB3011"/>
    <w:rsid w:val="29C410CB"/>
    <w:rsid w:val="2A6747C2"/>
    <w:rsid w:val="2A797FE1"/>
    <w:rsid w:val="2A815005"/>
    <w:rsid w:val="2AE5754B"/>
    <w:rsid w:val="2AFC1BDC"/>
    <w:rsid w:val="2BBF62BB"/>
    <w:rsid w:val="2C2E25D6"/>
    <w:rsid w:val="2C421C4F"/>
    <w:rsid w:val="2C932295"/>
    <w:rsid w:val="2CBD06B1"/>
    <w:rsid w:val="2D0E5089"/>
    <w:rsid w:val="2D216DB3"/>
    <w:rsid w:val="2D2401C2"/>
    <w:rsid w:val="2D3459EB"/>
    <w:rsid w:val="2D8D1E6F"/>
    <w:rsid w:val="2DF504E4"/>
    <w:rsid w:val="2E075A2A"/>
    <w:rsid w:val="2E0F0993"/>
    <w:rsid w:val="2E53312E"/>
    <w:rsid w:val="2E7A61FC"/>
    <w:rsid w:val="2EB703A3"/>
    <w:rsid w:val="2EE62CF3"/>
    <w:rsid w:val="2EED6BDB"/>
    <w:rsid w:val="2F0E3678"/>
    <w:rsid w:val="2F594BFE"/>
    <w:rsid w:val="2F777EB0"/>
    <w:rsid w:val="2F996970"/>
    <w:rsid w:val="2FBC149F"/>
    <w:rsid w:val="2FC04E57"/>
    <w:rsid w:val="2FC60788"/>
    <w:rsid w:val="301901A1"/>
    <w:rsid w:val="305879B8"/>
    <w:rsid w:val="30D8545C"/>
    <w:rsid w:val="30EC37EE"/>
    <w:rsid w:val="30F039F0"/>
    <w:rsid w:val="312E0593"/>
    <w:rsid w:val="3163493A"/>
    <w:rsid w:val="31EA0BA8"/>
    <w:rsid w:val="32654771"/>
    <w:rsid w:val="326C7146"/>
    <w:rsid w:val="3275337D"/>
    <w:rsid w:val="32F860CA"/>
    <w:rsid w:val="330C5D9B"/>
    <w:rsid w:val="33D637DA"/>
    <w:rsid w:val="353E1BC4"/>
    <w:rsid w:val="35F175B6"/>
    <w:rsid w:val="360F1920"/>
    <w:rsid w:val="3672205D"/>
    <w:rsid w:val="36F84882"/>
    <w:rsid w:val="37142E18"/>
    <w:rsid w:val="3771617A"/>
    <w:rsid w:val="37756ED6"/>
    <w:rsid w:val="37F83026"/>
    <w:rsid w:val="382909C2"/>
    <w:rsid w:val="38456A52"/>
    <w:rsid w:val="387A1A0A"/>
    <w:rsid w:val="3894554E"/>
    <w:rsid w:val="38BD5F47"/>
    <w:rsid w:val="394970DC"/>
    <w:rsid w:val="39647045"/>
    <w:rsid w:val="39677338"/>
    <w:rsid w:val="39DC61F7"/>
    <w:rsid w:val="39E31EF0"/>
    <w:rsid w:val="3A4A3BFA"/>
    <w:rsid w:val="3A616707"/>
    <w:rsid w:val="3A685730"/>
    <w:rsid w:val="3A8E4DA4"/>
    <w:rsid w:val="3AE17F1E"/>
    <w:rsid w:val="3AFF0BD6"/>
    <w:rsid w:val="3B3B31B7"/>
    <w:rsid w:val="3B583EBD"/>
    <w:rsid w:val="3B8A556D"/>
    <w:rsid w:val="3B9630DB"/>
    <w:rsid w:val="3BA9623C"/>
    <w:rsid w:val="3BC1359E"/>
    <w:rsid w:val="3BD64F97"/>
    <w:rsid w:val="3BEB2052"/>
    <w:rsid w:val="3C2002E6"/>
    <w:rsid w:val="3C2F764E"/>
    <w:rsid w:val="3C44527E"/>
    <w:rsid w:val="3C4D13F4"/>
    <w:rsid w:val="3CA21686"/>
    <w:rsid w:val="3CB107CC"/>
    <w:rsid w:val="3CE73994"/>
    <w:rsid w:val="3D0957A2"/>
    <w:rsid w:val="3D156CF2"/>
    <w:rsid w:val="3DAD6115"/>
    <w:rsid w:val="3E594080"/>
    <w:rsid w:val="3E595E2E"/>
    <w:rsid w:val="3EB9009A"/>
    <w:rsid w:val="3EB9A14E"/>
    <w:rsid w:val="3EF0311B"/>
    <w:rsid w:val="3F024941"/>
    <w:rsid w:val="3F86576B"/>
    <w:rsid w:val="3F9CD180"/>
    <w:rsid w:val="3FAD89E1"/>
    <w:rsid w:val="3FAE21A9"/>
    <w:rsid w:val="3FBF2227"/>
    <w:rsid w:val="3FBF47EE"/>
    <w:rsid w:val="4053650C"/>
    <w:rsid w:val="409F7FE5"/>
    <w:rsid w:val="40A03E3A"/>
    <w:rsid w:val="40C33E5F"/>
    <w:rsid w:val="412E33A1"/>
    <w:rsid w:val="413D72DA"/>
    <w:rsid w:val="41787D53"/>
    <w:rsid w:val="419F393D"/>
    <w:rsid w:val="41B554C8"/>
    <w:rsid w:val="41F234B6"/>
    <w:rsid w:val="420F4DB2"/>
    <w:rsid w:val="421B6C89"/>
    <w:rsid w:val="42F529D7"/>
    <w:rsid w:val="431F1203"/>
    <w:rsid w:val="43230965"/>
    <w:rsid w:val="433429C6"/>
    <w:rsid w:val="43C029F4"/>
    <w:rsid w:val="442F088A"/>
    <w:rsid w:val="44955F88"/>
    <w:rsid w:val="44961F35"/>
    <w:rsid w:val="44EF1DF1"/>
    <w:rsid w:val="44F86057"/>
    <w:rsid w:val="450F4B63"/>
    <w:rsid w:val="451942D0"/>
    <w:rsid w:val="458D5615"/>
    <w:rsid w:val="45ED5BF0"/>
    <w:rsid w:val="46201F68"/>
    <w:rsid w:val="462F27B3"/>
    <w:rsid w:val="4644238E"/>
    <w:rsid w:val="464E2358"/>
    <w:rsid w:val="469B66DD"/>
    <w:rsid w:val="46D70238"/>
    <w:rsid w:val="472E3D90"/>
    <w:rsid w:val="47480955"/>
    <w:rsid w:val="476402C4"/>
    <w:rsid w:val="47A82AB4"/>
    <w:rsid w:val="47DF6DA0"/>
    <w:rsid w:val="483642B4"/>
    <w:rsid w:val="483945E2"/>
    <w:rsid w:val="486D1E5A"/>
    <w:rsid w:val="48714E87"/>
    <w:rsid w:val="48B73837"/>
    <w:rsid w:val="49047689"/>
    <w:rsid w:val="4923004B"/>
    <w:rsid w:val="492C1D2E"/>
    <w:rsid w:val="49521DF7"/>
    <w:rsid w:val="49660BA2"/>
    <w:rsid w:val="49855EF5"/>
    <w:rsid w:val="49AE276B"/>
    <w:rsid w:val="4A03303C"/>
    <w:rsid w:val="4A864096"/>
    <w:rsid w:val="4AAD02C3"/>
    <w:rsid w:val="4AD50343"/>
    <w:rsid w:val="4B1479E5"/>
    <w:rsid w:val="4B545E9E"/>
    <w:rsid w:val="4B8F7E9C"/>
    <w:rsid w:val="4BC92119"/>
    <w:rsid w:val="4BCD1168"/>
    <w:rsid w:val="4BDA35C6"/>
    <w:rsid w:val="4BED7AD4"/>
    <w:rsid w:val="4BF25D04"/>
    <w:rsid w:val="4C164874"/>
    <w:rsid w:val="4C1F06D9"/>
    <w:rsid w:val="4C23524A"/>
    <w:rsid w:val="4C386D07"/>
    <w:rsid w:val="4C3C672A"/>
    <w:rsid w:val="4C5E7342"/>
    <w:rsid w:val="4CA73414"/>
    <w:rsid w:val="4CD84DC0"/>
    <w:rsid w:val="4D3240E8"/>
    <w:rsid w:val="4D6B771C"/>
    <w:rsid w:val="4DA0131E"/>
    <w:rsid w:val="4DB57A28"/>
    <w:rsid w:val="4DE35714"/>
    <w:rsid w:val="4DF6085C"/>
    <w:rsid w:val="4E4C671B"/>
    <w:rsid w:val="4E5C0AB5"/>
    <w:rsid w:val="4E817570"/>
    <w:rsid w:val="4E9316FF"/>
    <w:rsid w:val="4EC35C9C"/>
    <w:rsid w:val="4ED3732A"/>
    <w:rsid w:val="4F06581D"/>
    <w:rsid w:val="4F5F1D9F"/>
    <w:rsid w:val="4F6661CA"/>
    <w:rsid w:val="4F700E05"/>
    <w:rsid w:val="4FC47125"/>
    <w:rsid w:val="4FEC635F"/>
    <w:rsid w:val="500A28C8"/>
    <w:rsid w:val="502301EC"/>
    <w:rsid w:val="50230B97"/>
    <w:rsid w:val="506544E3"/>
    <w:rsid w:val="5098091F"/>
    <w:rsid w:val="51273BF0"/>
    <w:rsid w:val="51460C2E"/>
    <w:rsid w:val="515661FD"/>
    <w:rsid w:val="5165249D"/>
    <w:rsid w:val="521F05B1"/>
    <w:rsid w:val="5251502F"/>
    <w:rsid w:val="528567C6"/>
    <w:rsid w:val="52C41CCF"/>
    <w:rsid w:val="52C46B68"/>
    <w:rsid w:val="533B32F1"/>
    <w:rsid w:val="533C54C5"/>
    <w:rsid w:val="53B87239"/>
    <w:rsid w:val="53C25D1F"/>
    <w:rsid w:val="548D6253"/>
    <w:rsid w:val="54FA592B"/>
    <w:rsid w:val="559F553A"/>
    <w:rsid w:val="55BF1621"/>
    <w:rsid w:val="55D1617D"/>
    <w:rsid w:val="561D553B"/>
    <w:rsid w:val="562F60E8"/>
    <w:rsid w:val="56612298"/>
    <w:rsid w:val="56A56F28"/>
    <w:rsid w:val="56B46BA8"/>
    <w:rsid w:val="56C37714"/>
    <w:rsid w:val="56E878F7"/>
    <w:rsid w:val="57744C97"/>
    <w:rsid w:val="578D66F1"/>
    <w:rsid w:val="57BD0A12"/>
    <w:rsid w:val="57BD2A7F"/>
    <w:rsid w:val="580200FE"/>
    <w:rsid w:val="5802263C"/>
    <w:rsid w:val="58134E48"/>
    <w:rsid w:val="588E3069"/>
    <w:rsid w:val="59057FBA"/>
    <w:rsid w:val="5935203B"/>
    <w:rsid w:val="596A47F7"/>
    <w:rsid w:val="597722BD"/>
    <w:rsid w:val="597D5917"/>
    <w:rsid w:val="59D60DDC"/>
    <w:rsid w:val="5A54512D"/>
    <w:rsid w:val="5AB30DBD"/>
    <w:rsid w:val="5AD405B8"/>
    <w:rsid w:val="5B10267A"/>
    <w:rsid w:val="5BAD3D40"/>
    <w:rsid w:val="5C4B5480"/>
    <w:rsid w:val="5C4E228D"/>
    <w:rsid w:val="5C641EB0"/>
    <w:rsid w:val="5D187CC4"/>
    <w:rsid w:val="5D2E1A59"/>
    <w:rsid w:val="5D4D0113"/>
    <w:rsid w:val="5D676648"/>
    <w:rsid w:val="5D7D6AB8"/>
    <w:rsid w:val="5DD82C45"/>
    <w:rsid w:val="5E161E89"/>
    <w:rsid w:val="5E186B9B"/>
    <w:rsid w:val="5E3249B6"/>
    <w:rsid w:val="5E4C350A"/>
    <w:rsid w:val="5E916973"/>
    <w:rsid w:val="5E9E1E4A"/>
    <w:rsid w:val="5EAE2616"/>
    <w:rsid w:val="5EB01642"/>
    <w:rsid w:val="5EBE3F2E"/>
    <w:rsid w:val="5EC9087E"/>
    <w:rsid w:val="5F055D36"/>
    <w:rsid w:val="5F162BB1"/>
    <w:rsid w:val="5F1F3EE8"/>
    <w:rsid w:val="5F4366D8"/>
    <w:rsid w:val="5F5B5205"/>
    <w:rsid w:val="5F6F3AC3"/>
    <w:rsid w:val="5F8A1E93"/>
    <w:rsid w:val="5F8F0F5E"/>
    <w:rsid w:val="601D3D0F"/>
    <w:rsid w:val="603A4048"/>
    <w:rsid w:val="60680925"/>
    <w:rsid w:val="606A2574"/>
    <w:rsid w:val="60B04A47"/>
    <w:rsid w:val="61121405"/>
    <w:rsid w:val="61193141"/>
    <w:rsid w:val="61461B2D"/>
    <w:rsid w:val="615A7A8E"/>
    <w:rsid w:val="616F768B"/>
    <w:rsid w:val="618D637D"/>
    <w:rsid w:val="619D78E2"/>
    <w:rsid w:val="61C565C4"/>
    <w:rsid w:val="61ED7836"/>
    <w:rsid w:val="62402CDD"/>
    <w:rsid w:val="624E0CB8"/>
    <w:rsid w:val="62A63FED"/>
    <w:rsid w:val="62B74DD7"/>
    <w:rsid w:val="62E40EF1"/>
    <w:rsid w:val="630A1EE8"/>
    <w:rsid w:val="6323127A"/>
    <w:rsid w:val="63291CE9"/>
    <w:rsid w:val="638523B2"/>
    <w:rsid w:val="63962A15"/>
    <w:rsid w:val="63D50661"/>
    <w:rsid w:val="63DE69B4"/>
    <w:rsid w:val="63DF245B"/>
    <w:rsid w:val="644A5654"/>
    <w:rsid w:val="64526451"/>
    <w:rsid w:val="64B818C2"/>
    <w:rsid w:val="64C7617B"/>
    <w:rsid w:val="64CE38A5"/>
    <w:rsid w:val="64D72471"/>
    <w:rsid w:val="6531249E"/>
    <w:rsid w:val="653F7FD2"/>
    <w:rsid w:val="659A19EA"/>
    <w:rsid w:val="659D55BB"/>
    <w:rsid w:val="65AC2640"/>
    <w:rsid w:val="65DB033A"/>
    <w:rsid w:val="65EF4451"/>
    <w:rsid w:val="65FF1069"/>
    <w:rsid w:val="66287A82"/>
    <w:rsid w:val="6669113C"/>
    <w:rsid w:val="668A34E1"/>
    <w:rsid w:val="668E78C5"/>
    <w:rsid w:val="668F13B3"/>
    <w:rsid w:val="66966B0D"/>
    <w:rsid w:val="66E55C01"/>
    <w:rsid w:val="6759039D"/>
    <w:rsid w:val="675D26CE"/>
    <w:rsid w:val="6760797E"/>
    <w:rsid w:val="677423E5"/>
    <w:rsid w:val="678E565F"/>
    <w:rsid w:val="67D30A98"/>
    <w:rsid w:val="680B2E8B"/>
    <w:rsid w:val="680D3DFC"/>
    <w:rsid w:val="682874E7"/>
    <w:rsid w:val="68581642"/>
    <w:rsid w:val="68B62582"/>
    <w:rsid w:val="68D35203"/>
    <w:rsid w:val="69036DD3"/>
    <w:rsid w:val="6908249D"/>
    <w:rsid w:val="690E58E3"/>
    <w:rsid w:val="69555136"/>
    <w:rsid w:val="69562DE6"/>
    <w:rsid w:val="69DB153D"/>
    <w:rsid w:val="69EA35CE"/>
    <w:rsid w:val="69FB12B4"/>
    <w:rsid w:val="6A0202FD"/>
    <w:rsid w:val="6A512BC5"/>
    <w:rsid w:val="6A683CD5"/>
    <w:rsid w:val="6A934FDA"/>
    <w:rsid w:val="6AF40B09"/>
    <w:rsid w:val="6B16161C"/>
    <w:rsid w:val="6B1A06A2"/>
    <w:rsid w:val="6BCF7953"/>
    <w:rsid w:val="6BE27595"/>
    <w:rsid w:val="6BF973D9"/>
    <w:rsid w:val="6C5555D7"/>
    <w:rsid w:val="6CD148B0"/>
    <w:rsid w:val="6CF02E29"/>
    <w:rsid w:val="6CFE540E"/>
    <w:rsid w:val="6DA349D7"/>
    <w:rsid w:val="6DF70E25"/>
    <w:rsid w:val="6E335086"/>
    <w:rsid w:val="6E3E6A26"/>
    <w:rsid w:val="6E8359C8"/>
    <w:rsid w:val="6EB348B6"/>
    <w:rsid w:val="6EEDA300"/>
    <w:rsid w:val="6EF5395D"/>
    <w:rsid w:val="6F1F37C4"/>
    <w:rsid w:val="6F200573"/>
    <w:rsid w:val="6F46756B"/>
    <w:rsid w:val="6F525EB3"/>
    <w:rsid w:val="6F586B3A"/>
    <w:rsid w:val="6F7F7317"/>
    <w:rsid w:val="6F8D513A"/>
    <w:rsid w:val="6FA90BE9"/>
    <w:rsid w:val="6FAB7BD8"/>
    <w:rsid w:val="6FD23104"/>
    <w:rsid w:val="6FFF5737"/>
    <w:rsid w:val="70185AF7"/>
    <w:rsid w:val="70383246"/>
    <w:rsid w:val="70B066BF"/>
    <w:rsid w:val="70C075BB"/>
    <w:rsid w:val="70F86BAC"/>
    <w:rsid w:val="712C5F13"/>
    <w:rsid w:val="71607E98"/>
    <w:rsid w:val="71AA435E"/>
    <w:rsid w:val="71D03172"/>
    <w:rsid w:val="71D46F9E"/>
    <w:rsid w:val="71F94F74"/>
    <w:rsid w:val="725D51E5"/>
    <w:rsid w:val="729D1933"/>
    <w:rsid w:val="72BB50D6"/>
    <w:rsid w:val="72E01FD9"/>
    <w:rsid w:val="72F668BB"/>
    <w:rsid w:val="73277771"/>
    <w:rsid w:val="733D6460"/>
    <w:rsid w:val="733E46C3"/>
    <w:rsid w:val="736F2D56"/>
    <w:rsid w:val="73903C1F"/>
    <w:rsid w:val="73916DBD"/>
    <w:rsid w:val="73FF1156"/>
    <w:rsid w:val="746C11B7"/>
    <w:rsid w:val="747E0682"/>
    <w:rsid w:val="74BA5E70"/>
    <w:rsid w:val="74D45D24"/>
    <w:rsid w:val="75127B90"/>
    <w:rsid w:val="75556757"/>
    <w:rsid w:val="760F4A49"/>
    <w:rsid w:val="7665251E"/>
    <w:rsid w:val="76657FCA"/>
    <w:rsid w:val="768014A2"/>
    <w:rsid w:val="769B08BB"/>
    <w:rsid w:val="76C20176"/>
    <w:rsid w:val="76C566B0"/>
    <w:rsid w:val="76F74D0C"/>
    <w:rsid w:val="775B5A6C"/>
    <w:rsid w:val="776F6ED5"/>
    <w:rsid w:val="77E43258"/>
    <w:rsid w:val="77F36849"/>
    <w:rsid w:val="77FDD533"/>
    <w:rsid w:val="781520BE"/>
    <w:rsid w:val="78451A8F"/>
    <w:rsid w:val="786B3F4D"/>
    <w:rsid w:val="793751FE"/>
    <w:rsid w:val="796B643A"/>
    <w:rsid w:val="79DD7762"/>
    <w:rsid w:val="79F00898"/>
    <w:rsid w:val="79FD55A8"/>
    <w:rsid w:val="7A10422C"/>
    <w:rsid w:val="7A39090F"/>
    <w:rsid w:val="7A493A8D"/>
    <w:rsid w:val="7ADE14A2"/>
    <w:rsid w:val="7B4144FD"/>
    <w:rsid w:val="7B4C3896"/>
    <w:rsid w:val="7B7704E2"/>
    <w:rsid w:val="7B843AB0"/>
    <w:rsid w:val="7C60433F"/>
    <w:rsid w:val="7CDE333C"/>
    <w:rsid w:val="7D6A27B1"/>
    <w:rsid w:val="7D816CD6"/>
    <w:rsid w:val="7D931C52"/>
    <w:rsid w:val="7DB31B90"/>
    <w:rsid w:val="7DC3502D"/>
    <w:rsid w:val="7DDF53B9"/>
    <w:rsid w:val="7E407D0E"/>
    <w:rsid w:val="7E663730"/>
    <w:rsid w:val="7E7205C2"/>
    <w:rsid w:val="7E7F6160"/>
    <w:rsid w:val="7E8146EE"/>
    <w:rsid w:val="7ED93D52"/>
    <w:rsid w:val="7F127358"/>
    <w:rsid w:val="7F3040A4"/>
    <w:rsid w:val="7F315D6A"/>
    <w:rsid w:val="7F3A6A0D"/>
    <w:rsid w:val="7F3F6D95"/>
    <w:rsid w:val="7F486767"/>
    <w:rsid w:val="7FDEAAB5"/>
    <w:rsid w:val="7FF207FC"/>
    <w:rsid w:val="AFE3C395"/>
    <w:rsid w:val="B4D3E113"/>
    <w:rsid w:val="B6DB629F"/>
    <w:rsid w:val="BEFEB61B"/>
    <w:rsid w:val="CEFF013B"/>
    <w:rsid w:val="D47E1FB8"/>
    <w:rsid w:val="D7BFD1BD"/>
    <w:rsid w:val="D8A72F9C"/>
    <w:rsid w:val="DD7F89F7"/>
    <w:rsid w:val="DFE71486"/>
    <w:rsid w:val="DFFF3381"/>
    <w:rsid w:val="E6A742FF"/>
    <w:rsid w:val="EFEDC59F"/>
    <w:rsid w:val="F75B0AD0"/>
    <w:rsid w:val="F8671B09"/>
    <w:rsid w:val="F917E4AC"/>
    <w:rsid w:val="FCFF0DEA"/>
    <w:rsid w:val="FDEDB8E9"/>
    <w:rsid w:val="FDFBE8F3"/>
    <w:rsid w:val="FE7BABEB"/>
    <w:rsid w:val="FEFBC23F"/>
    <w:rsid w:val="FFBF4DDB"/>
    <w:rsid w:val="FFDFA4EC"/>
    <w:rsid w:val="FFED4B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1"/>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102"/>
    <w:qFormat/>
    <w:uiPriority w:val="9"/>
    <w:pPr>
      <w:keepNext/>
      <w:tabs>
        <w:tab w:val="left" w:pos="1260"/>
      </w:tabs>
      <w:ind w:left="1260" w:hanging="420"/>
      <w:outlineLvl w:val="1"/>
    </w:pPr>
    <w:rPr>
      <w:b/>
      <w:bCs/>
    </w:rPr>
  </w:style>
  <w:style w:type="paragraph" w:styleId="5">
    <w:name w:val="heading 3"/>
    <w:basedOn w:val="1"/>
    <w:next w:val="1"/>
    <w:link w:val="103"/>
    <w:qFormat/>
    <w:uiPriority w:val="9"/>
    <w:pPr>
      <w:keepNext/>
      <w:keepLines/>
      <w:spacing w:before="260" w:after="260" w:line="413" w:lineRule="auto"/>
      <w:outlineLvl w:val="2"/>
    </w:pPr>
    <w:rPr>
      <w:b/>
      <w:bCs/>
      <w:sz w:val="32"/>
      <w:szCs w:val="32"/>
    </w:rPr>
  </w:style>
  <w:style w:type="paragraph" w:styleId="6">
    <w:name w:val="heading 4"/>
    <w:basedOn w:val="1"/>
    <w:next w:val="1"/>
    <w:link w:val="104"/>
    <w:qFormat/>
    <w:uiPriority w:val="9"/>
    <w:pPr>
      <w:keepNext/>
      <w:tabs>
        <w:tab w:val="left" w:pos="825"/>
      </w:tabs>
      <w:spacing w:line="360" w:lineRule="auto"/>
      <w:ind w:left="825" w:hanging="405"/>
      <w:outlineLvl w:val="3"/>
    </w:pPr>
    <w:rPr>
      <w:b/>
      <w:bCs/>
      <w:sz w:val="24"/>
    </w:rPr>
  </w:style>
  <w:style w:type="paragraph" w:styleId="7">
    <w:name w:val="heading 5"/>
    <w:basedOn w:val="1"/>
    <w:next w:val="1"/>
    <w:link w:val="105"/>
    <w:qFormat/>
    <w:uiPriority w:val="9"/>
    <w:pPr>
      <w:keepNext/>
      <w:tabs>
        <w:tab w:val="left" w:pos="1130"/>
      </w:tabs>
      <w:spacing w:line="360" w:lineRule="auto"/>
      <w:ind w:left="1130" w:hanging="420"/>
      <w:outlineLvl w:val="4"/>
    </w:pPr>
    <w:rPr>
      <w:rFonts w:ascii="宋体" w:hAnsi="宋体"/>
      <w:b/>
      <w:bCs/>
      <w:sz w:val="24"/>
      <w:szCs w:val="20"/>
    </w:rPr>
  </w:style>
  <w:style w:type="paragraph" w:styleId="8">
    <w:name w:val="heading 6"/>
    <w:basedOn w:val="1"/>
    <w:next w:val="1"/>
    <w:link w:val="106"/>
    <w:qFormat/>
    <w:uiPriority w:val="9"/>
    <w:pPr>
      <w:keepNext/>
      <w:keepLines/>
      <w:spacing w:before="240" w:after="64" w:line="317" w:lineRule="auto"/>
      <w:outlineLvl w:val="5"/>
    </w:pPr>
    <w:rPr>
      <w:rFonts w:ascii="Cambria" w:hAnsi="Cambria"/>
      <w:b/>
      <w:bCs/>
      <w:sz w:val="24"/>
    </w:rPr>
  </w:style>
  <w:style w:type="paragraph" w:styleId="9">
    <w:name w:val="heading 7"/>
    <w:basedOn w:val="1"/>
    <w:next w:val="1"/>
    <w:link w:val="107"/>
    <w:qFormat/>
    <w:uiPriority w:val="9"/>
    <w:pPr>
      <w:keepNext/>
      <w:keepLines/>
      <w:spacing w:before="240" w:after="64" w:line="317" w:lineRule="auto"/>
      <w:outlineLvl w:val="6"/>
    </w:pPr>
    <w:rPr>
      <w:b/>
      <w:bCs/>
      <w:sz w:val="24"/>
    </w:rPr>
  </w:style>
  <w:style w:type="paragraph" w:styleId="10">
    <w:name w:val="heading 8"/>
    <w:basedOn w:val="1"/>
    <w:next w:val="1"/>
    <w:link w:val="108"/>
    <w:qFormat/>
    <w:uiPriority w:val="9"/>
    <w:pPr>
      <w:keepNext/>
      <w:keepLines/>
      <w:spacing w:before="240" w:after="64" w:line="317" w:lineRule="auto"/>
      <w:outlineLvl w:val="7"/>
    </w:pPr>
    <w:rPr>
      <w:rFonts w:ascii="Cambria" w:hAnsi="Cambria"/>
      <w:sz w:val="24"/>
    </w:rPr>
  </w:style>
  <w:style w:type="paragraph" w:styleId="11">
    <w:name w:val="heading 9"/>
    <w:basedOn w:val="1"/>
    <w:next w:val="1"/>
    <w:link w:val="109"/>
    <w:qFormat/>
    <w:uiPriority w:val="9"/>
    <w:pPr>
      <w:keepNext/>
      <w:keepLines/>
      <w:spacing w:before="240" w:after="64" w:line="317" w:lineRule="auto"/>
      <w:outlineLvl w:val="8"/>
    </w:pPr>
    <w:rPr>
      <w:rFonts w:ascii="Cambria" w:hAnsi="Cambria"/>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0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780"/>
      </w:tabs>
      <w:ind w:left="780" w:hanging="360"/>
    </w:pPr>
  </w:style>
  <w:style w:type="paragraph" w:styleId="15">
    <w:name w:val="table of authorities"/>
    <w:basedOn w:val="1"/>
    <w:next w:val="1"/>
    <w:qFormat/>
    <w:uiPriority w:val="0"/>
    <w:pPr>
      <w:ind w:left="420" w:leftChars="200"/>
    </w:pPr>
  </w:style>
  <w:style w:type="paragraph" w:styleId="16">
    <w:name w:val="Note Heading"/>
    <w:basedOn w:val="1"/>
    <w:next w:val="1"/>
    <w:link w:val="110"/>
    <w:qFormat/>
    <w:uiPriority w:val="0"/>
    <w:pPr>
      <w:jc w:val="center"/>
    </w:pPr>
  </w:style>
  <w:style w:type="paragraph" w:styleId="17">
    <w:name w:val="List Bullet 4"/>
    <w:basedOn w:val="1"/>
    <w:qFormat/>
    <w:uiPriority w:val="0"/>
    <w:pPr>
      <w:tabs>
        <w:tab w:val="left" w:pos="1620"/>
      </w:tabs>
      <w:ind w:left="1620" w:hanging="360"/>
    </w:pPr>
  </w:style>
  <w:style w:type="paragraph" w:styleId="18">
    <w:name w:val="index 8"/>
    <w:basedOn w:val="1"/>
    <w:next w:val="1"/>
    <w:qFormat/>
    <w:uiPriority w:val="0"/>
    <w:pPr>
      <w:ind w:left="1400" w:leftChars="1400"/>
    </w:pPr>
  </w:style>
  <w:style w:type="paragraph" w:styleId="19">
    <w:name w:val="E-mail Signature"/>
    <w:basedOn w:val="1"/>
    <w:link w:val="111"/>
    <w:qFormat/>
    <w:uiPriority w:val="0"/>
  </w:style>
  <w:style w:type="paragraph" w:styleId="20">
    <w:name w:val="List Number"/>
    <w:basedOn w:val="1"/>
    <w:qFormat/>
    <w:uiPriority w:val="0"/>
    <w:pPr>
      <w:tabs>
        <w:tab w:val="left" w:pos="360"/>
      </w:tabs>
      <w:ind w:left="360" w:hanging="360"/>
    </w:pPr>
  </w:style>
  <w:style w:type="paragraph" w:styleId="21">
    <w:name w:val="Normal Indent"/>
    <w:basedOn w:val="1"/>
    <w:link w:val="112"/>
    <w:qFormat/>
    <w:uiPriority w:val="0"/>
    <w:pPr>
      <w:ind w:firstLine="420" w:firstLineChars="200"/>
    </w:pPr>
  </w:style>
  <w:style w:type="paragraph" w:styleId="22">
    <w:name w:val="caption"/>
    <w:basedOn w:val="1"/>
    <w:next w:val="1"/>
    <w:qFormat/>
    <w:uiPriority w:val="0"/>
    <w:rPr>
      <w:rFonts w:ascii="Cambria" w:hAnsi="Cambria" w:eastAsia="黑体"/>
      <w:sz w:val="20"/>
      <w:szCs w:val="20"/>
    </w:rPr>
  </w:style>
  <w:style w:type="paragraph" w:styleId="23">
    <w:name w:val="index 5"/>
    <w:basedOn w:val="1"/>
    <w:next w:val="1"/>
    <w:qFormat/>
    <w:uiPriority w:val="0"/>
    <w:pPr>
      <w:ind w:left="800" w:leftChars="800"/>
    </w:pPr>
  </w:style>
  <w:style w:type="paragraph" w:styleId="24">
    <w:name w:val="List Bullet"/>
    <w:basedOn w:val="1"/>
    <w:qFormat/>
    <w:uiPriority w:val="0"/>
    <w:pPr>
      <w:tabs>
        <w:tab w:val="left" w:pos="360"/>
      </w:tabs>
      <w:ind w:left="360" w:hanging="360"/>
    </w:pPr>
  </w:style>
  <w:style w:type="paragraph" w:styleId="25">
    <w:name w:val="envelope address"/>
    <w:basedOn w:val="1"/>
    <w:qFormat/>
    <w:uiPriority w:val="0"/>
    <w:pPr>
      <w:snapToGrid w:val="0"/>
      <w:ind w:left="100" w:leftChars="1400"/>
    </w:pPr>
    <w:rPr>
      <w:rFonts w:ascii="Cambria" w:hAnsi="Cambria"/>
      <w:sz w:val="24"/>
    </w:rPr>
  </w:style>
  <w:style w:type="paragraph" w:styleId="26">
    <w:name w:val="Document Map"/>
    <w:basedOn w:val="1"/>
    <w:link w:val="113"/>
    <w:qFormat/>
    <w:uiPriority w:val="99"/>
    <w:rPr>
      <w:rFonts w:ascii="宋体"/>
      <w:sz w:val="18"/>
      <w:szCs w:val="18"/>
    </w:rPr>
  </w:style>
  <w:style w:type="paragraph" w:styleId="27">
    <w:name w:val="toa heading"/>
    <w:basedOn w:val="1"/>
    <w:next w:val="1"/>
    <w:qFormat/>
    <w:uiPriority w:val="0"/>
    <w:pPr>
      <w:spacing w:before="120"/>
    </w:pPr>
    <w:rPr>
      <w:rFonts w:ascii="Cambria" w:hAnsi="Cambria"/>
      <w:sz w:val="24"/>
    </w:rPr>
  </w:style>
  <w:style w:type="paragraph" w:styleId="28">
    <w:name w:val="annotation text"/>
    <w:basedOn w:val="1"/>
    <w:link w:val="114"/>
    <w:qFormat/>
    <w:uiPriority w:val="99"/>
    <w:pPr>
      <w:jc w:val="left"/>
    </w:pPr>
  </w:style>
  <w:style w:type="paragraph" w:styleId="29">
    <w:name w:val="index 6"/>
    <w:basedOn w:val="1"/>
    <w:next w:val="1"/>
    <w:qFormat/>
    <w:uiPriority w:val="0"/>
    <w:pPr>
      <w:ind w:left="1000" w:leftChars="1000"/>
    </w:pPr>
  </w:style>
  <w:style w:type="paragraph" w:styleId="30">
    <w:name w:val="Salutation"/>
    <w:basedOn w:val="1"/>
    <w:next w:val="1"/>
    <w:link w:val="115"/>
    <w:qFormat/>
    <w:uiPriority w:val="0"/>
  </w:style>
  <w:style w:type="paragraph" w:styleId="31">
    <w:name w:val="Body Text 3"/>
    <w:basedOn w:val="1"/>
    <w:link w:val="116"/>
    <w:qFormat/>
    <w:uiPriority w:val="0"/>
    <w:pPr>
      <w:spacing w:after="120"/>
    </w:pPr>
    <w:rPr>
      <w:sz w:val="16"/>
      <w:szCs w:val="16"/>
    </w:rPr>
  </w:style>
  <w:style w:type="paragraph" w:styleId="32">
    <w:name w:val="Closing"/>
    <w:basedOn w:val="1"/>
    <w:link w:val="117"/>
    <w:qFormat/>
    <w:uiPriority w:val="0"/>
    <w:pPr>
      <w:ind w:left="100" w:leftChars="2100"/>
    </w:pPr>
  </w:style>
  <w:style w:type="paragraph" w:styleId="33">
    <w:name w:val="List Bullet 3"/>
    <w:basedOn w:val="1"/>
    <w:qFormat/>
    <w:uiPriority w:val="0"/>
    <w:pPr>
      <w:tabs>
        <w:tab w:val="left" w:pos="1200"/>
      </w:tabs>
      <w:ind w:left="1200" w:hanging="360"/>
    </w:pPr>
  </w:style>
  <w:style w:type="paragraph" w:styleId="34">
    <w:name w:val="Body Text"/>
    <w:basedOn w:val="1"/>
    <w:link w:val="118"/>
    <w:qFormat/>
    <w:uiPriority w:val="0"/>
    <w:rPr>
      <w:rFonts w:ascii="仿宋_GB2312" w:eastAsia="仿宋_GB2312"/>
      <w:sz w:val="24"/>
    </w:rPr>
  </w:style>
  <w:style w:type="paragraph" w:styleId="35">
    <w:name w:val="Body Text Indent"/>
    <w:basedOn w:val="1"/>
    <w:link w:val="119"/>
    <w:qFormat/>
    <w:uiPriority w:val="0"/>
    <w:pPr>
      <w:ind w:left="479" w:leftChars="228"/>
    </w:pPr>
    <w:rPr>
      <w:rFonts w:ascii="仿宋_GB2312" w:eastAsia="仿宋_GB2312"/>
      <w:sz w:val="24"/>
    </w:rPr>
  </w:style>
  <w:style w:type="paragraph" w:styleId="36">
    <w:name w:val="List Number 3"/>
    <w:basedOn w:val="1"/>
    <w:qFormat/>
    <w:uiPriority w:val="0"/>
    <w:pPr>
      <w:tabs>
        <w:tab w:val="left" w:pos="1200"/>
      </w:tabs>
      <w:ind w:left="1200" w:hanging="360"/>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ind w:left="420" w:leftChars="200"/>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tabs>
        <w:tab w:val="left" w:pos="780"/>
      </w:tabs>
      <w:ind w:left="780" w:hanging="360"/>
    </w:pPr>
  </w:style>
  <w:style w:type="paragraph" w:styleId="41">
    <w:name w:val="HTML Address"/>
    <w:basedOn w:val="1"/>
    <w:link w:val="120"/>
    <w:qFormat/>
    <w:uiPriority w:val="0"/>
    <w:rPr>
      <w:i/>
      <w:iCs/>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39"/>
    <w:pPr>
      <w:ind w:left="840" w:leftChars="400"/>
    </w:pPr>
  </w:style>
  <w:style w:type="paragraph" w:styleId="45">
    <w:name w:val="Plain Text"/>
    <w:basedOn w:val="1"/>
    <w:link w:val="121"/>
    <w:qFormat/>
    <w:uiPriority w:val="0"/>
    <w:rPr>
      <w:rFonts w:ascii="宋体" w:hAnsi="Courier New"/>
      <w:szCs w:val="21"/>
    </w:rPr>
  </w:style>
  <w:style w:type="paragraph" w:styleId="46">
    <w:name w:val="List Bullet 5"/>
    <w:basedOn w:val="1"/>
    <w:qFormat/>
    <w:uiPriority w:val="0"/>
    <w:pPr>
      <w:tabs>
        <w:tab w:val="left" w:pos="2040"/>
      </w:tabs>
      <w:ind w:left="2040" w:hanging="360"/>
    </w:pPr>
  </w:style>
  <w:style w:type="paragraph" w:styleId="47">
    <w:name w:val="List Number 4"/>
    <w:basedOn w:val="1"/>
    <w:qFormat/>
    <w:uiPriority w:val="0"/>
    <w:pPr>
      <w:tabs>
        <w:tab w:val="left" w:pos="1620"/>
      </w:tabs>
      <w:ind w:left="1620" w:hanging="360"/>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22"/>
    <w:qFormat/>
    <w:uiPriority w:val="0"/>
    <w:rPr>
      <w:rFonts w:eastAsia="楷体_GB2312"/>
      <w:sz w:val="28"/>
      <w:szCs w:val="20"/>
    </w:rPr>
  </w:style>
  <w:style w:type="paragraph" w:styleId="51">
    <w:name w:val="Body Text Indent 2"/>
    <w:basedOn w:val="1"/>
    <w:link w:val="123"/>
    <w:qFormat/>
    <w:uiPriority w:val="0"/>
    <w:pPr>
      <w:spacing w:after="120" w:line="480" w:lineRule="auto"/>
      <w:ind w:left="420" w:leftChars="200"/>
    </w:pPr>
  </w:style>
  <w:style w:type="paragraph" w:styleId="52">
    <w:name w:val="endnote text"/>
    <w:basedOn w:val="1"/>
    <w:link w:val="124"/>
    <w:qFormat/>
    <w:uiPriority w:val="0"/>
    <w:pPr>
      <w:snapToGrid w:val="0"/>
      <w:jc w:val="left"/>
    </w:pPr>
  </w:style>
  <w:style w:type="paragraph" w:styleId="53">
    <w:name w:val="List Continue 5"/>
    <w:basedOn w:val="1"/>
    <w:qFormat/>
    <w:uiPriority w:val="0"/>
    <w:pPr>
      <w:spacing w:after="120"/>
      <w:ind w:left="2100" w:leftChars="1000"/>
    </w:pPr>
  </w:style>
  <w:style w:type="paragraph" w:styleId="54">
    <w:name w:val="Balloon Text"/>
    <w:basedOn w:val="1"/>
    <w:link w:val="125"/>
    <w:qFormat/>
    <w:uiPriority w:val="99"/>
    <w:rPr>
      <w:sz w:val="18"/>
      <w:szCs w:val="18"/>
    </w:rPr>
  </w:style>
  <w:style w:type="paragraph" w:styleId="55">
    <w:name w:val="footer"/>
    <w:basedOn w:val="1"/>
    <w:link w:val="126"/>
    <w:qFormat/>
    <w:uiPriority w:val="99"/>
    <w:pPr>
      <w:tabs>
        <w:tab w:val="center" w:pos="4153"/>
        <w:tab w:val="right" w:pos="8306"/>
      </w:tabs>
      <w:snapToGrid w:val="0"/>
      <w:jc w:val="left"/>
    </w:pPr>
    <w:rPr>
      <w:sz w:val="18"/>
      <w:szCs w:val="18"/>
    </w:rPr>
  </w:style>
  <w:style w:type="paragraph" w:styleId="56">
    <w:name w:val="envelope return"/>
    <w:basedOn w:val="1"/>
    <w:qFormat/>
    <w:uiPriority w:val="0"/>
    <w:pPr>
      <w:snapToGrid w:val="0"/>
    </w:pPr>
    <w:rPr>
      <w:rFonts w:ascii="Cambria" w:hAnsi="Cambria"/>
    </w:rPr>
  </w:style>
  <w:style w:type="paragraph" w:styleId="57">
    <w:name w:val="header"/>
    <w:basedOn w:val="1"/>
    <w:link w:val="127"/>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8"/>
    <w:qFormat/>
    <w:uiPriority w:val="0"/>
    <w:pPr>
      <w:ind w:left="100" w:leftChars="2100"/>
    </w:pPr>
  </w:style>
  <w:style w:type="paragraph" w:styleId="59">
    <w:name w:val="toc 1"/>
    <w:basedOn w:val="1"/>
    <w:next w:val="1"/>
    <w:qFormat/>
    <w:uiPriority w:val="39"/>
    <w:pPr>
      <w:adjustRightInd w:val="0"/>
      <w:snapToGrid w:val="0"/>
      <w:spacing w:line="312" w:lineRule="auto"/>
      <w:ind w:firstLine="480" w:firstLineChars="200"/>
    </w:pPr>
    <w:rPr>
      <w:rFonts w:ascii="仿宋_GB2312" w:hAnsi="华文中宋" w:eastAsia="仿宋_GB2312"/>
      <w:bCs/>
      <w:kern w:val="0"/>
      <w:sz w:val="24"/>
      <w:szCs w:val="20"/>
    </w:rPr>
  </w:style>
  <w:style w:type="paragraph" w:styleId="60">
    <w:name w:val="List Continue 4"/>
    <w:basedOn w:val="1"/>
    <w:qFormat/>
    <w:uiPriority w:val="0"/>
    <w:pPr>
      <w:spacing w:after="12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Cambria" w:hAnsi="Cambria"/>
      <w:b/>
      <w:bCs/>
    </w:rPr>
  </w:style>
  <w:style w:type="paragraph" w:styleId="63">
    <w:name w:val="index 1"/>
    <w:basedOn w:val="1"/>
    <w:next w:val="1"/>
    <w:qFormat/>
    <w:uiPriority w:val="0"/>
  </w:style>
  <w:style w:type="paragraph" w:styleId="64">
    <w:name w:val="Subtitle"/>
    <w:basedOn w:val="1"/>
    <w:next w:val="1"/>
    <w:link w:val="129"/>
    <w:qFormat/>
    <w:uiPriority w:val="0"/>
    <w:pPr>
      <w:spacing w:before="240" w:after="60" w:line="312" w:lineRule="auto"/>
      <w:jc w:val="center"/>
      <w:outlineLvl w:val="1"/>
    </w:pPr>
    <w:rPr>
      <w:rFonts w:ascii="Cambria" w:hAnsi="Cambria"/>
      <w:b/>
      <w:bCs/>
      <w:kern w:val="28"/>
      <w:sz w:val="32"/>
      <w:szCs w:val="32"/>
    </w:rPr>
  </w:style>
  <w:style w:type="paragraph" w:styleId="65">
    <w:name w:val="List Number 5"/>
    <w:basedOn w:val="1"/>
    <w:qFormat/>
    <w:uiPriority w:val="0"/>
    <w:pPr>
      <w:tabs>
        <w:tab w:val="left" w:pos="2040"/>
      </w:tabs>
      <w:ind w:left="2040" w:hanging="360"/>
    </w:pPr>
  </w:style>
  <w:style w:type="paragraph" w:styleId="66">
    <w:name w:val="List"/>
    <w:basedOn w:val="1"/>
    <w:qFormat/>
    <w:uiPriority w:val="0"/>
    <w:pPr>
      <w:ind w:left="200" w:hanging="200" w:hangingChars="200"/>
    </w:pPr>
  </w:style>
  <w:style w:type="paragraph" w:styleId="67">
    <w:name w:val="footnote text"/>
    <w:basedOn w:val="1"/>
    <w:link w:val="130"/>
    <w:qFormat/>
    <w:uiPriority w:val="0"/>
    <w:pPr>
      <w:snapToGrid w:val="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31"/>
    <w:qFormat/>
    <w:uiPriority w:val="0"/>
    <w:pPr>
      <w:spacing w:line="360" w:lineRule="auto"/>
      <w:ind w:firstLine="840"/>
    </w:pPr>
    <w:rPr>
      <w:rFonts w:ascii="仿宋_GB2312" w:eastAsia="仿宋_GB2312"/>
      <w:sz w:val="24"/>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39"/>
    <w:pPr>
      <w:ind w:left="420" w:leftChars="200"/>
    </w:pPr>
  </w:style>
  <w:style w:type="paragraph" w:styleId="75">
    <w:name w:val="toc 9"/>
    <w:basedOn w:val="1"/>
    <w:next w:val="1"/>
    <w:qFormat/>
    <w:uiPriority w:val="0"/>
    <w:pPr>
      <w:ind w:left="3360" w:leftChars="1600"/>
    </w:pPr>
  </w:style>
  <w:style w:type="paragraph" w:styleId="76">
    <w:name w:val="Body Text 2"/>
    <w:basedOn w:val="1"/>
    <w:link w:val="132"/>
    <w:qFormat/>
    <w:uiPriority w:val="0"/>
    <w:pPr>
      <w:adjustRightInd w:val="0"/>
      <w:snapToGrid w:val="0"/>
    </w:pPr>
    <w:rPr>
      <w:rFonts w:ascii="仿宋_GB2312" w:eastAsia="仿宋_GB2312"/>
      <w:b/>
      <w:bCs/>
      <w:sz w:val="28"/>
    </w:r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ind w:left="840" w:leftChars="400"/>
    </w:pPr>
  </w:style>
  <w:style w:type="paragraph" w:styleId="79">
    <w:name w:val="Message Header"/>
    <w:basedOn w:val="1"/>
    <w:link w:val="13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hd w:val="pct20" w:color="auto" w:fill="auto"/>
    </w:rPr>
  </w:style>
  <w:style w:type="paragraph" w:styleId="80">
    <w:name w:val="HTML Preformatted"/>
    <w:basedOn w:val="1"/>
    <w:link w:val="134"/>
    <w:qFormat/>
    <w:uiPriority w:val="99"/>
    <w:rPr>
      <w:rFonts w:ascii="Courier New" w:hAnsi="Courier New"/>
      <w:sz w:val="20"/>
      <w:szCs w:val="20"/>
    </w:rPr>
  </w:style>
  <w:style w:type="paragraph" w:styleId="81">
    <w:name w:val="Normal (Web)"/>
    <w:basedOn w:val="1"/>
    <w:link w:val="135"/>
    <w:qFormat/>
    <w:uiPriority w:val="99"/>
    <w:pPr>
      <w:widowControl/>
      <w:spacing w:before="100" w:beforeAutospacing="1" w:after="100" w:afterAutospacing="1"/>
      <w:jc w:val="left"/>
    </w:pPr>
    <w:rPr>
      <w:rFonts w:ascii="Arial Unicode MS" w:hAnsi="Arial Unicode MS" w:eastAsia="Arial Unicode MS"/>
      <w:kern w:val="0"/>
      <w:sz w:val="24"/>
    </w:rPr>
  </w:style>
  <w:style w:type="paragraph" w:styleId="82">
    <w:name w:val="List Continue 3"/>
    <w:basedOn w:val="1"/>
    <w:qFormat/>
    <w:uiPriority w:val="0"/>
    <w:pPr>
      <w:spacing w:after="120"/>
      <w:ind w:left="1260" w:leftChars="600"/>
    </w:pPr>
  </w:style>
  <w:style w:type="paragraph" w:styleId="83">
    <w:name w:val="index 2"/>
    <w:basedOn w:val="1"/>
    <w:next w:val="1"/>
    <w:qFormat/>
    <w:uiPriority w:val="0"/>
    <w:pPr>
      <w:ind w:left="200" w:leftChars="200"/>
    </w:pPr>
  </w:style>
  <w:style w:type="paragraph" w:styleId="84">
    <w:name w:val="Title"/>
    <w:basedOn w:val="1"/>
    <w:next w:val="1"/>
    <w:link w:val="136"/>
    <w:qFormat/>
    <w:uiPriority w:val="0"/>
    <w:pPr>
      <w:spacing w:before="240" w:after="60"/>
      <w:jc w:val="center"/>
      <w:outlineLvl w:val="0"/>
    </w:pPr>
    <w:rPr>
      <w:rFonts w:ascii="Cambria" w:hAnsi="Cambria"/>
      <w:b/>
      <w:bCs/>
      <w:sz w:val="32"/>
      <w:szCs w:val="32"/>
    </w:rPr>
  </w:style>
  <w:style w:type="paragraph" w:styleId="85">
    <w:name w:val="annotation subject"/>
    <w:basedOn w:val="28"/>
    <w:next w:val="28"/>
    <w:link w:val="137"/>
    <w:qFormat/>
    <w:uiPriority w:val="99"/>
    <w:rPr>
      <w:b/>
      <w:bCs/>
    </w:rPr>
  </w:style>
  <w:style w:type="paragraph" w:styleId="86">
    <w:name w:val="Body Text First Indent"/>
    <w:basedOn w:val="34"/>
    <w:link w:val="138"/>
    <w:qFormat/>
    <w:uiPriority w:val="0"/>
    <w:pPr>
      <w:spacing w:after="120"/>
      <w:ind w:firstLine="420" w:firstLineChars="100"/>
    </w:pPr>
  </w:style>
  <w:style w:type="paragraph" w:styleId="87">
    <w:name w:val="Body Text First Indent 2"/>
    <w:basedOn w:val="35"/>
    <w:link w:val="139"/>
    <w:qFormat/>
    <w:uiPriority w:val="0"/>
    <w:pPr>
      <w:spacing w:after="120"/>
      <w:ind w:left="420" w:leftChars="200" w:firstLine="420" w:firstLineChars="200"/>
    </w:p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qFormat/>
    <w:uiPriority w:val="0"/>
    <w:rPr>
      <w:b/>
      <w:bCs/>
    </w:rPr>
  </w:style>
  <w:style w:type="character" w:styleId="92">
    <w:name w:val="page number"/>
    <w:qFormat/>
    <w:uiPriority w:val="0"/>
  </w:style>
  <w:style w:type="character" w:styleId="93">
    <w:name w:val="FollowedHyperlink"/>
    <w:qFormat/>
    <w:uiPriority w:val="99"/>
    <w:rPr>
      <w:rFonts w:ascii="微软雅黑" w:hAnsi="微软雅黑" w:eastAsia="微软雅黑" w:cs="微软雅黑"/>
      <w:color w:val="02396F"/>
      <w:u w:val="single"/>
    </w:rPr>
  </w:style>
  <w:style w:type="character" w:styleId="94">
    <w:name w:val="Emphasis"/>
    <w:qFormat/>
    <w:uiPriority w:val="0"/>
    <w:rPr>
      <w:color w:val="CC0000"/>
    </w:rPr>
  </w:style>
  <w:style w:type="character" w:styleId="95">
    <w:name w:val="Hyperlink"/>
    <w:qFormat/>
    <w:uiPriority w:val="99"/>
    <w:rPr>
      <w:rFonts w:hint="eastAsia" w:ascii="微软雅黑" w:hAnsi="微软雅黑" w:eastAsia="微软雅黑" w:cs="微软雅黑"/>
      <w:color w:val="02396F"/>
      <w:u w:val="single"/>
    </w:rPr>
  </w:style>
  <w:style w:type="character" w:styleId="96">
    <w:name w:val="annotation reference"/>
    <w:qFormat/>
    <w:uiPriority w:val="0"/>
    <w:rPr>
      <w:sz w:val="21"/>
      <w:szCs w:val="21"/>
    </w:rPr>
  </w:style>
  <w:style w:type="paragraph" w:customStyle="1" w:styleId="9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9">
    <w:name w:val="首行缩进"/>
    <w:basedOn w:val="1"/>
    <w:qFormat/>
    <w:uiPriority w:val="0"/>
    <w:pPr>
      <w:numPr>
        <w:ilvl w:val="0"/>
        <w:numId w:val="1"/>
      </w:numPr>
      <w:spacing w:line="360" w:lineRule="auto"/>
    </w:pPr>
    <w:rPr>
      <w:sz w:val="24"/>
    </w:rPr>
  </w:style>
  <w:style w:type="character" w:customStyle="1" w:styleId="100">
    <w:name w:val="宏文本 Char"/>
    <w:link w:val="2"/>
    <w:qFormat/>
    <w:uiPriority w:val="0"/>
    <w:rPr>
      <w:rFonts w:ascii="Courier New" w:hAnsi="Courier New" w:cs="Courier New"/>
      <w:kern w:val="2"/>
      <w:sz w:val="24"/>
      <w:szCs w:val="24"/>
      <w:lang w:val="en-US" w:eastAsia="zh-CN" w:bidi="ar-SA"/>
    </w:rPr>
  </w:style>
  <w:style w:type="character" w:customStyle="1" w:styleId="101">
    <w:name w:val="标题 1 Char"/>
    <w:link w:val="3"/>
    <w:qFormat/>
    <w:uiPriority w:val="9"/>
    <w:rPr>
      <w:b/>
      <w:bCs/>
      <w:kern w:val="44"/>
      <w:sz w:val="44"/>
      <w:szCs w:val="44"/>
    </w:rPr>
  </w:style>
  <w:style w:type="character" w:customStyle="1" w:styleId="102">
    <w:name w:val="标题 2 Char1"/>
    <w:link w:val="4"/>
    <w:qFormat/>
    <w:uiPriority w:val="9"/>
    <w:rPr>
      <w:b/>
      <w:bCs/>
      <w:kern w:val="2"/>
      <w:sz w:val="21"/>
      <w:szCs w:val="24"/>
    </w:rPr>
  </w:style>
  <w:style w:type="character" w:customStyle="1" w:styleId="103">
    <w:name w:val="标题 3 Char"/>
    <w:link w:val="5"/>
    <w:qFormat/>
    <w:uiPriority w:val="9"/>
    <w:rPr>
      <w:b/>
      <w:bCs/>
      <w:kern w:val="2"/>
      <w:sz w:val="32"/>
      <w:szCs w:val="32"/>
    </w:rPr>
  </w:style>
  <w:style w:type="character" w:customStyle="1" w:styleId="104">
    <w:name w:val="标题 4 Char"/>
    <w:link w:val="6"/>
    <w:qFormat/>
    <w:uiPriority w:val="9"/>
    <w:rPr>
      <w:b/>
      <w:bCs/>
      <w:kern w:val="2"/>
      <w:sz w:val="24"/>
      <w:szCs w:val="24"/>
    </w:rPr>
  </w:style>
  <w:style w:type="character" w:customStyle="1" w:styleId="105">
    <w:name w:val="标题 5 Char"/>
    <w:link w:val="7"/>
    <w:qFormat/>
    <w:uiPriority w:val="9"/>
    <w:rPr>
      <w:rFonts w:ascii="宋体" w:hAnsi="宋体"/>
      <w:b/>
      <w:bCs/>
      <w:kern w:val="2"/>
      <w:sz w:val="24"/>
    </w:rPr>
  </w:style>
  <w:style w:type="character" w:customStyle="1" w:styleId="106">
    <w:name w:val="标题 6 Char"/>
    <w:link w:val="8"/>
    <w:qFormat/>
    <w:uiPriority w:val="9"/>
    <w:rPr>
      <w:rFonts w:ascii="Cambria" w:hAnsi="Cambria" w:eastAsia="宋体" w:cs="Times New Roman"/>
      <w:b/>
      <w:bCs/>
      <w:kern w:val="2"/>
      <w:sz w:val="24"/>
      <w:szCs w:val="24"/>
    </w:rPr>
  </w:style>
  <w:style w:type="character" w:customStyle="1" w:styleId="107">
    <w:name w:val="标题 7 Char"/>
    <w:link w:val="9"/>
    <w:qFormat/>
    <w:uiPriority w:val="9"/>
    <w:rPr>
      <w:b/>
      <w:bCs/>
      <w:kern w:val="2"/>
      <w:sz w:val="24"/>
      <w:szCs w:val="24"/>
    </w:rPr>
  </w:style>
  <w:style w:type="character" w:customStyle="1" w:styleId="108">
    <w:name w:val="标题 8 Char"/>
    <w:link w:val="10"/>
    <w:qFormat/>
    <w:uiPriority w:val="9"/>
    <w:rPr>
      <w:rFonts w:ascii="Cambria" w:hAnsi="Cambria" w:eastAsia="宋体" w:cs="Times New Roman"/>
      <w:kern w:val="2"/>
      <w:sz w:val="24"/>
      <w:szCs w:val="24"/>
    </w:rPr>
  </w:style>
  <w:style w:type="character" w:customStyle="1" w:styleId="109">
    <w:name w:val="标题 9 Char"/>
    <w:link w:val="11"/>
    <w:qFormat/>
    <w:uiPriority w:val="9"/>
    <w:rPr>
      <w:rFonts w:ascii="Cambria" w:hAnsi="Cambria" w:eastAsia="宋体" w:cs="Times New Roman"/>
      <w:kern w:val="2"/>
      <w:sz w:val="21"/>
      <w:szCs w:val="21"/>
    </w:rPr>
  </w:style>
  <w:style w:type="character" w:customStyle="1" w:styleId="110">
    <w:name w:val="注释标题 Char"/>
    <w:link w:val="16"/>
    <w:qFormat/>
    <w:uiPriority w:val="0"/>
    <w:rPr>
      <w:kern w:val="2"/>
      <w:sz w:val="21"/>
      <w:szCs w:val="24"/>
    </w:rPr>
  </w:style>
  <w:style w:type="character" w:customStyle="1" w:styleId="111">
    <w:name w:val="电子邮件签名 Char"/>
    <w:link w:val="19"/>
    <w:qFormat/>
    <w:uiPriority w:val="0"/>
    <w:rPr>
      <w:kern w:val="2"/>
      <w:sz w:val="21"/>
      <w:szCs w:val="24"/>
    </w:rPr>
  </w:style>
  <w:style w:type="character" w:customStyle="1" w:styleId="112">
    <w:name w:val="正文缩进 Char"/>
    <w:link w:val="21"/>
    <w:qFormat/>
    <w:uiPriority w:val="0"/>
    <w:rPr>
      <w:kern w:val="2"/>
      <w:sz w:val="21"/>
      <w:szCs w:val="24"/>
    </w:rPr>
  </w:style>
  <w:style w:type="character" w:customStyle="1" w:styleId="113">
    <w:name w:val="文档结构图 Char"/>
    <w:link w:val="26"/>
    <w:qFormat/>
    <w:uiPriority w:val="99"/>
    <w:rPr>
      <w:rFonts w:ascii="宋体"/>
      <w:kern w:val="2"/>
      <w:sz w:val="18"/>
      <w:szCs w:val="18"/>
    </w:rPr>
  </w:style>
  <w:style w:type="character" w:customStyle="1" w:styleId="114">
    <w:name w:val="批注文字 Char2"/>
    <w:link w:val="28"/>
    <w:qFormat/>
    <w:uiPriority w:val="99"/>
    <w:rPr>
      <w:kern w:val="2"/>
      <w:sz w:val="21"/>
      <w:szCs w:val="24"/>
    </w:rPr>
  </w:style>
  <w:style w:type="character" w:customStyle="1" w:styleId="115">
    <w:name w:val="称呼 Char"/>
    <w:link w:val="30"/>
    <w:qFormat/>
    <w:uiPriority w:val="0"/>
    <w:rPr>
      <w:kern w:val="2"/>
      <w:sz w:val="21"/>
      <w:szCs w:val="24"/>
    </w:rPr>
  </w:style>
  <w:style w:type="character" w:customStyle="1" w:styleId="116">
    <w:name w:val="正文文本 3 Char"/>
    <w:link w:val="31"/>
    <w:qFormat/>
    <w:uiPriority w:val="0"/>
    <w:rPr>
      <w:kern w:val="2"/>
      <w:sz w:val="16"/>
      <w:szCs w:val="16"/>
    </w:rPr>
  </w:style>
  <w:style w:type="character" w:customStyle="1" w:styleId="117">
    <w:name w:val="结束语 Char"/>
    <w:link w:val="32"/>
    <w:qFormat/>
    <w:uiPriority w:val="0"/>
    <w:rPr>
      <w:kern w:val="2"/>
      <w:sz w:val="21"/>
      <w:szCs w:val="24"/>
    </w:rPr>
  </w:style>
  <w:style w:type="character" w:customStyle="1" w:styleId="118">
    <w:name w:val="正文文本 Char3"/>
    <w:link w:val="34"/>
    <w:qFormat/>
    <w:uiPriority w:val="0"/>
    <w:rPr>
      <w:rFonts w:ascii="仿宋_GB2312" w:eastAsia="仿宋_GB2312"/>
      <w:kern w:val="2"/>
      <w:sz w:val="24"/>
      <w:szCs w:val="24"/>
    </w:rPr>
  </w:style>
  <w:style w:type="character" w:customStyle="1" w:styleId="119">
    <w:name w:val="正文文本缩进 Char1"/>
    <w:link w:val="35"/>
    <w:qFormat/>
    <w:uiPriority w:val="0"/>
    <w:rPr>
      <w:rFonts w:ascii="仿宋_GB2312" w:eastAsia="仿宋_GB2312"/>
      <w:kern w:val="2"/>
      <w:sz w:val="24"/>
      <w:szCs w:val="24"/>
    </w:rPr>
  </w:style>
  <w:style w:type="character" w:customStyle="1" w:styleId="120">
    <w:name w:val="HTML 地址 Char"/>
    <w:link w:val="41"/>
    <w:qFormat/>
    <w:uiPriority w:val="0"/>
    <w:rPr>
      <w:i/>
      <w:iCs/>
      <w:kern w:val="2"/>
      <w:sz w:val="21"/>
      <w:szCs w:val="24"/>
    </w:rPr>
  </w:style>
  <w:style w:type="character" w:customStyle="1" w:styleId="121">
    <w:name w:val="纯文本 Char2"/>
    <w:link w:val="45"/>
    <w:qFormat/>
    <w:uiPriority w:val="0"/>
    <w:rPr>
      <w:rFonts w:ascii="宋体" w:hAnsi="Courier New" w:cs="Courier New"/>
      <w:kern w:val="2"/>
      <w:sz w:val="21"/>
      <w:szCs w:val="21"/>
    </w:rPr>
  </w:style>
  <w:style w:type="character" w:customStyle="1" w:styleId="122">
    <w:name w:val="日期 Char"/>
    <w:link w:val="50"/>
    <w:qFormat/>
    <w:uiPriority w:val="0"/>
    <w:rPr>
      <w:rFonts w:eastAsia="楷体_GB2312"/>
      <w:kern w:val="2"/>
      <w:sz w:val="28"/>
    </w:rPr>
  </w:style>
  <w:style w:type="character" w:customStyle="1" w:styleId="123">
    <w:name w:val="正文文本缩进 2 Char1"/>
    <w:link w:val="51"/>
    <w:qFormat/>
    <w:uiPriority w:val="0"/>
    <w:rPr>
      <w:kern w:val="2"/>
      <w:sz w:val="21"/>
      <w:szCs w:val="24"/>
    </w:rPr>
  </w:style>
  <w:style w:type="character" w:customStyle="1" w:styleId="124">
    <w:name w:val="尾注文本 Char"/>
    <w:link w:val="52"/>
    <w:qFormat/>
    <w:uiPriority w:val="0"/>
    <w:rPr>
      <w:kern w:val="2"/>
      <w:sz w:val="21"/>
      <w:szCs w:val="24"/>
    </w:rPr>
  </w:style>
  <w:style w:type="character" w:customStyle="1" w:styleId="125">
    <w:name w:val="批注框文本 Char"/>
    <w:link w:val="54"/>
    <w:qFormat/>
    <w:locked/>
    <w:uiPriority w:val="99"/>
    <w:rPr>
      <w:rFonts w:eastAsia="宋体"/>
      <w:kern w:val="2"/>
      <w:sz w:val="18"/>
      <w:szCs w:val="18"/>
      <w:lang w:val="en-US" w:eastAsia="zh-CN" w:bidi="ar-SA"/>
    </w:rPr>
  </w:style>
  <w:style w:type="character" w:customStyle="1" w:styleId="126">
    <w:name w:val="页脚 Char1"/>
    <w:link w:val="55"/>
    <w:qFormat/>
    <w:uiPriority w:val="99"/>
    <w:rPr>
      <w:kern w:val="2"/>
      <w:sz w:val="18"/>
      <w:szCs w:val="18"/>
    </w:rPr>
  </w:style>
  <w:style w:type="character" w:customStyle="1" w:styleId="127">
    <w:name w:val="页眉 Char"/>
    <w:link w:val="57"/>
    <w:qFormat/>
    <w:uiPriority w:val="99"/>
    <w:rPr>
      <w:kern w:val="2"/>
      <w:sz w:val="18"/>
      <w:szCs w:val="18"/>
    </w:rPr>
  </w:style>
  <w:style w:type="character" w:customStyle="1" w:styleId="128">
    <w:name w:val="签名 Char"/>
    <w:link w:val="58"/>
    <w:qFormat/>
    <w:uiPriority w:val="0"/>
    <w:rPr>
      <w:kern w:val="2"/>
      <w:sz w:val="21"/>
      <w:szCs w:val="24"/>
    </w:rPr>
  </w:style>
  <w:style w:type="character" w:customStyle="1" w:styleId="129">
    <w:name w:val="副标题 Char"/>
    <w:link w:val="64"/>
    <w:qFormat/>
    <w:uiPriority w:val="0"/>
    <w:rPr>
      <w:rFonts w:ascii="Cambria" w:hAnsi="Cambria" w:cs="Times New Roman"/>
      <w:b/>
      <w:bCs/>
      <w:kern w:val="28"/>
      <w:sz w:val="32"/>
      <w:szCs w:val="32"/>
    </w:rPr>
  </w:style>
  <w:style w:type="character" w:customStyle="1" w:styleId="130">
    <w:name w:val="脚注文本 Char"/>
    <w:link w:val="67"/>
    <w:qFormat/>
    <w:uiPriority w:val="0"/>
    <w:rPr>
      <w:kern w:val="2"/>
      <w:sz w:val="18"/>
      <w:szCs w:val="18"/>
    </w:rPr>
  </w:style>
  <w:style w:type="character" w:customStyle="1" w:styleId="131">
    <w:name w:val="正文文本缩进 3 Char"/>
    <w:link w:val="70"/>
    <w:qFormat/>
    <w:uiPriority w:val="0"/>
    <w:rPr>
      <w:rFonts w:ascii="仿宋_GB2312" w:eastAsia="仿宋_GB2312"/>
      <w:kern w:val="2"/>
      <w:sz w:val="24"/>
      <w:szCs w:val="24"/>
    </w:rPr>
  </w:style>
  <w:style w:type="character" w:customStyle="1" w:styleId="132">
    <w:name w:val="正文文本 2 Char"/>
    <w:link w:val="76"/>
    <w:qFormat/>
    <w:uiPriority w:val="0"/>
    <w:rPr>
      <w:rFonts w:ascii="仿宋_GB2312" w:eastAsia="仿宋_GB2312"/>
      <w:b/>
      <w:bCs/>
      <w:kern w:val="2"/>
      <w:sz w:val="28"/>
      <w:szCs w:val="24"/>
    </w:rPr>
  </w:style>
  <w:style w:type="character" w:customStyle="1" w:styleId="133">
    <w:name w:val="信息标题 Char"/>
    <w:link w:val="79"/>
    <w:qFormat/>
    <w:uiPriority w:val="0"/>
    <w:rPr>
      <w:rFonts w:ascii="Cambria" w:hAnsi="Cambria" w:eastAsia="宋体" w:cs="Times New Roman"/>
      <w:kern w:val="2"/>
      <w:sz w:val="24"/>
      <w:szCs w:val="24"/>
      <w:shd w:val="pct20" w:color="auto" w:fill="auto"/>
    </w:rPr>
  </w:style>
  <w:style w:type="character" w:customStyle="1" w:styleId="134">
    <w:name w:val="HTML 预设格式 Char"/>
    <w:link w:val="80"/>
    <w:qFormat/>
    <w:uiPriority w:val="99"/>
    <w:rPr>
      <w:rFonts w:ascii="Courier New" w:hAnsi="Courier New" w:cs="Courier New"/>
      <w:kern w:val="2"/>
    </w:rPr>
  </w:style>
  <w:style w:type="character" w:customStyle="1" w:styleId="135">
    <w:name w:val="普通(网站) Char"/>
    <w:link w:val="81"/>
    <w:qFormat/>
    <w:locked/>
    <w:uiPriority w:val="0"/>
    <w:rPr>
      <w:rFonts w:ascii="Arial Unicode MS" w:hAnsi="Arial Unicode MS" w:eastAsia="Arial Unicode MS" w:cs="Arial Unicode MS"/>
      <w:sz w:val="24"/>
      <w:szCs w:val="24"/>
    </w:rPr>
  </w:style>
  <w:style w:type="character" w:customStyle="1" w:styleId="136">
    <w:name w:val="标题 Char"/>
    <w:link w:val="84"/>
    <w:qFormat/>
    <w:uiPriority w:val="0"/>
    <w:rPr>
      <w:rFonts w:ascii="Cambria" w:hAnsi="Cambria" w:cs="Times New Roman"/>
      <w:b/>
      <w:bCs/>
      <w:kern w:val="2"/>
      <w:sz w:val="32"/>
      <w:szCs w:val="32"/>
    </w:rPr>
  </w:style>
  <w:style w:type="character" w:customStyle="1" w:styleId="137">
    <w:name w:val="批注主题 Char"/>
    <w:link w:val="85"/>
    <w:qFormat/>
    <w:uiPriority w:val="99"/>
    <w:rPr>
      <w:b/>
      <w:bCs/>
      <w:kern w:val="2"/>
      <w:sz w:val="21"/>
      <w:szCs w:val="24"/>
    </w:rPr>
  </w:style>
  <w:style w:type="character" w:customStyle="1" w:styleId="138">
    <w:name w:val="正文首行缩进 Char"/>
    <w:link w:val="86"/>
    <w:qFormat/>
    <w:uiPriority w:val="0"/>
    <w:rPr>
      <w:rFonts w:ascii="仿宋_GB2312" w:eastAsia="仿宋_GB2312"/>
      <w:kern w:val="2"/>
      <w:sz w:val="24"/>
      <w:szCs w:val="24"/>
    </w:rPr>
  </w:style>
  <w:style w:type="character" w:customStyle="1" w:styleId="139">
    <w:name w:val="正文首行缩进 2 Char"/>
    <w:link w:val="87"/>
    <w:qFormat/>
    <w:uiPriority w:val="0"/>
    <w:rPr>
      <w:rFonts w:ascii="仿宋_GB2312" w:eastAsia="仿宋_GB2312"/>
      <w:kern w:val="2"/>
      <w:sz w:val="24"/>
      <w:szCs w:val="24"/>
    </w:rPr>
  </w:style>
  <w:style w:type="character" w:customStyle="1" w:styleId="140">
    <w:name w:val="批注主题 字符"/>
    <w:link w:val="141"/>
    <w:qFormat/>
    <w:uiPriority w:val="0"/>
    <w:rPr>
      <w:b/>
      <w:bCs/>
      <w:kern w:val="2"/>
      <w:sz w:val="21"/>
      <w:szCs w:val="24"/>
    </w:rPr>
  </w:style>
  <w:style w:type="paragraph" w:customStyle="1" w:styleId="141">
    <w:name w:val="批注主题1"/>
    <w:basedOn w:val="28"/>
    <w:next w:val="28"/>
    <w:link w:val="140"/>
    <w:qFormat/>
    <w:uiPriority w:val="0"/>
    <w:rPr>
      <w:b/>
      <w:bCs/>
    </w:rPr>
  </w:style>
  <w:style w:type="character" w:customStyle="1" w:styleId="142">
    <w:name w:val="浅色底纹 - 着色 2 字符"/>
    <w:link w:val="143"/>
    <w:qFormat/>
    <w:uiPriority w:val="0"/>
    <w:rPr>
      <w:b/>
      <w:bCs/>
      <w:i/>
      <w:iCs/>
      <w:color w:val="4F81BD"/>
      <w:kern w:val="2"/>
      <w:sz w:val="21"/>
      <w:szCs w:val="24"/>
    </w:rPr>
  </w:style>
  <w:style w:type="paragraph" w:customStyle="1" w:styleId="143">
    <w:name w:val="浅色底纹 - 着色 21"/>
    <w:basedOn w:val="1"/>
    <w:next w:val="1"/>
    <w:link w:val="142"/>
    <w:qFormat/>
    <w:uiPriority w:val="0"/>
    <w:pPr>
      <w:pBdr>
        <w:bottom w:val="single" w:color="4F81BD" w:sz="4" w:space="4"/>
      </w:pBdr>
      <w:spacing w:before="200" w:after="280"/>
      <w:ind w:left="936" w:right="936"/>
    </w:pPr>
    <w:rPr>
      <w:b/>
      <w:bCs/>
      <w:i/>
      <w:iCs/>
      <w:color w:val="4F81BD"/>
    </w:rPr>
  </w:style>
  <w:style w:type="character" w:customStyle="1" w:styleId="144">
    <w:name w:val="redfilenumber"/>
    <w:qFormat/>
    <w:uiPriority w:val="0"/>
    <w:rPr>
      <w:color w:val="BA2636"/>
      <w:sz w:val="18"/>
      <w:szCs w:val="18"/>
    </w:rPr>
  </w:style>
  <w:style w:type="character" w:customStyle="1" w:styleId="145">
    <w:name w:val="gray121"/>
    <w:qFormat/>
    <w:uiPriority w:val="0"/>
    <w:rPr>
      <w:rFonts w:hint="default"/>
      <w:color w:val="333333"/>
      <w:sz w:val="18"/>
      <w:szCs w:val="18"/>
      <w:u w:val="none"/>
    </w:rPr>
  </w:style>
  <w:style w:type="character" w:customStyle="1" w:styleId="146">
    <w:name w:val="正文文本 Char"/>
    <w:qFormat/>
    <w:uiPriority w:val="0"/>
    <w:rPr>
      <w:rFonts w:ascii="仿宋_GB2312" w:eastAsia="仿宋_GB2312"/>
      <w:kern w:val="2"/>
      <w:sz w:val="24"/>
      <w:szCs w:val="24"/>
    </w:rPr>
  </w:style>
  <w:style w:type="character" w:customStyle="1" w:styleId="147">
    <w:name w:val="font01"/>
    <w:qFormat/>
    <w:uiPriority w:val="0"/>
    <w:rPr>
      <w:rFonts w:hint="eastAsia" w:ascii="宋体" w:hAnsi="宋体" w:eastAsia="宋体" w:cs="宋体"/>
      <w:color w:val="000000"/>
      <w:sz w:val="24"/>
      <w:szCs w:val="24"/>
      <w:u w:val="none"/>
    </w:rPr>
  </w:style>
  <w:style w:type="character" w:customStyle="1" w:styleId="148">
    <w:name w:val="页码1"/>
    <w:qFormat/>
    <w:uiPriority w:val="0"/>
  </w:style>
  <w:style w:type="character" w:customStyle="1" w:styleId="149">
    <w:name w:val="纯文本 字符"/>
    <w:link w:val="150"/>
    <w:qFormat/>
    <w:uiPriority w:val="0"/>
    <w:rPr>
      <w:rFonts w:ascii="宋体" w:hAnsi="Courier New"/>
      <w:kern w:val="2"/>
      <w:sz w:val="21"/>
    </w:rPr>
  </w:style>
  <w:style w:type="paragraph" w:customStyle="1" w:styleId="150">
    <w:name w:val="纯文本1"/>
    <w:basedOn w:val="1"/>
    <w:link w:val="149"/>
    <w:qFormat/>
    <w:uiPriority w:val="0"/>
    <w:rPr>
      <w:rFonts w:ascii="宋体" w:hAnsi="Courier New"/>
      <w:szCs w:val="20"/>
    </w:rPr>
  </w:style>
  <w:style w:type="character" w:customStyle="1" w:styleId="151">
    <w:name w:val="中等深浅网格 1 - 强调文字颜色 2字符"/>
    <w:link w:val="152"/>
    <w:qFormat/>
    <w:uiPriority w:val="0"/>
    <w:rPr>
      <w:sz w:val="24"/>
    </w:rPr>
  </w:style>
  <w:style w:type="paragraph" w:customStyle="1" w:styleId="152">
    <w:name w:val="中等深浅网格 1 - 强调文字颜色 21"/>
    <w:basedOn w:val="1"/>
    <w:link w:val="151"/>
    <w:qFormat/>
    <w:uiPriority w:val="0"/>
    <w:pPr>
      <w:adjustRightInd w:val="0"/>
      <w:spacing w:line="360" w:lineRule="atLeast"/>
      <w:ind w:firstLine="420" w:firstLineChars="200"/>
      <w:jc w:val="left"/>
      <w:textAlignment w:val="baseline"/>
    </w:pPr>
    <w:rPr>
      <w:kern w:val="0"/>
      <w:sz w:val="24"/>
      <w:szCs w:val="20"/>
    </w:rPr>
  </w:style>
  <w:style w:type="character" w:customStyle="1" w:styleId="153">
    <w:name w:val="Char Char11"/>
    <w:qFormat/>
    <w:uiPriority w:val="0"/>
    <w:rPr>
      <w:kern w:val="2"/>
      <w:sz w:val="18"/>
    </w:rPr>
  </w:style>
  <w:style w:type="character" w:customStyle="1" w:styleId="154">
    <w:name w:val="正文文本 Char1"/>
    <w:qFormat/>
    <w:uiPriority w:val="0"/>
    <w:rPr>
      <w:kern w:val="2"/>
      <w:sz w:val="21"/>
      <w:szCs w:val="24"/>
    </w:rPr>
  </w:style>
  <w:style w:type="character" w:customStyle="1" w:styleId="155">
    <w:name w:val="纯文本 Char1"/>
    <w:qFormat/>
    <w:uiPriority w:val="0"/>
    <w:rPr>
      <w:rFonts w:ascii="宋体" w:hAnsi="Courier New" w:eastAsia="宋体" w:cs="宋体"/>
      <w:kern w:val="0"/>
      <w:szCs w:val="21"/>
      <w:lang w:val="en-US" w:eastAsia="zh-CN"/>
    </w:rPr>
  </w:style>
  <w:style w:type="character" w:customStyle="1" w:styleId="156">
    <w:name w:val="cfdate"/>
    <w:qFormat/>
    <w:uiPriority w:val="0"/>
    <w:rPr>
      <w:color w:val="333333"/>
      <w:sz w:val="18"/>
      <w:szCs w:val="18"/>
    </w:rPr>
  </w:style>
  <w:style w:type="character" w:customStyle="1" w:styleId="157">
    <w:name w:val="批注主题 Char1"/>
    <w:qFormat/>
    <w:uiPriority w:val="99"/>
    <w:rPr>
      <w:b/>
      <w:bCs/>
      <w:kern w:val="2"/>
      <w:sz w:val="21"/>
      <w:szCs w:val="24"/>
    </w:rPr>
  </w:style>
  <w:style w:type="character" w:customStyle="1" w:styleId="158">
    <w:name w:val="批注引用1"/>
    <w:qFormat/>
    <w:uiPriority w:val="0"/>
    <w:rPr>
      <w:sz w:val="21"/>
      <w:szCs w:val="21"/>
    </w:rPr>
  </w:style>
  <w:style w:type="character" w:customStyle="1" w:styleId="159">
    <w:name w:val="标题 2 Char"/>
    <w:qFormat/>
    <w:uiPriority w:val="9"/>
    <w:rPr>
      <w:rFonts w:ascii="Arial" w:hAnsi="Arial" w:eastAsia="黑体"/>
      <w:b/>
      <w:bCs/>
      <w:kern w:val="2"/>
      <w:sz w:val="26"/>
      <w:szCs w:val="32"/>
      <w:lang w:val="en-US" w:eastAsia="zh-HK" w:bidi="ar-SA"/>
    </w:rPr>
  </w:style>
  <w:style w:type="character" w:customStyle="1" w:styleId="160">
    <w:name w:val="批注文字 Char1"/>
    <w:qFormat/>
    <w:uiPriority w:val="99"/>
    <w:rPr>
      <w:rFonts w:ascii="Times New Roman" w:hAnsi="Times New Roman" w:eastAsia="宋体" w:cs="Times New Roman"/>
      <w:szCs w:val="20"/>
    </w:rPr>
  </w:style>
  <w:style w:type="character" w:customStyle="1" w:styleId="161">
    <w:name w:val="正文首行缩进 字符"/>
    <w:link w:val="162"/>
    <w:qFormat/>
    <w:uiPriority w:val="0"/>
    <w:rPr>
      <w:kern w:val="2"/>
      <w:sz w:val="21"/>
    </w:rPr>
  </w:style>
  <w:style w:type="paragraph" w:customStyle="1" w:styleId="162">
    <w:name w:val="正文首行缩进1"/>
    <w:basedOn w:val="34"/>
    <w:link w:val="161"/>
    <w:qFormat/>
    <w:uiPriority w:val="0"/>
    <w:pPr>
      <w:spacing w:after="120"/>
      <w:ind w:firstLine="420"/>
    </w:pPr>
    <w:rPr>
      <w:rFonts w:ascii="Times New Roman" w:eastAsia="宋体"/>
      <w:sz w:val="21"/>
      <w:szCs w:val="20"/>
    </w:rPr>
  </w:style>
  <w:style w:type="character" w:customStyle="1" w:styleId="163">
    <w:name w:val="apple-converted-space"/>
    <w:qFormat/>
    <w:uiPriority w:val="0"/>
  </w:style>
  <w:style w:type="character" w:customStyle="1" w:styleId="164">
    <w:name w:val="font11"/>
    <w:qFormat/>
    <w:uiPriority w:val="0"/>
    <w:rPr>
      <w:rFonts w:hint="default" w:ascii="Times New Roman" w:hAnsi="Times New Roman" w:cs="Times New Roman"/>
      <w:color w:val="000000"/>
      <w:sz w:val="24"/>
      <w:szCs w:val="24"/>
      <w:u w:val="none"/>
    </w:rPr>
  </w:style>
  <w:style w:type="character" w:customStyle="1" w:styleId="165">
    <w:name w:val="正文文本 Char2"/>
    <w:qFormat/>
    <w:uiPriority w:val="0"/>
    <w:rPr>
      <w:rFonts w:ascii="仿宋_GB2312" w:eastAsia="仿宋_GB2312"/>
      <w:kern w:val="2"/>
      <w:sz w:val="24"/>
      <w:szCs w:val="24"/>
    </w:rPr>
  </w:style>
  <w:style w:type="character" w:customStyle="1" w:styleId="166">
    <w:name w:val="short_text"/>
    <w:qFormat/>
    <w:uiPriority w:val="0"/>
  </w:style>
  <w:style w:type="character" w:customStyle="1" w:styleId="167">
    <w:name w:val="彩色列表 - 着色 1 字符"/>
    <w:link w:val="168"/>
    <w:qFormat/>
    <w:uiPriority w:val="34"/>
    <w:rPr>
      <w:kern w:val="2"/>
      <w:sz w:val="21"/>
      <w:szCs w:val="24"/>
    </w:rPr>
  </w:style>
  <w:style w:type="paragraph" w:customStyle="1" w:styleId="168">
    <w:name w:val="彩色列表 - 着色 11"/>
    <w:basedOn w:val="1"/>
    <w:link w:val="167"/>
    <w:qFormat/>
    <w:uiPriority w:val="34"/>
    <w:pPr>
      <w:ind w:firstLine="420" w:firstLineChars="200"/>
    </w:pPr>
  </w:style>
  <w:style w:type="character" w:customStyle="1" w:styleId="169">
    <w:name w:val="gjfg"/>
    <w:qFormat/>
    <w:uiPriority w:val="0"/>
  </w:style>
  <w:style w:type="character" w:customStyle="1" w:styleId="170">
    <w:name w:val="qxdate"/>
    <w:qFormat/>
    <w:uiPriority w:val="0"/>
    <w:rPr>
      <w:color w:val="333333"/>
      <w:sz w:val="18"/>
      <w:szCs w:val="18"/>
    </w:rPr>
  </w:style>
  <w:style w:type="character" w:customStyle="1" w:styleId="171">
    <w:name w:val="网格表 3 - 强调文字颜色 11"/>
    <w:qFormat/>
    <w:uiPriority w:val="0"/>
    <w:rPr>
      <w:b/>
      <w:bCs/>
      <w:smallCaps/>
      <w:spacing w:val="5"/>
    </w:rPr>
  </w:style>
  <w:style w:type="character" w:customStyle="1" w:styleId="172">
    <w:name w:val="批注文字 Char"/>
    <w:qFormat/>
    <w:uiPriority w:val="99"/>
    <w:rPr>
      <w:kern w:val="2"/>
      <w:sz w:val="21"/>
      <w:szCs w:val="24"/>
    </w:rPr>
  </w:style>
  <w:style w:type="character" w:customStyle="1" w:styleId="173">
    <w:name w:val="标书-正文 Char Char"/>
    <w:link w:val="174"/>
    <w:qFormat/>
    <w:uiPriority w:val="0"/>
    <w:rPr>
      <w:rFonts w:ascii="Arial" w:hAnsi="Arial" w:cs="Arial"/>
      <w:kern w:val="2"/>
      <w:sz w:val="21"/>
    </w:rPr>
  </w:style>
  <w:style w:type="paragraph" w:customStyle="1" w:styleId="174">
    <w:name w:val="标书-正文"/>
    <w:basedOn w:val="1"/>
    <w:link w:val="173"/>
    <w:qFormat/>
    <w:uiPriority w:val="0"/>
    <w:pPr>
      <w:spacing w:before="56" w:after="113" w:line="300" w:lineRule="auto"/>
      <w:ind w:firstLine="200" w:firstLineChars="200"/>
      <w:jc w:val="left"/>
    </w:pPr>
    <w:rPr>
      <w:rFonts w:ascii="Arial" w:hAnsi="Arial"/>
      <w:szCs w:val="20"/>
    </w:rPr>
  </w:style>
  <w:style w:type="character" w:customStyle="1" w:styleId="175">
    <w:name w:val="redfilefwwh"/>
    <w:qFormat/>
    <w:uiPriority w:val="0"/>
    <w:rPr>
      <w:color w:val="BA2636"/>
      <w:sz w:val="18"/>
      <w:szCs w:val="18"/>
    </w:rPr>
  </w:style>
  <w:style w:type="character" w:customStyle="1" w:styleId="176">
    <w:name w:val="页脚 Char"/>
    <w:qFormat/>
    <w:uiPriority w:val="99"/>
    <w:rPr>
      <w:rFonts w:eastAsia="Calibri"/>
      <w:sz w:val="21"/>
    </w:rPr>
  </w:style>
  <w:style w:type="character" w:customStyle="1" w:styleId="177">
    <w:name w:val="纯文本 Char"/>
    <w:qFormat/>
    <w:uiPriority w:val="0"/>
    <w:rPr>
      <w:rFonts w:ascii="宋体" w:hAnsi="Courier New"/>
      <w:kern w:val="2"/>
      <w:sz w:val="24"/>
    </w:rPr>
  </w:style>
  <w:style w:type="character" w:customStyle="1" w:styleId="178">
    <w:name w:val="p1481"/>
    <w:qFormat/>
    <w:uiPriority w:val="0"/>
  </w:style>
  <w:style w:type="character" w:customStyle="1" w:styleId="179">
    <w:name w:val="彩色网格 - 着色 1 字符"/>
    <w:link w:val="180"/>
    <w:qFormat/>
    <w:uiPriority w:val="0"/>
    <w:rPr>
      <w:i/>
      <w:iCs/>
      <w:color w:val="000000"/>
      <w:kern w:val="2"/>
      <w:sz w:val="21"/>
      <w:szCs w:val="24"/>
    </w:rPr>
  </w:style>
  <w:style w:type="paragraph" w:customStyle="1" w:styleId="180">
    <w:name w:val="彩色网格 - 着色 11"/>
    <w:basedOn w:val="1"/>
    <w:next w:val="1"/>
    <w:link w:val="179"/>
    <w:qFormat/>
    <w:uiPriority w:val="0"/>
    <w:rPr>
      <w:i/>
      <w:iCs/>
      <w:color w:val="000000"/>
    </w:rPr>
  </w:style>
  <w:style w:type="character" w:customStyle="1" w:styleId="181">
    <w:name w:val="正文文本缩进 2 Char"/>
    <w:qFormat/>
    <w:uiPriority w:val="0"/>
    <w:rPr>
      <w:kern w:val="2"/>
      <w:sz w:val="21"/>
      <w:szCs w:val="24"/>
    </w:rPr>
  </w:style>
  <w:style w:type="character" w:customStyle="1" w:styleId="182">
    <w:name w:val="displayarti"/>
    <w:qFormat/>
    <w:uiPriority w:val="0"/>
    <w:rPr>
      <w:color w:val="FFFFFF"/>
      <w:shd w:val="clear" w:color="auto" w:fill="A00000"/>
    </w:rPr>
  </w:style>
  <w:style w:type="character" w:customStyle="1" w:styleId="183">
    <w:name w:val="正文文本缩进 Char"/>
    <w:qFormat/>
    <w:uiPriority w:val="0"/>
    <w:rPr>
      <w:rFonts w:ascii="仿宋_GB2312" w:eastAsia="仿宋_GB2312"/>
      <w:kern w:val="2"/>
      <w:sz w:val="24"/>
      <w:szCs w:val="24"/>
    </w:rPr>
  </w:style>
  <w:style w:type="character" w:customStyle="1" w:styleId="184">
    <w:name w:val="列出段落 Char"/>
    <w:link w:val="185"/>
    <w:qFormat/>
    <w:uiPriority w:val="0"/>
    <w:rPr>
      <w:kern w:val="2"/>
      <w:sz w:val="21"/>
      <w:szCs w:val="24"/>
    </w:rPr>
  </w:style>
  <w:style w:type="paragraph" w:customStyle="1" w:styleId="185">
    <w:name w:val="列出段落1"/>
    <w:basedOn w:val="1"/>
    <w:link w:val="184"/>
    <w:qFormat/>
    <w:uiPriority w:val="0"/>
    <w:pPr>
      <w:ind w:firstLine="420" w:firstLineChars="200"/>
    </w:pPr>
  </w:style>
  <w:style w:type="paragraph" w:customStyle="1" w:styleId="186">
    <w:name w:val="xl133"/>
    <w:basedOn w:val="1"/>
    <w:qFormat/>
    <w:uiPriority w:val="0"/>
    <w:pPr>
      <w:widowControl/>
      <w:pBdr>
        <w:left w:val="single" w:color="auto" w:sz="8" w:space="0"/>
        <w:bottom w:val="single" w:color="auto" w:sz="8" w:space="0"/>
        <w:right w:val="single" w:color="000000" w:sz="8" w:space="0"/>
      </w:pBdr>
      <w:spacing w:before="100" w:beforeAutospacing="1" w:after="100" w:afterAutospacing="1"/>
      <w:jc w:val="left"/>
    </w:pPr>
    <w:rPr>
      <w:rFonts w:ascii="宋体" w:hAnsi="宋体" w:cs="宋体"/>
      <w:kern w:val="0"/>
      <w:szCs w:val="21"/>
    </w:rPr>
  </w:style>
  <w:style w:type="paragraph" w:customStyle="1" w:styleId="187">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188">
    <w:name w:val="xl138"/>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189">
    <w:name w:val="标题前缀"/>
    <w:qFormat/>
    <w:uiPriority w:val="0"/>
    <w:pPr>
      <w:tabs>
        <w:tab w:val="left" w:pos="5550"/>
      </w:tabs>
      <w:spacing w:before="100" w:beforeAutospacing="1"/>
      <w:jc w:val="right"/>
    </w:pPr>
    <w:rPr>
      <w:rFonts w:ascii="宋体" w:hAnsi="宋体" w:eastAsia="宋体" w:cs="Times New Roman"/>
      <w:bCs/>
      <w:kern w:val="2"/>
      <w:sz w:val="24"/>
      <w:szCs w:val="24"/>
      <w:lang w:val="zh-CN" w:eastAsia="zh-CN" w:bidi="ar-SA"/>
    </w:rPr>
  </w:style>
  <w:style w:type="paragraph" w:customStyle="1" w:styleId="190">
    <w:name w:val="条款附加"/>
    <w:qFormat/>
    <w:uiPriority w:val="0"/>
    <w:pPr>
      <w:tabs>
        <w:tab w:val="left" w:pos="425"/>
      </w:tabs>
      <w:snapToGrid w:val="0"/>
      <w:spacing w:after="120" w:line="300" w:lineRule="auto"/>
      <w:ind w:left="425" w:hanging="425"/>
    </w:pPr>
    <w:rPr>
      <w:rFonts w:ascii="宋体" w:hAnsi="Times New Roman" w:eastAsia="宋体" w:cs="Times New Roman"/>
      <w:sz w:val="24"/>
      <w:lang w:val="en-US" w:eastAsia="zh-CN" w:bidi="ar-SA"/>
    </w:rPr>
  </w:style>
  <w:style w:type="paragraph" w:customStyle="1" w:styleId="191">
    <w:name w:val="font7"/>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92">
    <w:name w:val="xl89"/>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193">
    <w:name w:val="xl124"/>
    <w:basedOn w:val="1"/>
    <w:qFormat/>
    <w:uiPriority w:val="0"/>
    <w:pPr>
      <w:widowControl/>
      <w:pBdr>
        <w:left w:val="single" w:color="auto"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194">
    <w:name w:val="xl141"/>
    <w:basedOn w:val="1"/>
    <w:qFormat/>
    <w:uiPriority w:val="0"/>
    <w:pPr>
      <w:widowControl/>
      <w:pBdr>
        <w:left w:val="single" w:color="auto" w:sz="8" w:space="0"/>
        <w:bottom w:val="single" w:color="auto" w:sz="8" w:space="0"/>
        <w:right w:val="single" w:color="000000" w:sz="8" w:space="0"/>
      </w:pBdr>
      <w:spacing w:before="100" w:beforeAutospacing="1" w:after="100" w:afterAutospacing="1"/>
      <w:jc w:val="center"/>
    </w:pPr>
    <w:rPr>
      <w:rFonts w:ascii="宋体" w:hAnsi="宋体" w:cs="宋体"/>
      <w:color w:val="008080"/>
      <w:kern w:val="0"/>
      <w:szCs w:val="21"/>
      <w:u w:val="single"/>
    </w:rPr>
  </w:style>
  <w:style w:type="paragraph" w:customStyle="1" w:styleId="195">
    <w:name w:val="无间隔1"/>
    <w:qFormat/>
    <w:uiPriority w:val="1"/>
    <w:pPr>
      <w:widowControl w:val="0"/>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96">
    <w:name w:val="xl66"/>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kern w:val="0"/>
      <w:szCs w:val="21"/>
    </w:rPr>
  </w:style>
  <w:style w:type="paragraph" w:customStyle="1" w:styleId="197">
    <w:name w:val="样式 宋体 五号 行距: 单倍行距"/>
    <w:basedOn w:val="1"/>
    <w:qFormat/>
    <w:uiPriority w:val="0"/>
    <w:rPr>
      <w:rFonts w:ascii="宋体" w:hAnsi="宋体" w:cs="宋体"/>
      <w:szCs w:val="20"/>
    </w:rPr>
  </w:style>
  <w:style w:type="paragraph" w:customStyle="1" w:styleId="19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99">
    <w:name w:val="xl77"/>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200">
    <w:name w:val="Default Paragraph Font Para Char"/>
    <w:basedOn w:val="1"/>
    <w:qFormat/>
    <w:uiPriority w:val="0"/>
    <w:pPr>
      <w:widowControl/>
      <w:spacing w:after="160" w:line="240" w:lineRule="exact"/>
      <w:jc w:val="left"/>
    </w:pPr>
    <w:rPr>
      <w:szCs w:val="20"/>
    </w:rPr>
  </w:style>
  <w:style w:type="paragraph" w:customStyle="1" w:styleId="201">
    <w:name w:val="样式1"/>
    <w:basedOn w:val="1"/>
    <w:qFormat/>
    <w:uiPriority w:val="0"/>
    <w:pPr>
      <w:tabs>
        <w:tab w:val="left" w:pos="709"/>
      </w:tabs>
      <w:ind w:left="720" w:hanging="720"/>
    </w:pPr>
    <w:rPr>
      <w:rFonts w:ascii="宋体" w:hAnsi="宋体"/>
      <w:szCs w:val="21"/>
    </w:rPr>
  </w:style>
  <w:style w:type="paragraph" w:customStyle="1" w:styleId="202">
    <w:name w:val="font13"/>
    <w:basedOn w:val="1"/>
    <w:qFormat/>
    <w:uiPriority w:val="0"/>
    <w:pPr>
      <w:widowControl/>
      <w:spacing w:before="100" w:beforeAutospacing="1" w:after="100" w:afterAutospacing="1"/>
      <w:jc w:val="left"/>
    </w:pPr>
    <w:rPr>
      <w:rFonts w:ascii="Cambria" w:hAnsi="Cambria" w:cs="宋体"/>
      <w:color w:val="FF0000"/>
      <w:kern w:val="0"/>
      <w:szCs w:val="21"/>
    </w:rPr>
  </w:style>
  <w:style w:type="paragraph" w:customStyle="1" w:styleId="203">
    <w:name w:val="xl65"/>
    <w:basedOn w:val="1"/>
    <w:qFormat/>
    <w:uiPriority w:val="0"/>
    <w:pPr>
      <w:widowControl/>
      <w:pBdr>
        <w:right w:val="single" w:color="auto" w:sz="8" w:space="0"/>
      </w:pBdr>
      <w:spacing w:before="100" w:beforeAutospacing="1" w:after="100" w:afterAutospacing="1"/>
      <w:jc w:val="left"/>
    </w:pPr>
    <w:rPr>
      <w:rFonts w:ascii="宋体" w:hAnsi="宋体" w:cs="宋体"/>
      <w:kern w:val="0"/>
      <w:szCs w:val="21"/>
    </w:rPr>
  </w:style>
  <w:style w:type="paragraph" w:customStyle="1" w:styleId="204">
    <w:name w:val="_Style 2"/>
    <w:basedOn w:val="1"/>
    <w:qFormat/>
    <w:uiPriority w:val="34"/>
    <w:pPr>
      <w:ind w:firstLine="420" w:firstLineChars="200"/>
    </w:pPr>
  </w:style>
  <w:style w:type="paragraph" w:customStyle="1" w:styleId="205">
    <w:name w:val="文档正文"/>
    <w:basedOn w:val="1"/>
    <w:qFormat/>
    <w:uiPriority w:val="0"/>
    <w:pPr>
      <w:spacing w:beforeLines="50"/>
    </w:pPr>
    <w:rPr>
      <w:b/>
    </w:rPr>
  </w:style>
  <w:style w:type="paragraph" w:customStyle="1" w:styleId="206">
    <w:name w:val="1"/>
    <w:basedOn w:val="1"/>
    <w:qFormat/>
    <w:uiPriority w:val="0"/>
    <w:pPr>
      <w:spacing w:afterLines="50" w:line="360" w:lineRule="auto"/>
      <w:ind w:firstLine="3243" w:firstLineChars="1080"/>
    </w:pPr>
    <w:rPr>
      <w:rFonts w:ascii="宋体" w:hAnsi="宋体"/>
      <w:b/>
      <w:sz w:val="30"/>
      <w:szCs w:val="21"/>
    </w:rPr>
  </w:style>
  <w:style w:type="paragraph" w:customStyle="1" w:styleId="207">
    <w:name w:val="Char Char Char Char Char Char Char"/>
    <w:basedOn w:val="1"/>
    <w:qFormat/>
    <w:uiPriority w:val="0"/>
    <w:rPr>
      <w:rFonts w:ascii="Tahoma" w:hAnsi="Tahoma"/>
      <w:sz w:val="24"/>
      <w:szCs w:val="20"/>
    </w:rPr>
  </w:style>
  <w:style w:type="paragraph" w:customStyle="1" w:styleId="208">
    <w:name w:val="Char1 Char Char Char Char Char Char"/>
    <w:basedOn w:val="1"/>
    <w:qFormat/>
    <w:uiPriority w:val="0"/>
    <w:pPr>
      <w:tabs>
        <w:tab w:val="left" w:pos="360"/>
      </w:tabs>
      <w:ind w:firstLine="560" w:firstLineChars="200"/>
      <w:jc w:val="left"/>
    </w:pPr>
    <w:rPr>
      <w:sz w:val="24"/>
    </w:rPr>
  </w:style>
  <w:style w:type="paragraph" w:customStyle="1" w:styleId="209">
    <w:name w:val="xl136"/>
    <w:basedOn w:val="1"/>
    <w:qFormat/>
    <w:uiPriority w:val="0"/>
    <w:pPr>
      <w:widowControl/>
      <w:pBdr>
        <w:left w:val="single" w:color="auto" w:sz="8" w:space="0"/>
        <w:bottom w:val="single" w:color="000000" w:sz="8" w:space="0"/>
        <w:right w:val="single" w:color="auto" w:sz="8" w:space="0"/>
      </w:pBdr>
      <w:spacing w:before="100" w:beforeAutospacing="1" w:after="100" w:afterAutospacing="1"/>
      <w:jc w:val="left"/>
    </w:pPr>
    <w:rPr>
      <w:rFonts w:ascii="宋体" w:hAnsi="宋体" w:cs="宋体"/>
      <w:kern w:val="0"/>
      <w:szCs w:val="21"/>
    </w:rPr>
  </w:style>
  <w:style w:type="paragraph" w:customStyle="1" w:styleId="210">
    <w:name w:val="tk2"/>
    <w:basedOn w:val="1"/>
    <w:qFormat/>
    <w:uiPriority w:val="0"/>
    <w:pPr>
      <w:spacing w:line="360" w:lineRule="auto"/>
      <w:ind w:firstLine="480" w:firstLineChars="200"/>
    </w:pPr>
    <w:rPr>
      <w:sz w:val="24"/>
      <w:szCs w:val="20"/>
    </w:rPr>
  </w:style>
  <w:style w:type="paragraph" w:customStyle="1" w:styleId="211">
    <w:name w:val="xl111"/>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Cambria" w:hAnsi="Cambria" w:cs="宋体"/>
      <w:b/>
      <w:bCs/>
      <w:color w:val="FF0000"/>
      <w:kern w:val="0"/>
      <w:szCs w:val="21"/>
    </w:rPr>
  </w:style>
  <w:style w:type="paragraph" w:customStyle="1" w:styleId="212">
    <w:name w:val="Char Char Char"/>
    <w:basedOn w:val="1"/>
    <w:qFormat/>
    <w:uiPriority w:val="0"/>
    <w:rPr>
      <w:rFonts w:ascii="Tahoma" w:hAnsi="Tahoma"/>
      <w:sz w:val="24"/>
      <w:szCs w:val="20"/>
    </w:rPr>
  </w:style>
  <w:style w:type="paragraph" w:customStyle="1" w:styleId="213">
    <w:name w:val="样式 首行缩进:  2 字符"/>
    <w:basedOn w:val="1"/>
    <w:qFormat/>
    <w:uiPriority w:val="0"/>
    <w:pPr>
      <w:spacing w:line="360" w:lineRule="auto"/>
      <w:ind w:firstLine="200" w:firstLineChars="200"/>
    </w:pPr>
    <w:rPr>
      <w:sz w:val="24"/>
      <w:szCs w:val="20"/>
    </w:rPr>
  </w:style>
  <w:style w:type="paragraph" w:customStyle="1" w:styleId="214">
    <w:name w:val="font14"/>
    <w:basedOn w:val="1"/>
    <w:qFormat/>
    <w:uiPriority w:val="0"/>
    <w:pPr>
      <w:widowControl/>
      <w:spacing w:before="100" w:beforeAutospacing="1" w:after="100" w:afterAutospacing="1"/>
      <w:jc w:val="left"/>
    </w:pPr>
    <w:rPr>
      <w:rFonts w:ascii="Arial" w:hAnsi="Arial" w:cs="Arial"/>
      <w:color w:val="000000"/>
      <w:kern w:val="0"/>
      <w:szCs w:val="21"/>
    </w:rPr>
  </w:style>
  <w:style w:type="paragraph" w:customStyle="1" w:styleId="215">
    <w:name w:val="style4"/>
    <w:basedOn w:val="1"/>
    <w:qFormat/>
    <w:uiPriority w:val="0"/>
    <w:pPr>
      <w:widowControl/>
      <w:spacing w:before="100" w:beforeAutospacing="1" w:after="100" w:afterAutospacing="1"/>
      <w:jc w:val="left"/>
    </w:pPr>
    <w:rPr>
      <w:rFonts w:ascii="宋体" w:hAnsi="宋体" w:cs="宋体"/>
      <w:kern w:val="0"/>
      <w:sz w:val="24"/>
    </w:rPr>
  </w:style>
  <w:style w:type="paragraph" w:customStyle="1" w:styleId="216">
    <w:name w:val="xl144"/>
    <w:basedOn w:val="1"/>
    <w:qFormat/>
    <w:uiPriority w:val="0"/>
    <w:pPr>
      <w:widowControl/>
      <w:pBdr>
        <w:right w:val="single" w:color="auto" w:sz="8" w:space="0"/>
      </w:pBdr>
      <w:spacing w:before="100" w:beforeAutospacing="1" w:after="100" w:afterAutospacing="1"/>
    </w:pPr>
    <w:rPr>
      <w:rFonts w:ascii="新宋体" w:hAnsi="新宋体" w:eastAsia="新宋体" w:cs="宋体"/>
      <w:color w:val="FF0000"/>
      <w:kern w:val="0"/>
      <w:szCs w:val="21"/>
    </w:rPr>
  </w:style>
  <w:style w:type="paragraph" w:customStyle="1" w:styleId="217">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218">
    <w:name w:val="xl78"/>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19">
    <w:name w:val="xl92"/>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Arial" w:hAnsi="Arial" w:cs="Arial"/>
      <w:kern w:val="0"/>
      <w:szCs w:val="21"/>
    </w:rPr>
  </w:style>
  <w:style w:type="paragraph" w:customStyle="1" w:styleId="220">
    <w:name w:val="xl107"/>
    <w:basedOn w:val="1"/>
    <w:qFormat/>
    <w:uiPriority w:val="0"/>
    <w:pPr>
      <w:widowControl/>
      <w:pBdr>
        <w:right w:val="single" w:color="auto" w:sz="8" w:space="0"/>
      </w:pBdr>
      <w:spacing w:before="100" w:beforeAutospacing="1" w:after="100" w:afterAutospacing="1"/>
      <w:jc w:val="left"/>
    </w:pPr>
    <w:rPr>
      <w:rFonts w:ascii="宋体" w:hAnsi="宋体" w:cs="宋体"/>
      <w:kern w:val="0"/>
      <w:sz w:val="24"/>
    </w:rPr>
  </w:style>
  <w:style w:type="paragraph" w:customStyle="1" w:styleId="221">
    <w:name w:val="xl152"/>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4"/>
    </w:rPr>
  </w:style>
  <w:style w:type="paragraph" w:customStyle="1" w:styleId="222">
    <w:name w:val="默认段落字体 Para Char Char Char Char Char Char Char"/>
    <w:basedOn w:val="1"/>
    <w:qFormat/>
    <w:uiPriority w:val="0"/>
    <w:rPr>
      <w:rFonts w:ascii="Tahoma" w:hAnsi="Tahoma"/>
      <w:sz w:val="24"/>
      <w:szCs w:val="20"/>
    </w:rPr>
  </w:style>
  <w:style w:type="paragraph" w:customStyle="1" w:styleId="223">
    <w:name w:val="彩色列表 - 着色 12"/>
    <w:basedOn w:val="1"/>
    <w:qFormat/>
    <w:uiPriority w:val="34"/>
    <w:pPr>
      <w:ind w:firstLine="420" w:firstLineChars="200"/>
    </w:pPr>
  </w:style>
  <w:style w:type="paragraph" w:customStyle="1" w:styleId="224">
    <w:name w:val="样式 正文文本缩进 + 段前: 2 字符"/>
    <w:basedOn w:val="1"/>
    <w:qFormat/>
    <w:uiPriority w:val="0"/>
    <w:pPr>
      <w:ind w:left="420" w:leftChars="200"/>
      <w:jc w:val="left"/>
    </w:pPr>
    <w:rPr>
      <w:sz w:val="28"/>
      <w:lang w:eastAsia="zh-TW"/>
    </w:rPr>
  </w:style>
  <w:style w:type="paragraph" w:customStyle="1" w:styleId="225">
    <w:name w:val="xl135"/>
    <w:basedOn w:val="1"/>
    <w:qFormat/>
    <w:uiPriority w:val="0"/>
    <w:pPr>
      <w:widowControl/>
      <w:pBdr>
        <w:top w:val="single" w:color="auto" w:sz="8" w:space="0"/>
        <w:left w:val="single" w:color="auto" w:sz="8" w:space="0"/>
        <w:right w:val="single" w:color="000000" w:sz="8" w:space="0"/>
      </w:pBdr>
      <w:spacing w:before="100" w:beforeAutospacing="1" w:after="100" w:afterAutospacing="1"/>
      <w:jc w:val="left"/>
    </w:pPr>
    <w:rPr>
      <w:rFonts w:ascii="宋体" w:hAnsi="宋体" w:cs="宋体"/>
      <w:kern w:val="0"/>
      <w:szCs w:val="21"/>
    </w:rPr>
  </w:style>
  <w:style w:type="paragraph" w:customStyle="1" w:styleId="226">
    <w:name w:val="xl79"/>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7">
    <w:name w:val="xl83"/>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Cambria" w:hAnsi="Cambria" w:cs="宋体"/>
      <w:color w:val="FF0000"/>
      <w:kern w:val="0"/>
      <w:szCs w:val="21"/>
    </w:rPr>
  </w:style>
  <w:style w:type="paragraph" w:customStyle="1" w:styleId="228">
    <w:name w:val="标题3"/>
    <w:basedOn w:val="5"/>
    <w:qFormat/>
    <w:uiPriority w:val="0"/>
    <w:pPr>
      <w:spacing w:before="0" w:after="0" w:line="360" w:lineRule="auto"/>
      <w:jc w:val="left"/>
    </w:pPr>
    <w:rPr>
      <w:sz w:val="24"/>
    </w:rPr>
  </w:style>
  <w:style w:type="paragraph" w:customStyle="1" w:styleId="229">
    <w:name w:val="xl12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Arial" w:hAnsi="Arial" w:cs="Arial"/>
      <w:color w:val="FF0000"/>
      <w:kern w:val="0"/>
      <w:szCs w:val="21"/>
    </w:rPr>
  </w:style>
  <w:style w:type="paragraph" w:customStyle="1" w:styleId="230">
    <w:name w:val="1_0"/>
    <w:basedOn w:val="1"/>
    <w:next w:val="1"/>
    <w:qFormat/>
    <w:uiPriority w:val="0"/>
    <w:rPr>
      <w:rFonts w:ascii="宋体" w:hAnsi="宋体" w:cs="Courier New"/>
      <w:color w:val="000000"/>
      <w:kern w:val="1"/>
      <w:szCs w:val="20"/>
    </w:rPr>
  </w:style>
  <w:style w:type="paragraph" w:customStyle="1" w:styleId="231">
    <w:name w:val="xl137"/>
    <w:basedOn w:val="1"/>
    <w:qFormat/>
    <w:uiPriority w:val="0"/>
    <w:pPr>
      <w:widowControl/>
      <w:pBdr>
        <w:top w:val="single" w:color="000000" w:sz="8" w:space="0"/>
        <w:left w:val="single" w:color="auto" w:sz="8" w:space="0"/>
        <w:right w:val="single" w:color="auto" w:sz="8" w:space="0"/>
      </w:pBdr>
      <w:spacing w:before="100" w:beforeAutospacing="1" w:after="100" w:afterAutospacing="1"/>
      <w:jc w:val="left"/>
    </w:pPr>
    <w:rPr>
      <w:rFonts w:ascii="宋体" w:hAnsi="宋体" w:cs="宋体"/>
      <w:kern w:val="0"/>
      <w:szCs w:val="21"/>
    </w:rPr>
  </w:style>
  <w:style w:type="paragraph" w:customStyle="1" w:styleId="232">
    <w:name w:val="xl153"/>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cs="宋体"/>
      <w:kern w:val="0"/>
      <w:szCs w:val="21"/>
    </w:rPr>
  </w:style>
  <w:style w:type="paragraph" w:customStyle="1" w:styleId="233">
    <w:name w:val="Char Char1 Char Char Char Char Char Char"/>
    <w:basedOn w:val="1"/>
    <w:qFormat/>
    <w:uiPriority w:val="0"/>
    <w:pPr>
      <w:widowControl/>
      <w:spacing w:after="160" w:line="240" w:lineRule="exact"/>
      <w:jc w:val="center"/>
    </w:pPr>
    <w:rPr>
      <w:rFonts w:ascii="黑体" w:hAnsi="Verdana" w:eastAsia="黑体"/>
      <w:kern w:val="0"/>
      <w:sz w:val="36"/>
      <w:szCs w:val="36"/>
    </w:rPr>
  </w:style>
  <w:style w:type="paragraph" w:customStyle="1" w:styleId="234">
    <w:name w:val="xl150"/>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cs="宋体"/>
      <w:kern w:val="0"/>
      <w:sz w:val="24"/>
    </w:rPr>
  </w:style>
  <w:style w:type="paragraph" w:customStyle="1" w:styleId="235">
    <w:name w:val="xl74"/>
    <w:basedOn w:val="1"/>
    <w:qFormat/>
    <w:uiPriority w:val="0"/>
    <w:pPr>
      <w:widowControl/>
      <w:pBdr>
        <w:right w:val="single" w:color="auto" w:sz="8" w:space="0"/>
      </w:pBdr>
      <w:spacing w:before="100" w:beforeAutospacing="1" w:after="100" w:afterAutospacing="1"/>
    </w:pPr>
    <w:rPr>
      <w:rFonts w:ascii="宋体" w:hAnsi="宋体" w:cs="宋体"/>
      <w:color w:val="FF0000"/>
      <w:kern w:val="0"/>
      <w:szCs w:val="21"/>
    </w:rPr>
  </w:style>
  <w:style w:type="paragraph" w:customStyle="1" w:styleId="236">
    <w:name w:val="xl156"/>
    <w:basedOn w:val="1"/>
    <w:qFormat/>
    <w:uiPriority w:val="0"/>
    <w:pPr>
      <w:widowControl/>
      <w:pBdr>
        <w:left w:val="single" w:color="auto" w:sz="8" w:space="0"/>
      </w:pBdr>
      <w:spacing w:before="100" w:beforeAutospacing="1" w:after="100" w:afterAutospacing="1"/>
      <w:jc w:val="center"/>
    </w:pPr>
    <w:rPr>
      <w:rFonts w:ascii="宋体" w:hAnsi="宋体" w:cs="宋体"/>
      <w:kern w:val="0"/>
      <w:sz w:val="24"/>
    </w:rPr>
  </w:style>
  <w:style w:type="paragraph" w:customStyle="1" w:styleId="237">
    <w:name w:val="xl76"/>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color w:val="008080"/>
      <w:kern w:val="0"/>
      <w:szCs w:val="21"/>
      <w:u w:val="single"/>
    </w:rPr>
  </w:style>
  <w:style w:type="paragraph" w:customStyle="1" w:styleId="238">
    <w:name w:val="font16"/>
    <w:basedOn w:val="1"/>
    <w:qFormat/>
    <w:uiPriority w:val="0"/>
    <w:pPr>
      <w:widowControl/>
      <w:spacing w:before="100" w:beforeAutospacing="1" w:after="100" w:afterAutospacing="1"/>
      <w:jc w:val="left"/>
    </w:pPr>
    <w:rPr>
      <w:rFonts w:ascii="新宋体" w:hAnsi="新宋体" w:eastAsia="新宋体" w:cs="宋体"/>
      <w:color w:val="008080"/>
      <w:kern w:val="0"/>
      <w:szCs w:val="21"/>
      <w:u w:val="single"/>
    </w:rPr>
  </w:style>
  <w:style w:type="paragraph" w:customStyle="1" w:styleId="239">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Char"/>
    <w:basedOn w:val="1"/>
    <w:qFormat/>
    <w:uiPriority w:val="0"/>
    <w:rPr>
      <w:rFonts w:ascii="Tahoma" w:hAnsi="Tahoma"/>
      <w:sz w:val="24"/>
      <w:szCs w:val="20"/>
    </w:rPr>
  </w:style>
  <w:style w:type="paragraph" w:customStyle="1" w:styleId="241">
    <w:name w:val="xl82"/>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242">
    <w:name w:val="文档结构图1"/>
    <w:basedOn w:val="1"/>
    <w:qFormat/>
    <w:uiPriority w:val="0"/>
    <w:pPr>
      <w:shd w:val="clear" w:color="auto" w:fill="000080"/>
    </w:pPr>
  </w:style>
  <w:style w:type="paragraph" w:customStyle="1" w:styleId="243">
    <w:name w:val="0"/>
    <w:basedOn w:val="1"/>
    <w:qFormat/>
    <w:uiPriority w:val="0"/>
    <w:pPr>
      <w:widowControl/>
      <w:snapToGrid w:val="0"/>
    </w:pPr>
    <w:rPr>
      <w:rFonts w:eastAsia="Arial Unicode MS"/>
      <w:kern w:val="0"/>
      <w:szCs w:val="20"/>
    </w:rPr>
  </w:style>
  <w:style w:type="paragraph" w:customStyle="1" w:styleId="244">
    <w:name w:val="xl130"/>
    <w:basedOn w:val="1"/>
    <w:qFormat/>
    <w:uiPriority w:val="0"/>
    <w:pPr>
      <w:widowControl/>
      <w:pBdr>
        <w:left w:val="single" w:color="auto" w:sz="8" w:space="0"/>
        <w:right w:val="single" w:color="auto" w:sz="8" w:space="0"/>
      </w:pBdr>
      <w:spacing w:before="100" w:beforeAutospacing="1" w:after="100" w:afterAutospacing="1"/>
      <w:jc w:val="left"/>
    </w:pPr>
    <w:rPr>
      <w:rFonts w:ascii="Arial" w:hAnsi="Arial" w:cs="Arial"/>
      <w:color w:val="FF0000"/>
      <w:kern w:val="0"/>
      <w:szCs w:val="21"/>
    </w:rPr>
  </w:style>
  <w:style w:type="paragraph" w:customStyle="1" w:styleId="245">
    <w:name w:val="xl93"/>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246">
    <w:name w:val="修订1"/>
    <w:unhideWhenUsed/>
    <w:qFormat/>
    <w:uiPriority w:val="62"/>
    <w:rPr>
      <w:rFonts w:ascii="Times New Roman" w:hAnsi="Times New Roman" w:eastAsia="宋体" w:cs="Times New Roman"/>
      <w:kern w:val="2"/>
      <w:sz w:val="21"/>
      <w:szCs w:val="24"/>
      <w:lang w:val="en-US" w:eastAsia="zh-CN" w:bidi="ar-SA"/>
    </w:rPr>
  </w:style>
  <w:style w:type="paragraph" w:customStyle="1" w:styleId="247">
    <w:name w:val="xl96"/>
    <w:basedOn w:val="1"/>
    <w:qFormat/>
    <w:uiPriority w:val="0"/>
    <w:pPr>
      <w:widowControl/>
      <w:pBdr>
        <w:left w:val="single" w:color="auto" w:sz="8" w:space="0"/>
        <w:right w:val="single" w:color="auto" w:sz="8" w:space="0"/>
      </w:pBdr>
      <w:spacing w:before="100" w:beforeAutospacing="1" w:after="100" w:afterAutospacing="1"/>
      <w:jc w:val="left"/>
    </w:pPr>
    <w:rPr>
      <w:rFonts w:ascii="Arial" w:hAnsi="Arial" w:cs="Arial"/>
      <w:kern w:val="0"/>
      <w:sz w:val="20"/>
      <w:szCs w:val="20"/>
    </w:rPr>
  </w:style>
  <w:style w:type="paragraph" w:customStyle="1" w:styleId="248">
    <w:name w:val="四号　首行缩进"/>
    <w:basedOn w:val="1"/>
    <w:qFormat/>
    <w:uiPriority w:val="0"/>
    <w:pPr>
      <w:spacing w:line="360" w:lineRule="auto"/>
    </w:pPr>
    <w:rPr>
      <w:rFonts w:ascii="宋体" w:hAnsi="宋体"/>
      <w:bCs/>
      <w:szCs w:val="21"/>
    </w:rPr>
  </w:style>
  <w:style w:type="paragraph" w:customStyle="1" w:styleId="249">
    <w:name w:val="标题2"/>
    <w:basedOn w:val="4"/>
    <w:qFormat/>
    <w:uiPriority w:val="0"/>
    <w:pPr>
      <w:keepLines/>
      <w:spacing w:line="360" w:lineRule="auto"/>
      <w:ind w:left="0" w:firstLine="0"/>
      <w:jc w:val="left"/>
    </w:pPr>
    <w:rPr>
      <w:rFonts w:ascii="Cambria" w:hAnsi="Cambria"/>
      <w:sz w:val="24"/>
      <w:szCs w:val="32"/>
    </w:rPr>
  </w:style>
  <w:style w:type="paragraph" w:customStyle="1" w:styleId="250">
    <w:name w:val="xl102"/>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251">
    <w:name w:val="xl97"/>
    <w:basedOn w:val="1"/>
    <w:qFormat/>
    <w:uiPriority w:val="0"/>
    <w:pPr>
      <w:widowControl/>
      <w:pBdr>
        <w:right w:val="single" w:color="auto" w:sz="8" w:space="0"/>
      </w:pBdr>
      <w:spacing w:before="100" w:beforeAutospacing="1" w:after="100" w:afterAutospacing="1"/>
    </w:pPr>
    <w:rPr>
      <w:rFonts w:ascii="Arial" w:hAnsi="Arial" w:cs="Arial"/>
      <w:kern w:val="0"/>
      <w:szCs w:val="21"/>
    </w:rPr>
  </w:style>
  <w:style w:type="paragraph" w:customStyle="1" w:styleId="252">
    <w:name w:val="xl115"/>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宋体" w:hAnsi="宋体" w:cs="宋体"/>
      <w:b/>
      <w:bCs/>
      <w:kern w:val="0"/>
      <w:szCs w:val="21"/>
    </w:rPr>
  </w:style>
  <w:style w:type="paragraph" w:customStyle="1" w:styleId="253">
    <w:name w:val="xl85"/>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254">
    <w:name w:val="font5"/>
    <w:basedOn w:val="1"/>
    <w:qFormat/>
    <w:uiPriority w:val="0"/>
    <w:pPr>
      <w:widowControl/>
      <w:spacing w:before="100" w:beforeAutospacing="1" w:after="100" w:afterAutospacing="1"/>
      <w:jc w:val="left"/>
    </w:pPr>
    <w:rPr>
      <w:rFonts w:ascii="Cambria" w:hAnsi="Cambria" w:cs="宋体"/>
      <w:color w:val="000000"/>
      <w:kern w:val="0"/>
      <w:szCs w:val="21"/>
    </w:rPr>
  </w:style>
  <w:style w:type="paragraph" w:customStyle="1" w:styleId="255">
    <w:name w:val="xl10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b/>
      <w:bCs/>
      <w:kern w:val="0"/>
      <w:szCs w:val="21"/>
    </w:rPr>
  </w:style>
  <w:style w:type="paragraph" w:customStyle="1" w:styleId="256">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7">
    <w:name w:val="xl73"/>
    <w:basedOn w:val="1"/>
    <w:qFormat/>
    <w:uiPriority w:val="0"/>
    <w:pPr>
      <w:widowControl/>
      <w:pBdr>
        <w:right w:val="single" w:color="auto" w:sz="8" w:space="0"/>
      </w:pBdr>
      <w:spacing w:before="100" w:beforeAutospacing="1" w:after="100" w:afterAutospacing="1"/>
    </w:pPr>
    <w:rPr>
      <w:rFonts w:ascii="宋体" w:hAnsi="宋体" w:cs="宋体"/>
      <w:color w:val="008080"/>
      <w:kern w:val="0"/>
      <w:szCs w:val="21"/>
      <w:u w:val="single"/>
    </w:rPr>
  </w:style>
  <w:style w:type="paragraph" w:customStyle="1" w:styleId="258">
    <w:name w:val="font17"/>
    <w:basedOn w:val="1"/>
    <w:qFormat/>
    <w:uiPriority w:val="0"/>
    <w:pPr>
      <w:widowControl/>
      <w:spacing w:before="100" w:beforeAutospacing="1" w:after="100" w:afterAutospacing="1"/>
      <w:jc w:val="left"/>
    </w:pPr>
    <w:rPr>
      <w:rFonts w:ascii="新宋体" w:hAnsi="新宋体" w:eastAsia="新宋体" w:cs="宋体"/>
      <w:color w:val="000000"/>
      <w:kern w:val="0"/>
      <w:szCs w:val="21"/>
    </w:rPr>
  </w:style>
  <w:style w:type="paragraph" w:customStyle="1" w:styleId="259">
    <w:name w:val="xl95"/>
    <w:basedOn w:val="1"/>
    <w:qFormat/>
    <w:uiPriority w:val="0"/>
    <w:pPr>
      <w:widowControl/>
      <w:pBdr>
        <w:bottom w:val="single" w:color="auto" w:sz="8" w:space="0"/>
        <w:right w:val="single" w:color="auto" w:sz="8" w:space="0"/>
      </w:pBdr>
      <w:spacing w:before="100" w:beforeAutospacing="1" w:after="100" w:afterAutospacing="1"/>
    </w:pPr>
    <w:rPr>
      <w:rFonts w:ascii="Arial" w:hAnsi="Arial" w:cs="Arial"/>
      <w:kern w:val="0"/>
      <w:szCs w:val="21"/>
    </w:rPr>
  </w:style>
  <w:style w:type="paragraph" w:customStyle="1" w:styleId="260">
    <w:name w:val="font15"/>
    <w:basedOn w:val="1"/>
    <w:qFormat/>
    <w:uiPriority w:val="0"/>
    <w:pPr>
      <w:widowControl/>
      <w:spacing w:before="100" w:beforeAutospacing="1" w:after="100" w:afterAutospacing="1"/>
      <w:jc w:val="left"/>
    </w:pPr>
    <w:rPr>
      <w:rFonts w:ascii="宋体" w:hAnsi="宋体" w:cs="宋体"/>
      <w:color w:val="008080"/>
      <w:kern w:val="0"/>
      <w:szCs w:val="21"/>
      <w:u w:val="single"/>
    </w:rPr>
  </w:style>
  <w:style w:type="paragraph" w:customStyle="1" w:styleId="261">
    <w:name w:val="xl125"/>
    <w:basedOn w:val="1"/>
    <w:qFormat/>
    <w:uiPriority w:val="0"/>
    <w:pPr>
      <w:widowControl/>
      <w:pBdr>
        <w:bottom w:val="single" w:color="auto" w:sz="8" w:space="0"/>
        <w:right w:val="single" w:color="auto" w:sz="8" w:space="0"/>
      </w:pBdr>
      <w:spacing w:before="100" w:beforeAutospacing="1" w:after="100" w:afterAutospacing="1"/>
      <w:jc w:val="left"/>
    </w:pPr>
    <w:rPr>
      <w:rFonts w:ascii="Cambria" w:hAnsi="Cambria" w:cs="宋体"/>
      <w:kern w:val="0"/>
      <w:szCs w:val="21"/>
    </w:rPr>
  </w:style>
  <w:style w:type="paragraph" w:customStyle="1" w:styleId="262">
    <w:name w:val="xl88"/>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color w:val="FF0000"/>
      <w:kern w:val="0"/>
      <w:szCs w:val="21"/>
    </w:rPr>
  </w:style>
  <w:style w:type="paragraph" w:customStyle="1" w:styleId="263">
    <w:name w:val="font23"/>
    <w:basedOn w:val="1"/>
    <w:qFormat/>
    <w:uiPriority w:val="0"/>
    <w:pPr>
      <w:widowControl/>
      <w:spacing w:before="100" w:beforeAutospacing="1" w:after="100" w:afterAutospacing="1"/>
      <w:jc w:val="left"/>
    </w:pPr>
    <w:rPr>
      <w:color w:val="FF0000"/>
      <w:kern w:val="0"/>
      <w:sz w:val="14"/>
      <w:szCs w:val="14"/>
    </w:rPr>
  </w:style>
  <w:style w:type="paragraph" w:customStyle="1" w:styleId="264">
    <w:name w:val="font18"/>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265">
    <w:name w:val="样式 样式 样式 样式 标题 2 + 宋体 五号 非加粗 黑色 + 段前: 6 磅 段后: 0 磅 行距: 单倍行距 + 段前:..."/>
    <w:basedOn w:val="1"/>
    <w:qFormat/>
    <w:uiPriority w:val="0"/>
    <w:pPr>
      <w:keepNext/>
      <w:keepLines/>
      <w:spacing w:before="240"/>
      <w:ind w:firstLine="400"/>
      <w:outlineLvl w:val="1"/>
    </w:pPr>
    <w:rPr>
      <w:rFonts w:ascii="宋体" w:hAnsi="宋体" w:cs="宋体"/>
      <w:b/>
      <w:bCs/>
      <w:color w:val="000000"/>
      <w:szCs w:val="20"/>
    </w:rPr>
  </w:style>
  <w:style w:type="paragraph" w:customStyle="1" w:styleId="266">
    <w:name w:val="xl119"/>
    <w:basedOn w:val="1"/>
    <w:qFormat/>
    <w:uiPriority w:val="0"/>
    <w:pPr>
      <w:widowControl/>
      <w:pBdr>
        <w:left w:val="single" w:color="auto" w:sz="8" w:space="0"/>
        <w:bottom w:val="single" w:color="auto"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267">
    <w:name w:val="xl134"/>
    <w:basedOn w:val="1"/>
    <w:qFormat/>
    <w:uiPriority w:val="0"/>
    <w:pPr>
      <w:widowControl/>
      <w:pBdr>
        <w:left w:val="single" w:color="auto" w:sz="8" w:space="0"/>
        <w:right w:val="single" w:color="000000" w:sz="8" w:space="0"/>
      </w:pBdr>
      <w:spacing w:before="100" w:beforeAutospacing="1" w:after="100" w:afterAutospacing="1"/>
      <w:jc w:val="left"/>
    </w:pPr>
    <w:rPr>
      <w:rFonts w:ascii="宋体" w:hAnsi="宋体" w:cs="宋体"/>
      <w:kern w:val="0"/>
      <w:szCs w:val="21"/>
    </w:rPr>
  </w:style>
  <w:style w:type="paragraph" w:customStyle="1" w:styleId="268">
    <w:name w:val="xl109"/>
    <w:basedOn w:val="1"/>
    <w:qFormat/>
    <w:uiPriority w:val="0"/>
    <w:pPr>
      <w:widowControl/>
      <w:pBdr>
        <w:bottom w:val="single" w:color="auto" w:sz="8" w:space="0"/>
        <w:right w:val="single" w:color="auto" w:sz="8" w:space="0"/>
      </w:pBdr>
      <w:spacing w:before="100" w:beforeAutospacing="1" w:after="100" w:afterAutospacing="1"/>
    </w:pPr>
    <w:rPr>
      <w:rFonts w:ascii="Cambria" w:hAnsi="Cambria" w:cs="宋体"/>
      <w:color w:val="FF0000"/>
      <w:kern w:val="0"/>
      <w:szCs w:val="21"/>
    </w:rPr>
  </w:style>
  <w:style w:type="paragraph" w:customStyle="1" w:styleId="269">
    <w:name w:val="xl114"/>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宋体" w:hAnsi="宋体" w:cs="宋体"/>
      <w:b/>
      <w:bCs/>
      <w:kern w:val="0"/>
      <w:szCs w:val="21"/>
    </w:rPr>
  </w:style>
  <w:style w:type="paragraph" w:customStyle="1" w:styleId="270">
    <w:name w:val="xl148"/>
    <w:basedOn w:val="1"/>
    <w:qFormat/>
    <w:uiPriority w:val="0"/>
    <w:pPr>
      <w:widowControl/>
      <w:pBdr>
        <w:left w:val="single" w:color="auto" w:sz="8" w:space="0"/>
        <w:bottom w:val="single" w:color="auto" w:sz="8" w:space="0"/>
        <w:right w:val="single" w:color="000000" w:sz="8" w:space="0"/>
      </w:pBdr>
      <w:spacing w:before="100" w:beforeAutospacing="1" w:after="100" w:afterAutospacing="1"/>
      <w:jc w:val="center"/>
    </w:pPr>
    <w:rPr>
      <w:rFonts w:ascii="宋体" w:hAnsi="宋体" w:cs="宋体"/>
      <w:kern w:val="0"/>
      <w:szCs w:val="21"/>
    </w:rPr>
  </w:style>
  <w:style w:type="paragraph" w:customStyle="1" w:styleId="271">
    <w:name w:val="font21"/>
    <w:basedOn w:val="1"/>
    <w:qFormat/>
    <w:uiPriority w:val="0"/>
    <w:pPr>
      <w:widowControl/>
      <w:spacing w:before="100" w:beforeAutospacing="1" w:after="100" w:afterAutospacing="1"/>
      <w:jc w:val="left"/>
    </w:pPr>
    <w:rPr>
      <w:rFonts w:ascii="宋体" w:hAnsi="宋体" w:cs="宋体"/>
      <w:color w:val="FF0000"/>
      <w:kern w:val="0"/>
      <w:szCs w:val="21"/>
      <w:u w:val="single"/>
    </w:rPr>
  </w:style>
  <w:style w:type="paragraph" w:customStyle="1" w:styleId="272">
    <w:name w:val="xl99"/>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273">
    <w:name w:val="xl100"/>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274">
    <w:name w:val="列出段落11"/>
    <w:basedOn w:val="1"/>
    <w:qFormat/>
    <w:uiPriority w:val="0"/>
    <w:pPr>
      <w:spacing w:line="360" w:lineRule="auto"/>
      <w:ind w:firstLine="420" w:firstLineChars="200"/>
      <w:jc w:val="left"/>
    </w:pPr>
    <w:rPr>
      <w:rFonts w:ascii="Calibri" w:hAnsi="Calibri"/>
      <w:kern w:val="0"/>
      <w:szCs w:val="22"/>
    </w:rPr>
  </w:style>
  <w:style w:type="paragraph" w:customStyle="1" w:styleId="275">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76">
    <w:name w:val="网格表 21"/>
    <w:basedOn w:val="1"/>
    <w:next w:val="1"/>
    <w:qFormat/>
    <w:uiPriority w:val="0"/>
  </w:style>
  <w:style w:type="paragraph" w:customStyle="1" w:styleId="277">
    <w:name w:val="列出段落2"/>
    <w:basedOn w:val="1"/>
    <w:qFormat/>
    <w:uiPriority w:val="0"/>
    <w:pPr>
      <w:ind w:left="720"/>
    </w:pPr>
  </w:style>
  <w:style w:type="paragraph" w:customStyle="1" w:styleId="278">
    <w:name w:val="xl71"/>
    <w:basedOn w:val="1"/>
    <w:qFormat/>
    <w:uiPriority w:val="0"/>
    <w:pPr>
      <w:widowControl/>
      <w:pBdr>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7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8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81">
    <w:name w:val="xl117"/>
    <w:basedOn w:val="1"/>
    <w:qFormat/>
    <w:uiPriority w:val="0"/>
    <w:pPr>
      <w:widowControl/>
      <w:pBdr>
        <w:bottom w:val="single" w:color="auto" w:sz="8" w:space="0"/>
        <w:right w:val="single" w:color="auto" w:sz="8" w:space="0"/>
      </w:pBdr>
      <w:shd w:val="clear" w:color="000000" w:fill="FFFFFF"/>
      <w:spacing w:before="100" w:beforeAutospacing="1" w:after="100" w:afterAutospacing="1"/>
      <w:jc w:val="left"/>
    </w:pPr>
    <w:rPr>
      <w:rFonts w:ascii="宋体" w:hAnsi="宋体" w:cs="宋体"/>
      <w:kern w:val="0"/>
      <w:szCs w:val="21"/>
    </w:rPr>
  </w:style>
  <w:style w:type="paragraph" w:customStyle="1" w:styleId="282">
    <w:name w:val="xl132"/>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83">
    <w:name w:val="xl106"/>
    <w:basedOn w:val="1"/>
    <w:qFormat/>
    <w:uiPriority w:val="0"/>
    <w:pPr>
      <w:widowControl/>
      <w:pBdr>
        <w:right w:val="single" w:color="auto" w:sz="8" w:space="0"/>
      </w:pBdr>
      <w:spacing w:before="100" w:beforeAutospacing="1" w:after="100" w:afterAutospacing="1"/>
    </w:pPr>
    <w:rPr>
      <w:rFonts w:ascii="宋体" w:hAnsi="宋体" w:cs="宋体"/>
      <w:kern w:val="0"/>
      <w:szCs w:val="21"/>
    </w:rPr>
  </w:style>
  <w:style w:type="paragraph" w:customStyle="1" w:styleId="284">
    <w:name w:val="xl139"/>
    <w:basedOn w:val="1"/>
    <w:qFormat/>
    <w:uiPriority w:val="0"/>
    <w:pPr>
      <w:widowControl/>
      <w:pBdr>
        <w:right w:val="single" w:color="auto" w:sz="8" w:space="0"/>
      </w:pBdr>
      <w:spacing w:before="100" w:beforeAutospacing="1" w:after="100" w:afterAutospacing="1"/>
    </w:pPr>
    <w:rPr>
      <w:rFonts w:ascii="宋体" w:hAnsi="宋体" w:cs="宋体"/>
      <w:b/>
      <w:bCs/>
      <w:kern w:val="0"/>
      <w:szCs w:val="21"/>
    </w:rPr>
  </w:style>
  <w:style w:type="paragraph" w:customStyle="1" w:styleId="285">
    <w:name w:val="xl15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86">
    <w:name w:val="xl104"/>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287">
    <w:name w:val="font6"/>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288">
    <w:name w:val="font2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9">
    <w:name w:val="xl143"/>
    <w:basedOn w:val="1"/>
    <w:qFormat/>
    <w:uiPriority w:val="0"/>
    <w:pPr>
      <w:widowControl/>
      <w:pBdr>
        <w:right w:val="single" w:color="auto" w:sz="8" w:space="0"/>
      </w:pBdr>
      <w:spacing w:before="100" w:beforeAutospacing="1" w:after="100" w:afterAutospacing="1"/>
      <w:ind w:firstLine="100" w:firstLineChars="100"/>
      <w:jc w:val="left"/>
    </w:pPr>
    <w:rPr>
      <w:rFonts w:ascii="Wingdings" w:hAnsi="Wingdings" w:cs="宋体"/>
      <w:kern w:val="0"/>
      <w:szCs w:val="21"/>
    </w:rPr>
  </w:style>
  <w:style w:type="paragraph" w:customStyle="1" w:styleId="290">
    <w:name w:val="表格文字"/>
    <w:qFormat/>
    <w:uiPriority w:val="0"/>
    <w:pPr>
      <w:ind w:left="-10" w:leftChars="-5"/>
      <w:jc w:val="center"/>
    </w:pPr>
    <w:rPr>
      <w:rFonts w:ascii="Times New Roman" w:hAnsi="Times New Roman" w:eastAsia="宋体" w:cs="Times New Roman"/>
      <w:iCs/>
      <w:kern w:val="2"/>
      <w:sz w:val="21"/>
      <w:szCs w:val="21"/>
      <w:lang w:val="zh-CN" w:eastAsia="zh-CN" w:bidi="ar-SA"/>
    </w:rPr>
  </w:style>
  <w:style w:type="paragraph" w:customStyle="1" w:styleId="29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292">
    <w:name w:val="font12"/>
    <w:basedOn w:val="1"/>
    <w:qFormat/>
    <w:uiPriority w:val="0"/>
    <w:pPr>
      <w:widowControl/>
      <w:spacing w:before="100" w:beforeAutospacing="1" w:after="100" w:afterAutospacing="1"/>
      <w:jc w:val="left"/>
    </w:pPr>
    <w:rPr>
      <w:rFonts w:ascii="Cambria" w:hAnsi="Cambria" w:cs="宋体"/>
      <w:color w:val="FF0000"/>
      <w:kern w:val="0"/>
      <w:szCs w:val="21"/>
    </w:rPr>
  </w:style>
  <w:style w:type="paragraph" w:customStyle="1" w:styleId="293">
    <w:name w:val="xl128"/>
    <w:basedOn w:val="1"/>
    <w:qFormat/>
    <w:uiPriority w:val="0"/>
    <w:pPr>
      <w:widowControl/>
      <w:pBdr>
        <w:right w:val="single" w:color="auto" w:sz="8" w:space="0"/>
      </w:pBdr>
      <w:spacing w:before="100" w:beforeAutospacing="1" w:after="100" w:afterAutospacing="1"/>
    </w:pPr>
    <w:rPr>
      <w:rFonts w:ascii="Wingdings" w:hAnsi="Wingdings" w:cs="宋体"/>
      <w:kern w:val="0"/>
      <w:szCs w:val="21"/>
    </w:rPr>
  </w:style>
  <w:style w:type="paragraph" w:customStyle="1" w:styleId="294">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95">
    <w:name w:val="Table Paragraph"/>
    <w:basedOn w:val="1"/>
    <w:qFormat/>
    <w:uiPriority w:val="1"/>
    <w:pPr>
      <w:jc w:val="left"/>
    </w:pPr>
    <w:rPr>
      <w:rFonts w:ascii="Calibri" w:hAnsi="Calibri"/>
      <w:sz w:val="20"/>
      <w:szCs w:val="20"/>
    </w:rPr>
  </w:style>
  <w:style w:type="paragraph" w:customStyle="1" w:styleId="296">
    <w:name w:val="xl140"/>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b/>
      <w:bCs/>
      <w:kern w:val="0"/>
      <w:szCs w:val="21"/>
    </w:rPr>
  </w:style>
  <w:style w:type="paragraph" w:customStyle="1" w:styleId="297">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楷体_GB2312" w:hAnsi="宋体" w:eastAsia="楷体_GB2312"/>
      <w:kern w:val="0"/>
      <w:sz w:val="24"/>
    </w:rPr>
  </w:style>
  <w:style w:type="paragraph" w:customStyle="1" w:styleId="298">
    <w:name w:val="彩色底纹 - 着色 11"/>
    <w:semiHidden/>
    <w:qFormat/>
    <w:uiPriority w:val="99"/>
    <w:rPr>
      <w:rFonts w:ascii="Times New Roman" w:hAnsi="Times New Roman" w:eastAsia="宋体" w:cs="Times New Roman"/>
      <w:kern w:val="2"/>
      <w:sz w:val="21"/>
      <w:szCs w:val="24"/>
      <w:lang w:val="en-US" w:eastAsia="zh-CN" w:bidi="ar-SA"/>
    </w:rPr>
  </w:style>
  <w:style w:type="paragraph" w:customStyle="1" w:styleId="299">
    <w:name w:val="xl149"/>
    <w:basedOn w:val="1"/>
    <w:qFormat/>
    <w:uiPriority w:val="0"/>
    <w:pPr>
      <w:widowControl/>
      <w:pBdr>
        <w:right w:val="single" w:color="auto" w:sz="8" w:space="0"/>
      </w:pBdr>
      <w:spacing w:before="100" w:beforeAutospacing="1" w:after="100" w:afterAutospacing="1"/>
      <w:jc w:val="center"/>
    </w:pPr>
    <w:rPr>
      <w:rFonts w:ascii="宋体" w:hAnsi="宋体" w:cs="宋体"/>
      <w:kern w:val="0"/>
      <w:sz w:val="24"/>
    </w:rPr>
  </w:style>
  <w:style w:type="paragraph" w:customStyle="1" w:styleId="300">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301">
    <w:name w:val="xl123"/>
    <w:basedOn w:val="1"/>
    <w:qFormat/>
    <w:uiPriority w:val="0"/>
    <w:pPr>
      <w:widowControl/>
      <w:pBdr>
        <w:top w:val="single" w:color="auto" w:sz="8" w:space="0"/>
        <w:left w:val="single" w:color="auto" w:sz="8" w:space="0"/>
        <w:right w:val="single" w:color="000000" w:sz="8" w:space="0"/>
      </w:pBdr>
      <w:shd w:val="clear" w:color="000000" w:fill="FFFFFF"/>
      <w:spacing w:before="100" w:beforeAutospacing="1" w:after="100" w:afterAutospacing="1"/>
      <w:jc w:val="center"/>
    </w:pPr>
    <w:rPr>
      <w:rFonts w:ascii="宋体" w:hAnsi="宋体" w:cs="宋体"/>
      <w:kern w:val="0"/>
      <w:szCs w:val="21"/>
    </w:rPr>
  </w:style>
  <w:style w:type="paragraph" w:customStyle="1" w:styleId="302">
    <w:name w:val="xl98"/>
    <w:basedOn w:val="1"/>
    <w:qFormat/>
    <w:uiPriority w:val="0"/>
    <w:pPr>
      <w:widowControl/>
      <w:pBdr>
        <w:right w:val="single" w:color="auto" w:sz="8" w:space="0"/>
      </w:pBdr>
      <w:spacing w:before="100" w:beforeAutospacing="1" w:after="100" w:afterAutospacing="1"/>
    </w:pPr>
    <w:rPr>
      <w:rFonts w:ascii="宋体" w:hAnsi="宋体" w:cs="宋体"/>
      <w:kern w:val="0"/>
      <w:szCs w:val="21"/>
    </w:rPr>
  </w:style>
  <w:style w:type="paragraph" w:customStyle="1" w:styleId="303">
    <w:name w:val="xl116"/>
    <w:basedOn w:val="1"/>
    <w:qFormat/>
    <w:uiPriority w:val="0"/>
    <w:pPr>
      <w:widowControl/>
      <w:pBdr>
        <w:right w:val="single" w:color="auto" w:sz="8" w:space="0"/>
      </w:pBdr>
      <w:shd w:val="clear" w:color="000000" w:fill="FFFFFF"/>
      <w:spacing w:before="100" w:beforeAutospacing="1" w:after="100" w:afterAutospacing="1"/>
      <w:jc w:val="left"/>
    </w:pPr>
    <w:rPr>
      <w:rFonts w:ascii="宋体" w:hAnsi="宋体" w:cs="宋体"/>
      <w:color w:val="FF0000"/>
      <w:kern w:val="0"/>
      <w:szCs w:val="21"/>
    </w:rPr>
  </w:style>
  <w:style w:type="paragraph" w:customStyle="1" w:styleId="30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5">
    <w:name w:val="条款1"/>
    <w:qFormat/>
    <w:uiPriority w:val="0"/>
    <w:pPr>
      <w:tabs>
        <w:tab w:val="left" w:pos="690"/>
      </w:tabs>
      <w:snapToGrid w:val="0"/>
      <w:spacing w:after="120" w:line="300" w:lineRule="auto"/>
      <w:ind w:left="690" w:hanging="690"/>
      <w:jc w:val="both"/>
    </w:pPr>
    <w:rPr>
      <w:rFonts w:ascii="Times New Roman" w:hAnsi="Times New Roman" w:eastAsia="宋体" w:cs="Times New Roman"/>
      <w:sz w:val="24"/>
      <w:lang w:val="en-US" w:eastAsia="zh-CN" w:bidi="ar-SA"/>
    </w:rPr>
  </w:style>
  <w:style w:type="paragraph" w:customStyle="1" w:styleId="30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07">
    <w:name w:val="样式 首行缩进:  2 字符1"/>
    <w:basedOn w:val="1"/>
    <w:qFormat/>
    <w:uiPriority w:val="0"/>
    <w:pPr>
      <w:tabs>
        <w:tab w:val="left" w:pos="851"/>
      </w:tabs>
      <w:spacing w:line="360" w:lineRule="exact"/>
      <w:ind w:left="283" w:leftChars="135" w:firstLine="360" w:firstLineChars="150"/>
    </w:pPr>
    <w:rPr>
      <w:rFonts w:eastAsia="仿宋_GB2312"/>
      <w:sz w:val="24"/>
    </w:rPr>
  </w:style>
  <w:style w:type="paragraph" w:customStyle="1" w:styleId="308">
    <w:name w:val="xl81"/>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309">
    <w:name w:val="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10">
    <w:name w:val="节1"/>
    <w:next w:val="305"/>
    <w:qFormat/>
    <w:uiPriority w:val="0"/>
    <w:pPr>
      <w:tabs>
        <w:tab w:val="left" w:pos="1134"/>
      </w:tabs>
      <w:ind w:left="1134" w:hanging="1134"/>
    </w:pPr>
    <w:rPr>
      <w:rFonts w:ascii="Times New Roman" w:hAnsi="Times New Roman" w:eastAsia="黑体" w:cs="Times New Roman"/>
      <w:b/>
      <w:sz w:val="32"/>
      <w:lang w:val="en-US" w:eastAsia="zh-CN" w:bidi="ar-SA"/>
    </w:rPr>
  </w:style>
  <w:style w:type="paragraph" w:customStyle="1" w:styleId="311">
    <w:name w:val="xl94"/>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312">
    <w:name w:val="xl67"/>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kern w:val="0"/>
      <w:szCs w:val="21"/>
    </w:rPr>
  </w:style>
  <w:style w:type="paragraph" w:customStyle="1" w:styleId="313">
    <w:name w:val="xl13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Arial" w:hAnsi="Arial" w:cs="Arial"/>
      <w:color w:val="FF0000"/>
      <w:kern w:val="0"/>
      <w:szCs w:val="21"/>
    </w:rPr>
  </w:style>
  <w:style w:type="paragraph" w:customStyle="1" w:styleId="314">
    <w:name w:val="MTDisplayEquation"/>
    <w:basedOn w:val="1"/>
    <w:next w:val="1"/>
    <w:qFormat/>
    <w:uiPriority w:val="0"/>
    <w:pPr>
      <w:tabs>
        <w:tab w:val="center" w:pos="4160"/>
        <w:tab w:val="right" w:pos="8300"/>
      </w:tabs>
    </w:pPr>
    <w:rPr>
      <w:color w:val="000000"/>
      <w:sz w:val="36"/>
    </w:rPr>
  </w:style>
  <w:style w:type="paragraph" w:customStyle="1" w:styleId="315">
    <w:name w:val="font19"/>
    <w:basedOn w:val="1"/>
    <w:qFormat/>
    <w:uiPriority w:val="0"/>
    <w:pPr>
      <w:widowControl/>
      <w:spacing w:before="100" w:beforeAutospacing="1" w:after="100" w:afterAutospacing="1"/>
      <w:jc w:val="left"/>
    </w:pPr>
    <w:rPr>
      <w:rFonts w:ascii="Cambria" w:hAnsi="Cambria" w:cs="宋体"/>
      <w:color w:val="000000"/>
      <w:kern w:val="0"/>
      <w:sz w:val="20"/>
      <w:szCs w:val="20"/>
    </w:rPr>
  </w:style>
  <w:style w:type="paragraph" w:customStyle="1" w:styleId="316">
    <w:name w:val="xl110"/>
    <w:basedOn w:val="1"/>
    <w:qFormat/>
    <w:uiPriority w:val="0"/>
    <w:pPr>
      <w:widowControl/>
      <w:pBdr>
        <w:left w:val="single" w:color="auto" w:sz="8" w:space="0"/>
        <w:right w:val="single" w:color="auto" w:sz="8" w:space="0"/>
      </w:pBdr>
      <w:spacing w:before="100" w:beforeAutospacing="1" w:after="100" w:afterAutospacing="1"/>
    </w:pPr>
    <w:rPr>
      <w:rFonts w:ascii="Cambria" w:hAnsi="Cambria" w:cs="宋体"/>
      <w:b/>
      <w:bCs/>
      <w:color w:val="FF0000"/>
      <w:kern w:val="0"/>
      <w:szCs w:val="21"/>
    </w:rPr>
  </w:style>
  <w:style w:type="paragraph" w:customStyle="1" w:styleId="317">
    <w:name w:val="xl101"/>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Arial" w:hAnsi="Arial" w:cs="Arial"/>
      <w:kern w:val="0"/>
      <w:sz w:val="20"/>
      <w:szCs w:val="20"/>
    </w:rPr>
  </w:style>
  <w:style w:type="paragraph" w:customStyle="1" w:styleId="318">
    <w:name w:val="xl121"/>
    <w:basedOn w:val="1"/>
    <w:qFormat/>
    <w:uiPriority w:val="0"/>
    <w:pPr>
      <w:widowControl/>
      <w:pBdr>
        <w:top w:val="single" w:color="auto" w:sz="8" w:space="0"/>
        <w:left w:val="single" w:color="auto" w:sz="8" w:space="0"/>
        <w:right w:val="single" w:color="000000" w:sz="8"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19">
    <w:name w:val="xl8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Arial" w:hAnsi="Arial" w:cs="Arial"/>
      <w:color w:val="FF0000"/>
      <w:kern w:val="0"/>
      <w:sz w:val="20"/>
      <w:szCs w:val="20"/>
    </w:rPr>
  </w:style>
  <w:style w:type="paragraph" w:customStyle="1" w:styleId="320">
    <w:name w:val="Char1"/>
    <w:basedOn w:val="1"/>
    <w:qFormat/>
    <w:uiPriority w:val="0"/>
    <w:pPr>
      <w:spacing w:line="440" w:lineRule="atLeast"/>
      <w:ind w:firstLine="482" w:firstLineChars="200"/>
    </w:pPr>
    <w:rPr>
      <w:rFonts w:ascii="宋体" w:hAnsi="宋体"/>
      <w:b/>
      <w:color w:val="000000"/>
      <w:sz w:val="24"/>
    </w:rPr>
  </w:style>
  <w:style w:type="paragraph" w:customStyle="1" w:styleId="321">
    <w:name w:val="xl122"/>
    <w:basedOn w:val="1"/>
    <w:qFormat/>
    <w:uiPriority w:val="0"/>
    <w:pPr>
      <w:widowControl/>
      <w:pBdr>
        <w:left w:val="single" w:color="auto" w:sz="8" w:space="0"/>
        <w:bottom w:val="single" w:color="auto" w:sz="8" w:space="0"/>
        <w:right w:val="single" w:color="000000" w:sz="8"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22">
    <w:name w:val="xl142"/>
    <w:basedOn w:val="1"/>
    <w:qFormat/>
    <w:uiPriority w:val="0"/>
    <w:pPr>
      <w:widowControl/>
      <w:pBdr>
        <w:bottom w:val="single" w:color="auto" w:sz="8" w:space="0"/>
        <w:right w:val="single" w:color="auto" w:sz="8" w:space="0"/>
      </w:pBdr>
      <w:spacing w:before="100" w:beforeAutospacing="1" w:after="100" w:afterAutospacing="1"/>
    </w:pPr>
    <w:rPr>
      <w:rFonts w:ascii="新宋体" w:hAnsi="新宋体" w:eastAsia="新宋体" w:cs="宋体"/>
      <w:kern w:val="0"/>
      <w:szCs w:val="21"/>
    </w:rPr>
  </w:style>
  <w:style w:type="paragraph" w:customStyle="1" w:styleId="323">
    <w:name w:val="xl145"/>
    <w:basedOn w:val="1"/>
    <w:qFormat/>
    <w:uiPriority w:val="0"/>
    <w:pPr>
      <w:widowControl/>
      <w:pBdr>
        <w:right w:val="single" w:color="auto" w:sz="8" w:space="0"/>
      </w:pBdr>
      <w:spacing w:before="100" w:beforeAutospacing="1" w:after="100" w:afterAutospacing="1"/>
    </w:pPr>
    <w:rPr>
      <w:rFonts w:ascii="新宋体" w:hAnsi="新宋体" w:eastAsia="新宋体" w:cs="宋体"/>
      <w:kern w:val="0"/>
      <w:szCs w:val="21"/>
    </w:rPr>
  </w:style>
  <w:style w:type="paragraph" w:customStyle="1" w:styleId="324">
    <w:name w:val="网格表 31"/>
    <w:basedOn w:val="3"/>
    <w:next w:val="1"/>
    <w:qFormat/>
    <w:uiPriority w:val="39"/>
    <w:pPr>
      <w:outlineLvl w:val="9"/>
    </w:pPr>
  </w:style>
  <w:style w:type="paragraph" w:customStyle="1" w:styleId="325">
    <w:name w:val="_Style 6"/>
    <w:basedOn w:val="1"/>
    <w:qFormat/>
    <w:uiPriority w:val="34"/>
    <w:pPr>
      <w:ind w:firstLine="420" w:firstLineChars="200"/>
    </w:pPr>
  </w:style>
  <w:style w:type="paragraph" w:customStyle="1" w:styleId="326">
    <w:name w:val="xl151"/>
    <w:basedOn w:val="1"/>
    <w:qFormat/>
    <w:uiPriority w:val="0"/>
    <w:pPr>
      <w:widowControl/>
      <w:pBdr>
        <w:right w:val="single" w:color="auto" w:sz="8" w:space="0"/>
      </w:pBdr>
      <w:spacing w:before="100" w:beforeAutospacing="1" w:after="100" w:afterAutospacing="1"/>
      <w:jc w:val="center"/>
    </w:pPr>
    <w:rPr>
      <w:rFonts w:ascii="宋体" w:hAnsi="宋体" w:cs="宋体"/>
      <w:kern w:val="0"/>
      <w:sz w:val="20"/>
      <w:szCs w:val="20"/>
    </w:rPr>
  </w:style>
  <w:style w:type="paragraph" w:customStyle="1" w:styleId="327">
    <w:name w:val="正文非缩进"/>
    <w:basedOn w:val="1"/>
    <w:next w:val="34"/>
    <w:qFormat/>
    <w:uiPriority w:val="0"/>
    <w:pPr>
      <w:widowControl/>
      <w:spacing w:line="360" w:lineRule="auto"/>
      <w:jc w:val="left"/>
    </w:pPr>
    <w:rPr>
      <w:kern w:val="0"/>
      <w:szCs w:val="20"/>
    </w:rPr>
  </w:style>
  <w:style w:type="paragraph" w:customStyle="1" w:styleId="328">
    <w:name w:val="Char2"/>
    <w:basedOn w:val="1"/>
    <w:qFormat/>
    <w:uiPriority w:val="0"/>
  </w:style>
  <w:style w:type="paragraph" w:customStyle="1" w:styleId="329">
    <w:name w:val="样式 标题 1 + 四号 居中"/>
    <w:basedOn w:val="3"/>
    <w:qFormat/>
    <w:uiPriority w:val="0"/>
    <w:pPr>
      <w:autoSpaceDE w:val="0"/>
      <w:autoSpaceDN w:val="0"/>
      <w:adjustRightInd w:val="0"/>
      <w:spacing w:before="240" w:after="240" w:line="240" w:lineRule="auto"/>
      <w:ind w:firstLine="288"/>
      <w:jc w:val="center"/>
      <w:outlineLvl w:val="9"/>
    </w:pPr>
    <w:rPr>
      <w:kern w:val="0"/>
      <w:sz w:val="28"/>
      <w:szCs w:val="28"/>
    </w:rPr>
  </w:style>
  <w:style w:type="paragraph" w:customStyle="1" w:styleId="330">
    <w:name w:val="xl103"/>
    <w:basedOn w:val="1"/>
    <w:qFormat/>
    <w:uiPriority w:val="0"/>
    <w:pPr>
      <w:widowControl/>
      <w:pBdr>
        <w:left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331">
    <w:name w:val="Char Char Char Char"/>
    <w:basedOn w:val="26"/>
    <w:qFormat/>
    <w:uiPriority w:val="0"/>
    <w:pPr>
      <w:shd w:val="clear" w:color="auto" w:fill="000080"/>
    </w:pPr>
    <w:rPr>
      <w:rFonts w:ascii="Tahoma" w:hAnsi="Tahoma"/>
      <w:sz w:val="24"/>
      <w:szCs w:val="24"/>
    </w:rPr>
  </w:style>
  <w:style w:type="paragraph" w:customStyle="1" w:styleId="332">
    <w:name w:val="font20"/>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333">
    <w:name w:val="xl147"/>
    <w:basedOn w:val="1"/>
    <w:qFormat/>
    <w:uiPriority w:val="0"/>
    <w:pPr>
      <w:widowControl/>
      <w:pBdr>
        <w:top w:val="single" w:color="auto" w:sz="8" w:space="0"/>
        <w:left w:val="single" w:color="auto" w:sz="8" w:space="0"/>
        <w:right w:val="single" w:color="000000" w:sz="8" w:space="0"/>
      </w:pBdr>
      <w:spacing w:before="100" w:beforeAutospacing="1" w:after="100" w:afterAutospacing="1"/>
      <w:jc w:val="center"/>
    </w:pPr>
    <w:rPr>
      <w:rFonts w:ascii="宋体" w:hAnsi="宋体" w:cs="宋体"/>
      <w:kern w:val="0"/>
      <w:szCs w:val="21"/>
    </w:rPr>
  </w:style>
  <w:style w:type="paragraph" w:customStyle="1" w:styleId="334">
    <w:name w:val="章节1"/>
    <w:next w:val="1"/>
    <w:qFormat/>
    <w:uiPriority w:val="0"/>
    <w:pPr>
      <w:tabs>
        <w:tab w:val="left" w:pos="420"/>
      </w:tabs>
      <w:ind w:left="420" w:hanging="420"/>
      <w:jc w:val="center"/>
    </w:pPr>
    <w:rPr>
      <w:rFonts w:ascii="Times New Roman" w:hAnsi="Times New Roman" w:eastAsia="黑体" w:cs="Times New Roman"/>
      <w:b/>
      <w:sz w:val="36"/>
      <w:lang w:val="en-US" w:eastAsia="zh-CN" w:bidi="ar-SA"/>
    </w:rPr>
  </w:style>
  <w:style w:type="paragraph" w:customStyle="1" w:styleId="335">
    <w:name w:val="xl84"/>
    <w:basedOn w:val="1"/>
    <w:qFormat/>
    <w:uiPriority w:val="0"/>
    <w:pPr>
      <w:widowControl/>
      <w:pBdr>
        <w:left w:val="single" w:color="auto" w:sz="8" w:space="0"/>
        <w:right w:val="single" w:color="auto" w:sz="8" w:space="0"/>
      </w:pBdr>
      <w:spacing w:before="100" w:beforeAutospacing="1" w:after="100" w:afterAutospacing="1"/>
    </w:pPr>
    <w:rPr>
      <w:rFonts w:ascii="宋体" w:hAnsi="宋体" w:cs="宋体"/>
      <w:kern w:val="0"/>
      <w:szCs w:val="21"/>
    </w:rPr>
  </w:style>
  <w:style w:type="paragraph" w:customStyle="1" w:styleId="33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eastAsia="Arial Unicode MS"/>
      <w:color w:val="000000"/>
      <w:kern w:val="0"/>
      <w:sz w:val="24"/>
    </w:rPr>
  </w:style>
  <w:style w:type="paragraph" w:customStyle="1" w:styleId="337">
    <w:name w:val="xl90"/>
    <w:basedOn w:val="1"/>
    <w:qFormat/>
    <w:uiPriority w:val="0"/>
    <w:pPr>
      <w:widowControl/>
      <w:pBdr>
        <w:bottom w:val="single" w:color="auto" w:sz="8" w:space="0"/>
        <w:right w:val="single" w:color="auto" w:sz="8" w:space="0"/>
      </w:pBdr>
      <w:spacing w:before="100" w:beforeAutospacing="1" w:after="100" w:afterAutospacing="1"/>
    </w:pPr>
    <w:rPr>
      <w:rFonts w:ascii="Arial" w:hAnsi="Arial" w:cs="Arial"/>
      <w:kern w:val="0"/>
      <w:szCs w:val="21"/>
    </w:rPr>
  </w:style>
  <w:style w:type="paragraph" w:customStyle="1" w:styleId="338">
    <w:name w:val="xl72"/>
    <w:basedOn w:val="1"/>
    <w:qFormat/>
    <w:uiPriority w:val="0"/>
    <w:pPr>
      <w:widowControl/>
      <w:pBdr>
        <w:right w:val="single" w:color="auto" w:sz="8" w:space="0"/>
      </w:pBdr>
      <w:spacing w:before="100" w:beforeAutospacing="1" w:after="100" w:afterAutospacing="1"/>
      <w:jc w:val="left"/>
    </w:pPr>
    <w:rPr>
      <w:rFonts w:ascii="Cambria" w:hAnsi="Cambria" w:cs="宋体"/>
      <w:color w:val="FF0000"/>
      <w:kern w:val="0"/>
      <w:szCs w:val="21"/>
    </w:rPr>
  </w:style>
  <w:style w:type="paragraph" w:customStyle="1" w:styleId="339">
    <w:name w:val="Char Char Char1"/>
    <w:basedOn w:val="1"/>
    <w:qFormat/>
    <w:uiPriority w:val="0"/>
    <w:rPr>
      <w:rFonts w:ascii="Tahoma" w:hAnsi="Tahoma"/>
      <w:sz w:val="24"/>
      <w:szCs w:val="20"/>
    </w:rPr>
  </w:style>
  <w:style w:type="paragraph" w:customStyle="1" w:styleId="340">
    <w:name w:val="修订11"/>
    <w:qFormat/>
    <w:uiPriority w:val="0"/>
    <w:rPr>
      <w:rFonts w:ascii="Times New Roman" w:hAnsi="Times New Roman" w:eastAsia="宋体" w:cs="Times New Roman"/>
      <w:kern w:val="2"/>
      <w:sz w:val="21"/>
      <w:szCs w:val="24"/>
      <w:lang w:val="en-US" w:eastAsia="zh-CN" w:bidi="ar-SA"/>
    </w:rPr>
  </w:style>
  <w:style w:type="paragraph" w:customStyle="1" w:styleId="341">
    <w:name w:val="Char11"/>
    <w:basedOn w:val="1"/>
    <w:qFormat/>
    <w:uiPriority w:val="0"/>
    <w:pPr>
      <w:widowControl/>
      <w:spacing w:after="160" w:line="360" w:lineRule="auto"/>
      <w:ind w:firstLine="200" w:firstLineChars="200"/>
      <w:jc w:val="left"/>
    </w:pPr>
    <w:rPr>
      <w:rFonts w:ascii="Verdana" w:hAnsi="Verdana" w:eastAsia="黑体"/>
      <w:kern w:val="0"/>
      <w:szCs w:val="20"/>
      <w:lang w:eastAsia="en-US"/>
    </w:rPr>
  </w:style>
  <w:style w:type="paragraph" w:customStyle="1" w:styleId="342">
    <w:name w:val="xl120"/>
    <w:basedOn w:val="1"/>
    <w:qFormat/>
    <w:uiPriority w:val="0"/>
    <w:pPr>
      <w:widowControl/>
      <w:pBdr>
        <w:left w:val="single" w:color="auto" w:sz="8" w:space="0"/>
        <w:right w:val="single" w:color="000000" w:sz="8" w:space="0"/>
      </w:pBdr>
      <w:shd w:val="clear" w:color="000000" w:fill="FFFFFF"/>
      <w:spacing w:before="100" w:beforeAutospacing="1" w:after="100" w:afterAutospacing="1"/>
      <w:jc w:val="center"/>
    </w:pPr>
    <w:rPr>
      <w:rFonts w:ascii="宋体" w:hAnsi="宋体" w:cs="宋体"/>
      <w:color w:val="FF0000"/>
      <w:kern w:val="0"/>
      <w:szCs w:val="21"/>
    </w:rPr>
  </w:style>
  <w:style w:type="paragraph" w:customStyle="1" w:styleId="343">
    <w:name w:val="样式 样式 样式 样式 标题"/>
    <w:basedOn w:val="1"/>
    <w:qFormat/>
    <w:uiPriority w:val="0"/>
    <w:pPr>
      <w:keepNext/>
      <w:keepLines/>
      <w:tabs>
        <w:tab w:val="left" w:pos="709"/>
      </w:tabs>
      <w:autoSpaceDE w:val="0"/>
      <w:autoSpaceDN w:val="0"/>
      <w:adjustRightInd w:val="0"/>
      <w:spacing w:before="240"/>
      <w:ind w:left="709" w:hanging="709"/>
      <w:jc w:val="left"/>
    </w:pPr>
    <w:rPr>
      <w:rFonts w:ascii="宋体"/>
      <w:b/>
      <w:bCs/>
      <w:color w:val="000000"/>
      <w:kern w:val="0"/>
      <w:szCs w:val="21"/>
    </w:rPr>
  </w:style>
  <w:style w:type="paragraph" w:customStyle="1" w:styleId="344">
    <w:name w:val="xl112"/>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Cambria" w:hAnsi="Cambria" w:cs="宋体"/>
      <w:b/>
      <w:bCs/>
      <w:color w:val="FF0000"/>
      <w:kern w:val="0"/>
      <w:szCs w:val="21"/>
    </w:rPr>
  </w:style>
  <w:style w:type="paragraph" w:customStyle="1" w:styleId="345">
    <w:name w:val="Char Char Char2"/>
    <w:basedOn w:val="1"/>
    <w:qFormat/>
    <w:uiPriority w:val="0"/>
    <w:rPr>
      <w:rFonts w:ascii="Tahoma" w:hAnsi="Tahoma"/>
      <w:sz w:val="24"/>
      <w:szCs w:val="20"/>
    </w:rPr>
  </w:style>
  <w:style w:type="paragraph" w:customStyle="1" w:styleId="346">
    <w:name w:val="WPSOffice手动目录 1"/>
    <w:qFormat/>
    <w:uiPriority w:val="0"/>
    <w:rPr>
      <w:rFonts w:ascii="Times New Roman" w:hAnsi="Times New Roman" w:eastAsia="宋体" w:cs="Times New Roman"/>
      <w:lang w:val="en-US" w:eastAsia="zh-CN" w:bidi="ar-SA"/>
    </w:rPr>
  </w:style>
  <w:style w:type="paragraph" w:customStyle="1" w:styleId="347">
    <w:name w:val="xl70"/>
    <w:basedOn w:val="1"/>
    <w:qFormat/>
    <w:uiPriority w:val="0"/>
    <w:pPr>
      <w:widowControl/>
      <w:pBdr>
        <w:right w:val="single" w:color="auto" w:sz="8" w:space="0"/>
      </w:pBdr>
      <w:spacing w:before="100" w:beforeAutospacing="1" w:after="100" w:afterAutospacing="1"/>
      <w:jc w:val="left"/>
    </w:pPr>
    <w:rPr>
      <w:rFonts w:ascii="Cambria" w:hAnsi="Cambria" w:cs="宋体"/>
      <w:kern w:val="0"/>
      <w:szCs w:val="21"/>
    </w:rPr>
  </w:style>
  <w:style w:type="paragraph" w:customStyle="1" w:styleId="348">
    <w:name w:val="xl154"/>
    <w:basedOn w:val="1"/>
    <w:qFormat/>
    <w:uiPriority w:val="0"/>
    <w:pPr>
      <w:widowControl/>
      <w:pBdr>
        <w:right w:val="single" w:color="auto" w:sz="8" w:space="0"/>
      </w:pBdr>
      <w:spacing w:before="100" w:beforeAutospacing="1" w:after="100" w:afterAutospacing="1"/>
      <w:jc w:val="center"/>
    </w:pPr>
    <w:rPr>
      <w:rFonts w:ascii="宋体" w:hAnsi="宋体" w:cs="宋体"/>
      <w:kern w:val="0"/>
      <w:szCs w:val="21"/>
    </w:rPr>
  </w:style>
  <w:style w:type="paragraph" w:customStyle="1" w:styleId="349">
    <w:name w:val="font9"/>
    <w:basedOn w:val="1"/>
    <w:qFormat/>
    <w:uiPriority w:val="0"/>
    <w:pPr>
      <w:widowControl/>
      <w:spacing w:before="100" w:beforeAutospacing="1" w:after="100" w:afterAutospacing="1"/>
      <w:jc w:val="left"/>
    </w:pPr>
    <w:rPr>
      <w:rFonts w:ascii="宋体" w:hAnsi="宋体" w:cs="宋体"/>
      <w:color w:val="008080"/>
      <w:kern w:val="0"/>
      <w:szCs w:val="21"/>
      <w:u w:val="single"/>
    </w:rPr>
  </w:style>
  <w:style w:type="paragraph" w:customStyle="1" w:styleId="350">
    <w:name w:val="xl129"/>
    <w:basedOn w:val="1"/>
    <w:qFormat/>
    <w:uiPriority w:val="0"/>
    <w:pPr>
      <w:widowControl/>
      <w:pBdr>
        <w:bottom w:val="single" w:color="auto" w:sz="8" w:space="0"/>
        <w:right w:val="single" w:color="auto" w:sz="8" w:space="0"/>
      </w:pBdr>
      <w:spacing w:before="100" w:beforeAutospacing="1" w:after="100" w:afterAutospacing="1"/>
    </w:pPr>
    <w:rPr>
      <w:rFonts w:ascii="Wingdings" w:hAnsi="Wingdings" w:cs="宋体"/>
      <w:kern w:val="0"/>
      <w:szCs w:val="21"/>
    </w:rPr>
  </w:style>
  <w:style w:type="paragraph" w:customStyle="1" w:styleId="351">
    <w:name w:val="xl146"/>
    <w:basedOn w:val="1"/>
    <w:qFormat/>
    <w:uiPriority w:val="0"/>
    <w:pPr>
      <w:widowControl/>
      <w:pBdr>
        <w:left w:val="single" w:color="auto" w:sz="8" w:space="0"/>
        <w:right w:val="single" w:color="000000" w:sz="8" w:space="0"/>
      </w:pBdr>
      <w:spacing w:before="100" w:beforeAutospacing="1" w:after="100" w:afterAutospacing="1"/>
      <w:jc w:val="center"/>
    </w:pPr>
    <w:rPr>
      <w:rFonts w:ascii="宋体" w:hAnsi="宋体" w:cs="宋体"/>
      <w:kern w:val="0"/>
      <w:szCs w:val="21"/>
    </w:rPr>
  </w:style>
  <w:style w:type="paragraph" w:customStyle="1" w:styleId="352">
    <w:name w:val="xl6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Cs w:val="21"/>
    </w:rPr>
  </w:style>
  <w:style w:type="paragraph" w:customStyle="1" w:styleId="353">
    <w:name w:val="xl113"/>
    <w:basedOn w:val="1"/>
    <w:qFormat/>
    <w:uiPriority w:val="0"/>
    <w:pPr>
      <w:widowControl/>
      <w:pBdr>
        <w:left w:val="single" w:color="auto" w:sz="8" w:space="0"/>
        <w:right w:val="single" w:color="auto" w:sz="8" w:space="0"/>
      </w:pBdr>
      <w:spacing w:before="100" w:beforeAutospacing="1" w:after="100" w:afterAutospacing="1"/>
    </w:pPr>
    <w:rPr>
      <w:rFonts w:ascii="宋体" w:hAnsi="宋体" w:cs="宋体"/>
      <w:b/>
      <w:bCs/>
      <w:kern w:val="0"/>
      <w:szCs w:val="21"/>
    </w:rPr>
  </w:style>
  <w:style w:type="paragraph" w:customStyle="1" w:styleId="354">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paragraph" w:customStyle="1" w:styleId="355">
    <w:name w:val="Char Char2 Char Char Char Char"/>
    <w:basedOn w:val="1"/>
    <w:qFormat/>
    <w:uiPriority w:val="0"/>
    <w:rPr>
      <w:kern w:val="0"/>
      <w:sz w:val="24"/>
      <w:szCs w:val="20"/>
    </w:rPr>
  </w:style>
  <w:style w:type="paragraph" w:customStyle="1" w:styleId="356">
    <w:name w:val="xl91"/>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Arial" w:hAnsi="Arial" w:cs="Arial"/>
      <w:kern w:val="0"/>
      <w:sz w:val="20"/>
      <w:szCs w:val="20"/>
    </w:rPr>
  </w:style>
  <w:style w:type="paragraph" w:customStyle="1" w:styleId="357">
    <w:name w:val="xl126"/>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Cambria" w:hAnsi="Cambria" w:cs="宋体"/>
      <w:color w:val="FF0000"/>
      <w:kern w:val="0"/>
      <w:szCs w:val="21"/>
    </w:rPr>
  </w:style>
  <w:style w:type="paragraph" w:customStyle="1" w:styleId="358">
    <w:name w:val="xl75"/>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008080"/>
      <w:kern w:val="0"/>
      <w:szCs w:val="21"/>
      <w:u w:val="single"/>
    </w:rPr>
  </w:style>
  <w:style w:type="paragraph" w:customStyle="1" w:styleId="359">
    <w:name w:val="xl86"/>
    <w:basedOn w:val="1"/>
    <w:qFormat/>
    <w:uiPriority w:val="0"/>
    <w:pPr>
      <w:widowControl/>
      <w:pBdr>
        <w:top w:val="single" w:color="auto" w:sz="8" w:space="0"/>
        <w:left w:val="single" w:color="auto" w:sz="8" w:space="0"/>
        <w:right w:val="single" w:color="auto" w:sz="8" w:space="0"/>
      </w:pBdr>
      <w:spacing w:before="100" w:beforeAutospacing="1" w:after="100" w:afterAutospacing="1"/>
    </w:pPr>
    <w:rPr>
      <w:rFonts w:ascii="Cambria" w:hAnsi="Cambria" w:cs="宋体"/>
      <w:color w:val="FF0000"/>
      <w:kern w:val="0"/>
      <w:szCs w:val="21"/>
    </w:rPr>
  </w:style>
  <w:style w:type="paragraph" w:customStyle="1" w:styleId="360">
    <w:name w:val="xl105"/>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Arial" w:hAnsi="Arial" w:cs="Arial"/>
      <w:color w:val="FF0000"/>
      <w:kern w:val="0"/>
      <w:sz w:val="20"/>
      <w:szCs w:val="20"/>
    </w:rPr>
  </w:style>
  <w:style w:type="paragraph" w:customStyle="1" w:styleId="361">
    <w:name w:val="xl118"/>
    <w:basedOn w:val="1"/>
    <w:qFormat/>
    <w:uiPriority w:val="0"/>
    <w:pPr>
      <w:widowControl/>
      <w:pBdr>
        <w:right w:val="single" w:color="auto" w:sz="8" w:space="0"/>
      </w:pBdr>
      <w:shd w:val="clear" w:color="000000" w:fill="FFFFFF"/>
      <w:spacing w:before="100" w:beforeAutospacing="1" w:after="100" w:afterAutospacing="1"/>
      <w:jc w:val="left"/>
    </w:pPr>
    <w:rPr>
      <w:rFonts w:ascii="Cambria" w:hAnsi="Cambria" w:cs="宋体"/>
      <w:color w:val="FF0000"/>
      <w:kern w:val="0"/>
      <w:szCs w:val="21"/>
    </w:rPr>
  </w:style>
  <w:style w:type="paragraph" w:customStyle="1" w:styleId="362">
    <w:name w:val="font22"/>
    <w:basedOn w:val="1"/>
    <w:qFormat/>
    <w:uiPriority w:val="0"/>
    <w:pPr>
      <w:widowControl/>
      <w:spacing w:before="100" w:beforeAutospacing="1" w:after="100" w:afterAutospacing="1"/>
      <w:jc w:val="left"/>
    </w:pPr>
    <w:rPr>
      <w:rFonts w:ascii="新宋体" w:hAnsi="新宋体" w:eastAsia="新宋体" w:cs="宋体"/>
      <w:color w:val="FF0000"/>
      <w:kern w:val="0"/>
      <w:szCs w:val="21"/>
    </w:rPr>
  </w:style>
  <w:style w:type="paragraph" w:customStyle="1" w:styleId="363">
    <w:name w:val="xl6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Cs w:val="21"/>
    </w:rPr>
  </w:style>
  <w:style w:type="paragraph" w:customStyle="1" w:styleId="364">
    <w:name w:val="Char Char Char Char1"/>
    <w:basedOn w:val="1"/>
    <w:qFormat/>
    <w:uiPriority w:val="0"/>
    <w:rPr>
      <w:rFonts w:ascii="宋体" w:hAnsi="宋体"/>
      <w:color w:val="000000"/>
      <w:sz w:val="20"/>
    </w:rPr>
  </w:style>
  <w:style w:type="paragraph" w:customStyle="1" w:styleId="365">
    <w:name w:val="嘉定标题1"/>
    <w:basedOn w:val="1"/>
    <w:next w:val="1"/>
    <w:qFormat/>
    <w:uiPriority w:val="0"/>
    <w:pPr>
      <w:widowControl/>
      <w:tabs>
        <w:tab w:val="left" w:pos="1709"/>
      </w:tabs>
      <w:spacing w:after="160" w:line="240" w:lineRule="exact"/>
      <w:ind w:left="1709" w:hanging="431"/>
      <w:jc w:val="left"/>
    </w:pPr>
    <w:rPr>
      <w:rFonts w:ascii="宋体" w:hAnsi="Verdana"/>
      <w:b/>
      <w:kern w:val="0"/>
      <w:sz w:val="28"/>
      <w:szCs w:val="28"/>
      <w:lang w:eastAsia="en-US"/>
    </w:rPr>
  </w:style>
  <w:style w:type="paragraph" w:customStyle="1" w:styleId="366">
    <w:name w:val="列出段落21"/>
    <w:basedOn w:val="1"/>
    <w:qFormat/>
    <w:uiPriority w:val="0"/>
    <w:pPr>
      <w:ind w:firstLine="420" w:firstLineChars="200"/>
    </w:pPr>
  </w:style>
  <w:style w:type="paragraph" w:customStyle="1" w:styleId="367">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368">
    <w:name w:val="列出段落3"/>
    <w:basedOn w:val="1"/>
    <w:link w:val="369"/>
    <w:qFormat/>
    <w:uiPriority w:val="0"/>
    <w:pPr>
      <w:ind w:firstLine="420" w:firstLineChars="200"/>
    </w:pPr>
  </w:style>
  <w:style w:type="character" w:customStyle="1" w:styleId="369">
    <w:name w:val="列出段落 Char1"/>
    <w:link w:val="368"/>
    <w:qFormat/>
    <w:uiPriority w:val="0"/>
    <w:rPr>
      <w:kern w:val="2"/>
      <w:sz w:val="21"/>
      <w:szCs w:val="24"/>
    </w:rPr>
  </w:style>
  <w:style w:type="paragraph" w:customStyle="1" w:styleId="370">
    <w:name w:val="标准文本"/>
    <w:basedOn w:val="1"/>
    <w:link w:val="371"/>
    <w:qFormat/>
    <w:uiPriority w:val="0"/>
    <w:pPr>
      <w:spacing w:line="360" w:lineRule="auto"/>
      <w:ind w:firstLine="480" w:firstLineChars="200"/>
    </w:pPr>
    <w:rPr>
      <w:kern w:val="0"/>
      <w:sz w:val="24"/>
      <w:szCs w:val="20"/>
    </w:rPr>
  </w:style>
  <w:style w:type="character" w:customStyle="1" w:styleId="371">
    <w:name w:val="标准文本 Char"/>
    <w:link w:val="370"/>
    <w:qFormat/>
    <w:uiPriority w:val="0"/>
    <w:rPr>
      <w:sz w:val="24"/>
    </w:rPr>
  </w:style>
  <w:style w:type="character" w:customStyle="1" w:styleId="372">
    <w:name w:val="纯文本 字符1"/>
    <w:qFormat/>
    <w:uiPriority w:val="0"/>
    <w:rPr>
      <w:rFonts w:ascii="宋体" w:hAnsi="Courier New" w:cs="Courier New"/>
      <w:szCs w:val="21"/>
    </w:rPr>
  </w:style>
  <w:style w:type="paragraph" w:customStyle="1" w:styleId="373">
    <w:name w:val="修订2"/>
    <w:unhideWhenUsed/>
    <w:qFormat/>
    <w:uiPriority w:val="99"/>
    <w:rPr>
      <w:rFonts w:ascii="Times New Roman" w:hAnsi="Times New Roman" w:eastAsia="宋体" w:cs="Times New Roman"/>
      <w:kern w:val="2"/>
      <w:sz w:val="21"/>
      <w:szCs w:val="24"/>
      <w:lang w:val="en-US" w:eastAsia="zh-CN" w:bidi="ar-SA"/>
    </w:rPr>
  </w:style>
  <w:style w:type="character" w:customStyle="1" w:styleId="374">
    <w:name w:val="普通(网站) 字符"/>
    <w:qFormat/>
    <w:locked/>
    <w:uiPriority w:val="99"/>
    <w:rPr>
      <w:rFonts w:ascii="Arial Unicode MS" w:hAnsi="Arial Unicode MS" w:eastAsia="Arial Unicode MS" w:cs="Arial Unicode MS"/>
      <w:sz w:val="24"/>
      <w:szCs w:val="24"/>
    </w:rPr>
  </w:style>
  <w:style w:type="character" w:customStyle="1" w:styleId="375">
    <w:name w:val="列表段落 字符"/>
    <w:qFormat/>
    <w:uiPriority w:val="34"/>
    <w:rPr>
      <w:rFonts w:cs="Times New Roman"/>
      <w:kern w:val="2"/>
      <w:sz w:val="21"/>
      <w:szCs w:val="22"/>
    </w:rPr>
  </w:style>
  <w:style w:type="character" w:customStyle="1" w:styleId="376">
    <w:name w:val="批注文字 字符"/>
    <w:qFormat/>
    <w:uiPriority w:val="99"/>
    <w:rPr>
      <w:kern w:val="2"/>
      <w:sz w:val="21"/>
      <w:szCs w:val="24"/>
    </w:rPr>
  </w:style>
  <w:style w:type="character" w:customStyle="1" w:styleId="377">
    <w:name w:val="批注文字 字符3"/>
    <w:qFormat/>
    <w:uiPriority w:val="99"/>
    <w:rPr>
      <w:szCs w:val="24"/>
    </w:rPr>
  </w:style>
  <w:style w:type="paragraph" w:customStyle="1" w:styleId="378">
    <w:name w:val="_Style 375"/>
    <w:basedOn w:val="1"/>
    <w:next w:val="1"/>
    <w:qFormat/>
    <w:uiPriority w:val="39"/>
    <w:pPr>
      <w:adjustRightInd w:val="0"/>
      <w:snapToGrid w:val="0"/>
      <w:spacing w:line="312" w:lineRule="auto"/>
      <w:ind w:firstLine="480" w:firstLineChars="200"/>
    </w:pPr>
    <w:rPr>
      <w:rFonts w:ascii="仿宋_GB2312" w:hAnsi="华文中宋" w:eastAsia="仿宋_GB2312"/>
      <w:bCs/>
      <w:kern w:val="0"/>
      <w:sz w:val="24"/>
      <w:szCs w:val="20"/>
    </w:rPr>
  </w:style>
  <w:style w:type="paragraph" w:customStyle="1" w:styleId="379">
    <w:name w:val="A 正文"/>
    <w:basedOn w:val="1"/>
    <w:link w:val="380"/>
    <w:qFormat/>
    <w:uiPriority w:val="0"/>
    <w:pPr>
      <w:spacing w:line="300" w:lineRule="auto"/>
      <w:ind w:firstLine="482"/>
    </w:pPr>
    <w:rPr>
      <w:rFonts w:ascii="宋体" w:hAnsi="宋体"/>
      <w:color w:val="000000"/>
      <w:kern w:val="0"/>
      <w:sz w:val="24"/>
    </w:rPr>
  </w:style>
  <w:style w:type="character" w:customStyle="1" w:styleId="380">
    <w:name w:val="A 正文 Char"/>
    <w:link w:val="379"/>
    <w:qFormat/>
    <w:uiPriority w:val="0"/>
    <w:rPr>
      <w:rFonts w:ascii="宋体" w:hAnsi="宋体" w:cs="Arial"/>
      <w:color w:val="000000"/>
      <w:sz w:val="24"/>
      <w:szCs w:val="24"/>
    </w:rPr>
  </w:style>
  <w:style w:type="paragraph" w:customStyle="1" w:styleId="381">
    <w:name w:val="修订3"/>
    <w:semiHidden/>
    <w:qFormat/>
    <w:uiPriority w:val="99"/>
    <w:rPr>
      <w:rFonts w:ascii="Times New Roman" w:hAnsi="Times New Roman" w:eastAsia="宋体" w:cs="Times New Roman"/>
      <w:kern w:val="2"/>
      <w:sz w:val="21"/>
      <w:szCs w:val="24"/>
      <w:lang w:val="en-US" w:eastAsia="zh-CN" w:bidi="ar-SA"/>
    </w:rPr>
  </w:style>
  <w:style w:type="paragraph" w:styleId="382">
    <w:name w:val="List Paragraph"/>
    <w:basedOn w:val="1"/>
    <w:qFormat/>
    <w:uiPriority w:val="34"/>
    <w:pPr>
      <w:ind w:firstLine="420" w:firstLineChars="200"/>
    </w:pPr>
  </w:style>
  <w:style w:type="character" w:customStyle="1" w:styleId="383">
    <w:name w:val="正文文本缩进 2 字符"/>
    <w:qFormat/>
    <w:uiPriority w:val="0"/>
    <w:rPr>
      <w:kern w:val="2"/>
      <w:sz w:val="21"/>
      <w:szCs w:val="24"/>
    </w:rPr>
  </w:style>
  <w:style w:type="character" w:customStyle="1" w:styleId="384">
    <w:name w:val="正文文本缩进 字符"/>
    <w:qFormat/>
    <w:uiPriority w:val="0"/>
    <w:rPr>
      <w:rFonts w:ascii="仿宋_GB2312" w:eastAsia="仿宋_GB2312"/>
      <w:kern w:val="2"/>
      <w:sz w:val="24"/>
      <w:szCs w:val="24"/>
    </w:rPr>
  </w:style>
  <w:style w:type="character" w:customStyle="1" w:styleId="385">
    <w:name w:val="纯文本 Char3"/>
    <w:qFormat/>
    <w:uiPriority w:val="0"/>
    <w:rPr>
      <w:rFonts w:ascii="宋体" w:hAnsi="Courier New" w:cs="Courier New"/>
      <w:szCs w:val="21"/>
    </w:rPr>
  </w:style>
  <w:style w:type="paragraph" w:customStyle="1" w:styleId="386">
    <w:name w:val="修订4"/>
    <w:semiHidden/>
    <w:qFormat/>
    <w:uiPriority w:val="99"/>
    <w:rPr>
      <w:rFonts w:ascii="Times New Roman" w:hAnsi="Times New Roman" w:eastAsia="宋体" w:cs="Times New Roman"/>
      <w:kern w:val="2"/>
      <w:sz w:val="21"/>
      <w:szCs w:val="24"/>
      <w:lang w:val="en-US" w:eastAsia="zh-CN" w:bidi="ar-SA"/>
    </w:rPr>
  </w:style>
  <w:style w:type="character" w:customStyle="1" w:styleId="387">
    <w:name w:val="页眉 Char2"/>
    <w:qFormat/>
    <w:uiPriority w:val="0"/>
    <w:rPr>
      <w:sz w:val="18"/>
      <w:szCs w:val="18"/>
    </w:rPr>
  </w:style>
  <w:style w:type="character" w:customStyle="1" w:styleId="388">
    <w:name w:val="页脚 Char2"/>
    <w:qFormat/>
    <w:uiPriority w:val="99"/>
    <w:rPr>
      <w:sz w:val="18"/>
      <w:szCs w:val="18"/>
    </w:rPr>
  </w:style>
  <w:style w:type="character" w:customStyle="1" w:styleId="389">
    <w:name w:val="prev"/>
    <w:qFormat/>
    <w:uiPriority w:val="0"/>
    <w:rPr>
      <w:rFonts w:ascii="微软雅黑" w:hAnsi="微软雅黑" w:eastAsia="微软雅黑" w:cs="微软雅黑"/>
      <w:sz w:val="21"/>
      <w:szCs w:val="21"/>
    </w:rPr>
  </w:style>
  <w:style w:type="character" w:customStyle="1" w:styleId="390">
    <w:name w:val="prev1"/>
    <w:qFormat/>
    <w:uiPriority w:val="0"/>
    <w:rPr>
      <w:color w:val="888888"/>
    </w:rPr>
  </w:style>
  <w:style w:type="character" w:customStyle="1" w:styleId="391">
    <w:name w:val="next2"/>
    <w:qFormat/>
    <w:uiPriority w:val="0"/>
    <w:rPr>
      <w:rFonts w:hint="eastAsia" w:ascii="微软雅黑" w:hAnsi="微软雅黑" w:eastAsia="微软雅黑" w:cs="微软雅黑"/>
      <w:sz w:val="21"/>
      <w:szCs w:val="21"/>
    </w:rPr>
  </w:style>
  <w:style w:type="character" w:customStyle="1" w:styleId="392">
    <w:name w:val="next3"/>
    <w:qFormat/>
    <w:uiPriority w:val="0"/>
    <w:rPr>
      <w:color w:val="888888"/>
    </w:rPr>
  </w:style>
  <w:style w:type="paragraph" w:customStyle="1" w:styleId="393">
    <w:name w:val="样式 标题 1 + 段后: 1 行"/>
    <w:basedOn w:val="3"/>
    <w:qFormat/>
    <w:uiPriority w:val="0"/>
    <w:pPr>
      <w:spacing w:after="240"/>
    </w:pPr>
    <w:rPr>
      <w:rFonts w:cs="宋体"/>
      <w:bCs w:val="0"/>
      <w:sz w:val="30"/>
      <w:szCs w:val="20"/>
    </w:rPr>
  </w:style>
  <w:style w:type="paragraph" w:customStyle="1" w:styleId="394">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395">
    <w:name w:val="修订6"/>
    <w:hidden/>
    <w:semiHidden/>
    <w:qFormat/>
    <w:uiPriority w:val="99"/>
    <w:rPr>
      <w:rFonts w:ascii="Times New Roman" w:hAnsi="Times New Roman" w:eastAsia="宋体" w:cs="Times New Roman"/>
      <w:kern w:val="2"/>
      <w:sz w:val="21"/>
      <w:szCs w:val="24"/>
      <w:lang w:val="en-US" w:eastAsia="zh-CN" w:bidi="ar-SA"/>
    </w:rPr>
  </w:style>
  <w:style w:type="character" w:customStyle="1" w:styleId="396">
    <w:name w:val="未处理的提及1"/>
    <w:basedOn w:val="90"/>
    <w:semiHidden/>
    <w:unhideWhenUsed/>
    <w:qFormat/>
    <w:uiPriority w:val="99"/>
    <w:rPr>
      <w:color w:val="605E5C"/>
      <w:shd w:val="clear" w:color="auto" w:fill="E1DFDD"/>
    </w:rPr>
  </w:style>
  <w:style w:type="character" w:customStyle="1" w:styleId="397">
    <w:name w:val="cf01"/>
    <w:basedOn w:val="90"/>
    <w:autoRedefine/>
    <w:qFormat/>
    <w:uiPriority w:val="0"/>
    <w:rPr>
      <w:rFonts w:hint="eastAsia" w:ascii="Microsoft YaHei UI" w:hAnsi="Microsoft YaHei UI" w:eastAsia="Microsoft YaHei UI"/>
      <w:sz w:val="18"/>
      <w:szCs w:val="18"/>
    </w:rPr>
  </w:style>
  <w:style w:type="paragraph" w:customStyle="1" w:styleId="398">
    <w:name w:val="p0"/>
    <w:basedOn w:val="1"/>
    <w:qFormat/>
    <w:uiPriority w:val="0"/>
    <w:pPr>
      <w:widowControl/>
    </w:pPr>
    <w:rPr>
      <w:kern w:val="0"/>
      <w:szCs w:val="21"/>
    </w:rPr>
  </w:style>
  <w:style w:type="paragraph" w:customStyle="1" w:styleId="399">
    <w:name w:val="列表段落1"/>
    <w:basedOn w:val="1"/>
    <w:qFormat/>
    <w:uiPriority w:val="0"/>
    <w:pPr>
      <w:widowControl/>
      <w:adjustRightInd w:val="0"/>
      <w:snapToGrid w:val="0"/>
      <w:spacing w:after="200"/>
      <w:ind w:firstLine="420" w:firstLineChars="200"/>
      <w:jc w:val="left"/>
    </w:pPr>
    <w:rPr>
      <w:rFonts w:ascii="Tahoma" w:hAnsi="Tahoma" w:eastAsia="微软雅黑" w:cs="Tahoma"/>
      <w:kern w:val="0"/>
      <w:sz w:val="22"/>
      <w:szCs w:val="22"/>
    </w:rPr>
  </w:style>
  <w:style w:type="paragraph" w:customStyle="1" w:styleId="400">
    <w:name w:val="样式 2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样式 2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2">
    <w:name w:val="样式 2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样式 2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4">
    <w:name w:val="样式 2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
    <w:name w:val="样式 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样式 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9">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1">
    <w:name w:val="样式 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2">
    <w:name w:val="样式 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3">
    <w:name w:val="样式 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4">
    <w:name w:val="样式 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5">
    <w:name w:val="样式 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6">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7">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正文_103"/>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1">
    <w:name w:val="样式 3 三号"/>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2">
    <w:name w:val="样式 47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3">
    <w:name w:val="正文_23"/>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4">
    <w:name w:val="样式 505 10 磅"/>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5">
    <w:name w:val="正文_90"/>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6">
    <w:name w:val="正文_93"/>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7">
    <w:name w:val="正文_94"/>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8">
    <w:name w:val="正文_32"/>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29">
    <w:name w:val="正文_18"/>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0">
    <w:name w:val="正文_2"/>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1">
    <w:name w:val="正文_3"/>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2">
    <w:name w:val="正文_114"/>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3">
    <w:name w:val="正文_109"/>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4">
    <w:name w:val="正文_130"/>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5">
    <w:name w:val="正文_101"/>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6">
    <w:name w:val="样式 2 三号_17"/>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7">
    <w:name w:val="正文_60"/>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8">
    <w:name w:val="正文_50"/>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39">
    <w:name w:val="正文_66"/>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440">
    <w:name w:val="样式 30 10 磅"/>
    <w:qFormat/>
    <w:uiPriority w:val="0"/>
    <w:pPr>
      <w:widowControl w:val="0"/>
      <w:jc w:val="both"/>
    </w:pPr>
    <w:rPr>
      <w:rFonts w:ascii="等线" w:hAnsi="Times New Roman" w:eastAsia="等线" w:cs="Times New Roman"/>
      <w:kern w:val="2"/>
      <w:sz w:val="21"/>
      <w:szCs w:val="22"/>
      <w:lang w:val="en-US" w:eastAsia="zh-CN" w:bidi="ar-SA"/>
    </w:rPr>
  </w:style>
  <w:style w:type="paragraph" w:customStyle="1" w:styleId="441">
    <w:name w:val="样式 31 10 磅"/>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36CEFA-44E2-4963-AECC-3422ABBE3ECF}">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93</Pages>
  <Words>22492</Words>
  <Characters>23813</Characters>
  <Lines>303</Lines>
  <Paragraphs>85</Paragraphs>
  <TotalTime>11</TotalTime>
  <ScaleCrop>false</ScaleCrop>
  <LinksUpToDate>false</LinksUpToDate>
  <CharactersWithSpaces>24076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2025-10-16T10:31:00Z</dcterms:created>
  <dc:creator>采购与招标管理办公室</dc:creator>
  <cp:lastModifiedBy>WPS_1773133674</cp:lastModifiedBy>
  <cp:lastPrinted>2025-11-05T01:30:00Z</cp:lastPrinted>
  <dcterms:modified xsi:type="dcterms:W3CDTF">2026-06-29T03:21:44Z</dcterms:modified>
  <dc:title>大连理工大学公开招标文件模板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AF2530B6B7AE4C40B2FC56E700EB0964_13</vt:lpwstr>
  </property>
  <property fmtid="{D5CDD505-2E9C-101B-9397-08002B2CF9AE}" pid="4" name="KSOTemplateDocerSaveRecord">
    <vt:lpwstr>eyJoZGlkIjoiNjE2YTJmNzY2OTMxYmQ3NGExNGM2OGE5YmEzNDQ4NzciLCJ1c2VySWQiOiIxODA4NzY3NzY5In0=</vt:lpwstr>
  </property>
</Properties>
</file>