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华文中宋" w:hAnsi="华文中宋" w:hint="eastAsia"/>
          <w:sz w:val="32"/>
          <w:szCs w:val="32"/>
        </w:rPr>
      </w:pPr>
      <w:r>
        <w:rPr>
          <w:rFonts w:ascii="华文中宋" w:hAnsi="华文中宋"/>
          <w:sz w:val="32"/>
          <w:szCs w:val="32"/>
        </w:rPr>
        <w:t>评分标准</w:t>
      </w:r>
    </w:p>
    <w:p>
      <w:pPr>
        <w:topLinePunct/>
        <w:autoSpaceDE w:val="0"/>
        <w:autoSpaceDN w:val="0"/>
        <w:spacing w:line="360" w:lineRule="auto"/>
        <w:ind w:firstLineChars="200" w:firstLine="420"/>
        <w:rPr>
          <w:rFonts w:ascii="Times New Roman" w:hAnsi="Times New Roman"/>
        </w:rPr>
      </w:pPr>
      <w:r>
        <w:rPr>
          <w:rFonts w:ascii="宋体"/>
        </w:rPr>
        <w:t>评审标准如下表：</w:t>
      </w:r>
    </w:p>
    <w:tbl>
      <w:tblPr>
        <w:jc w:val="left"/>
        <w:tblW w:w="94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3"/>
        <w:gridCol w:w="760"/>
        <w:gridCol w:w="1173"/>
        <w:gridCol w:w="6253"/>
        <w:gridCol w:w="763"/>
      </w:tblGrid>
      <w:tr>
        <w:trPr>
          <w:trHeight w:val="612"/>
          <w:tblHeader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序号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评审因素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主要内容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指标要求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细项</w:t>
            </w:r>
          </w:p>
          <w:p>
            <w:pPr>
              <w:widowControl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分值</w:t>
            </w:r>
          </w:p>
        </w:tc>
      </w:tr>
      <w:t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  <w:kern w:val="0"/>
              </w:rPr>
            </w:pPr>
            <w:r>
              <w:rPr>
                <w:rFonts w:ascii="宋体" w:cs="仿宋_GB2312" w:hint="eastAsia"/>
                <w:kern w:val="0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报价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价 格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/>
                <w:kern w:val="2"/>
                <w:sz w:val="21"/>
                <w:szCs w:val="21"/>
              </w:rPr>
              <w:t>报价得分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=</w:t>
            </w:r>
            <w:r>
              <w:rPr>
                <w:rFonts w:ascii="宋体"/>
                <w:kern w:val="2"/>
                <w:sz w:val="21"/>
                <w:szCs w:val="21"/>
              </w:rPr>
              <w:t>（基准价／报价）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 xml:space="preserve">× </w:t>
            </w:r>
            <w:r>
              <w:rPr>
                <w:rFonts w:ascii="宋体"/>
                <w:kern w:val="2"/>
                <w:sz w:val="21"/>
                <w:szCs w:val="21"/>
              </w:rPr>
              <w:t>满分值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/>
                <w:kern w:val="2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1</w:t>
            </w:r>
            <w:r>
              <w:rPr>
                <w:rFonts w:ascii="宋体"/>
                <w:kern w:val="2"/>
                <w:sz w:val="21"/>
                <w:szCs w:val="21"/>
              </w:rPr>
              <w:t>）基准价为满足文件要求且报价最低的供应商的价格。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15</w:t>
            </w:r>
          </w:p>
        </w:tc>
      </w:tr>
      <w:tr>
        <w:trPr>
          <w:trHeight w:val="454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2</w:t>
            </w: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left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技术因素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12"/>
              </w:rPr>
            </w:pPr>
            <w:r>
              <w:rPr>
                <w:rFonts w:ascii="宋体" w:hint="eastAsia"/>
                <w:spacing w:val="-12"/>
              </w:rPr>
              <w:t>服务方案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1.</w:t>
            </w:r>
            <w:r>
              <w:rPr>
                <w:rFonts w:ascii="宋体"/>
                <w:kern w:val="2"/>
                <w:sz w:val="21"/>
                <w:szCs w:val="21"/>
              </w:rPr>
              <w:t>本项目服务方案论述详细</w:t>
            </w:r>
            <w:r>
              <w:rPr>
                <w:rFonts w:ascii="宋体" w:hint="eastAsia"/>
                <w:kern w:val="2"/>
                <w:sz w:val="21"/>
                <w:szCs w:val="21"/>
              </w:rPr>
              <w:t>，</w:t>
            </w:r>
            <w:r>
              <w:rPr>
                <w:rFonts w:ascii="宋体"/>
                <w:kern w:val="2"/>
                <w:sz w:val="21"/>
                <w:szCs w:val="21"/>
              </w:rPr>
              <w:t>控制措施完善，保证措施阐述详细明确，有明确的违约承诺，后续保证机制完善，服务方案内容准确，能够充分满足采购人的需求（得21-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25</w:t>
            </w:r>
            <w:r>
              <w:rPr>
                <w:rFonts w:ascii="宋体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2.</w:t>
            </w:r>
            <w:r>
              <w:rPr>
                <w:rFonts w:ascii="宋体"/>
                <w:kern w:val="2"/>
                <w:sz w:val="21"/>
                <w:szCs w:val="21"/>
              </w:rPr>
              <w:t>本项目服务方案比较详细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>,</w:t>
            </w:r>
            <w:r>
              <w:rPr>
                <w:rFonts w:ascii="宋体"/>
                <w:kern w:val="2"/>
                <w:sz w:val="21"/>
                <w:szCs w:val="21"/>
              </w:rPr>
              <w:t>控制措施比较完善，保证措施阐述比较详细明确，有比较明确的违约承诺，后续保证机制比较完善，服务方案内容较准确，能够满足采购人的需求（得16-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20</w:t>
            </w:r>
            <w:r>
              <w:rPr>
                <w:rFonts w:ascii="宋体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3.</w:t>
            </w:r>
            <w:r>
              <w:rPr>
                <w:rFonts w:ascii="宋体"/>
                <w:kern w:val="2"/>
                <w:sz w:val="21"/>
                <w:szCs w:val="21"/>
              </w:rPr>
              <w:t>本项目服务方案论述不准确，控制措施不完善，保证措施阐述不够详细，违约承诺和后续保证机制不够明确，方案存在缺陷，服务方案内容基本准确，基本能够满足采购人的需求（得0-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15</w:t>
            </w:r>
            <w:r>
              <w:rPr>
                <w:rFonts w:ascii="宋体"/>
                <w:kern w:val="2"/>
                <w:sz w:val="21"/>
                <w:szCs w:val="21"/>
              </w:rPr>
              <w:t>分）。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/>
                <w:kern w:val="2"/>
                <w:sz w:val="21"/>
                <w:szCs w:val="21"/>
              </w:rPr>
              <w:t>注：未提供方案得</w:t>
            </w:r>
            <w:r>
              <w:rPr>
                <w:rFonts w:ascii="Times New Roman" w:hAnsi="Times New Roman"/>
                <w:kern w:val="2"/>
                <w:sz w:val="21"/>
                <w:szCs w:val="21"/>
              </w:rPr>
              <w:t xml:space="preserve"> 0 </w:t>
            </w:r>
            <w:r>
              <w:rPr>
                <w:rFonts w:ascii="宋体"/>
                <w:kern w:val="2"/>
                <w:sz w:val="21"/>
                <w:szCs w:val="21"/>
              </w:rPr>
              <w:t>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25</w:t>
            </w:r>
          </w:p>
        </w:tc>
      </w:tr>
      <w:tr>
        <w:trPr>
          <w:trHeight w:val="454"/>
        </w:trPr>
        <w:tc>
          <w:tcPr>
            <w:tcW w:w="868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12"/>
              </w:rPr>
            </w:pPr>
            <w:r>
              <w:rPr>
                <w:rFonts w:ascii="宋体" w:hint="eastAsia"/>
                <w:spacing w:val="-12"/>
              </w:rPr>
              <w:t>重点难点分析及解决方案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供应商对清洗服务了解充分，能充分理解项目重点难点，解决方案科学、合理、完善，且保障方案结合本项目内容具体有针对性，编写内容突出，能够充分满足采购人的需求（得</w:t>
            </w:r>
            <w:r>
              <w:rPr>
                <w:rFonts w:ascii="宋体"/>
                <w:kern w:val="2"/>
                <w:sz w:val="21"/>
                <w:szCs w:val="21"/>
              </w:rPr>
              <w:t>13-</w:t>
            </w:r>
            <w:r>
              <w:rPr>
                <w:rFonts w:ascii="宋体"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15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2.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供应商对清洗服务了解不够详细，能基本理解本项目重点难点，提供较为完整的保障方案，且保障方案结合本项目内容较为突出，能够较好地满足采购人的需求（得</w:t>
            </w:r>
            <w:r>
              <w:rPr>
                <w:rFonts w:ascii="宋体"/>
                <w:kern w:val="2"/>
                <w:sz w:val="21"/>
                <w:szCs w:val="21"/>
              </w:rPr>
              <w:t>10-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12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3.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供应商对清洗服务缺乏了解，对本项目重点难点理解不透彻，提供保障方案略有缺陷，操作性较弱，无法满足采购人的需求（得</w:t>
            </w:r>
            <w:r>
              <w:rPr>
                <w:rFonts w:ascii="宋体"/>
                <w:kern w:val="2"/>
                <w:sz w:val="21"/>
                <w:szCs w:val="21"/>
              </w:rPr>
              <w:t>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9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 w:hint="eastAsia"/>
                <w:kern w:val="2"/>
                <w:sz w:val="21"/>
                <w:szCs w:val="21"/>
              </w:rPr>
              <w:t>注：未提供方案得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 0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15</w:t>
            </w:r>
          </w:p>
        </w:tc>
      </w:tr>
      <w:tr>
        <w:trPr>
          <w:trHeight w:val="454"/>
        </w:trPr>
        <w:tc>
          <w:tcPr>
            <w:tcW w:w="868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12"/>
              </w:rPr>
            </w:pPr>
            <w:r>
              <w:rPr>
                <w:rFonts w:ascii="宋体" w:hint="eastAsia"/>
                <w:spacing w:val="-12"/>
              </w:rPr>
              <w:t>服务承诺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供应商在服务承诺中承诺具体、节点清晰、方案针对性强、科学合理，承诺具体，有明确的赔偿和补救措施，切实可行（得</w:t>
            </w:r>
            <w:r>
              <w:rPr>
                <w:rFonts w:ascii="宋体"/>
                <w:kern w:val="2"/>
                <w:sz w:val="21"/>
                <w:szCs w:val="21"/>
              </w:rPr>
              <w:t>13-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15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供应商在服务承诺中承诺比较具体、节点较为清晰、保障方案针对性较强，承诺较为具体，有赔偿和补救措施，可行性较好（得</w:t>
            </w:r>
            <w:r>
              <w:rPr>
                <w:rFonts w:ascii="宋体"/>
                <w:kern w:val="2"/>
                <w:sz w:val="21"/>
                <w:szCs w:val="21"/>
              </w:rPr>
              <w:t>10-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12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3.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供应商在服务承诺中承诺不具体、节点不清晰、保障方案缺乏针对性，承诺不明确，缺乏赔偿和补救措施（得</w:t>
            </w:r>
            <w:r>
              <w:rPr>
                <w:rFonts w:ascii="宋体"/>
                <w:kern w:val="2"/>
                <w:sz w:val="21"/>
                <w:szCs w:val="21"/>
              </w:rPr>
              <w:t>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9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 w:hint="eastAsia"/>
                <w:kern w:val="2"/>
                <w:sz w:val="21"/>
                <w:szCs w:val="21"/>
              </w:rPr>
              <w:t>注：未提供方案得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 0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15</w:t>
            </w:r>
          </w:p>
        </w:tc>
      </w:tr>
      <w:tr>
        <w:trPr>
          <w:trHeight w:val="454"/>
        </w:trPr>
        <w:tc>
          <w:tcPr>
            <w:tcW w:w="868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12"/>
              </w:rPr>
            </w:pPr>
            <w:r>
              <w:rPr>
                <w:rFonts w:ascii="宋体" w:hint="eastAsia"/>
                <w:spacing w:val="-12"/>
              </w:rPr>
              <w:t>应急预案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预案编制科学合理、表述清楚，针对采购人的实际情况及特点制定紧急预案切实可行，承诺全面实际，能充分体现针对本次项目的方案（得</w:t>
            </w:r>
            <w:r>
              <w:rPr>
                <w:rFonts w:ascii="宋体"/>
                <w:kern w:val="2"/>
                <w:sz w:val="21"/>
                <w:szCs w:val="21"/>
              </w:rPr>
              <w:t>9-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10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预案编制比较科学合理、表述较为清楚，针对采购人的实际情况及特点制定紧急预案较为详尽，承诺实际，能体现针对本次项目的方案（得</w:t>
            </w:r>
            <w:r>
              <w:rPr>
                <w:rFonts w:ascii="宋体"/>
                <w:kern w:val="2"/>
                <w:sz w:val="21"/>
                <w:szCs w:val="21"/>
              </w:rPr>
              <w:t>7-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8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3.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供应商提供的服务承诺内容处理应急方面不够全面，理解不透彻（得</w:t>
            </w:r>
            <w:r>
              <w:rPr>
                <w:rFonts w:ascii="宋体"/>
                <w:kern w:val="2"/>
                <w:sz w:val="21"/>
                <w:szCs w:val="21"/>
              </w:rPr>
              <w:t>0-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6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分）。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 w:hint="eastAsia"/>
                <w:kern w:val="2"/>
                <w:sz w:val="21"/>
                <w:szCs w:val="21"/>
              </w:rPr>
              <w:t>注：未提供方案得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 0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10</w:t>
            </w:r>
          </w:p>
        </w:tc>
      </w:tr>
      <w:tr>
        <w:trPr>
          <w:trHeight w:val="454"/>
        </w:trPr>
        <w:tc>
          <w:tcPr>
            <w:tcW w:w="8689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7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/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/>
                <w:spacing w:val="-12"/>
              </w:rPr>
            </w:pPr>
            <w:r>
              <w:rPr>
                <w:rFonts w:ascii="宋体" w:hint="eastAsia"/>
                <w:spacing w:val="-12"/>
              </w:rPr>
              <w:t>岗位职责配置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供应商投入本项目工作的岗位职责配置充分满足项目需要，职责分明、专业配套，（得</w:t>
            </w:r>
            <w:r>
              <w:rPr>
                <w:rFonts w:ascii="宋体"/>
                <w:kern w:val="2"/>
                <w:sz w:val="21"/>
                <w:szCs w:val="21"/>
              </w:rPr>
              <w:t>9-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10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2.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供应商投入本项目工作的岗位职责配置比较满足项目需要，职责较为分明、专业较为配套，（得</w:t>
            </w:r>
            <w:r>
              <w:rPr>
                <w:rFonts w:ascii="宋体"/>
                <w:kern w:val="2"/>
                <w:sz w:val="21"/>
                <w:szCs w:val="21"/>
              </w:rPr>
              <w:t>7-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8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4.</w:t>
            </w:r>
            <w:r>
              <w:rPr>
                <w:rFonts w:ascii="宋体" w:hint="eastAsia"/>
                <w:kern w:val="2"/>
                <w:sz w:val="21"/>
                <w:szCs w:val="21"/>
              </w:rPr>
              <w:t>供应商投入本项目工作的岗位职责配置不够满足项目需要，职责不够分明、专业不够配套，（得</w:t>
            </w:r>
            <w:r>
              <w:rPr>
                <w:rFonts w:ascii="宋体"/>
                <w:kern w:val="2"/>
                <w:sz w:val="21"/>
                <w:szCs w:val="21"/>
              </w:rPr>
              <w:t>0-</w:t>
            </w:r>
            <w:bookmarkStart w:id="0" w:name="_GoBack"/>
            <w:bookmarkEnd w:id="0"/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>6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分）；</w:t>
            </w:r>
          </w:p>
          <w:p>
            <w:pPr>
              <w:pStyle w:val="16"/>
              <w:widowControl w:val="0"/>
              <w:jc w:val="both"/>
              <w:rPr>
                <w:rFonts w:ascii="Times New Roman" w:hAnsi="Times New Roman"/>
                <w:kern w:val="2"/>
                <w:sz w:val="21"/>
                <w:szCs w:val="21"/>
              </w:rPr>
            </w:pPr>
            <w:r>
              <w:rPr>
                <w:rFonts w:ascii="宋体" w:hint="eastAsia"/>
                <w:kern w:val="2"/>
                <w:sz w:val="21"/>
                <w:szCs w:val="21"/>
              </w:rPr>
              <w:t>注：未提供方案得</w:t>
            </w:r>
            <w:r>
              <w:rPr>
                <w:rFonts w:ascii="Times New Roman" w:hAnsi="Times New Roman" w:hint="eastAsia"/>
                <w:kern w:val="2"/>
                <w:sz w:val="21"/>
                <w:szCs w:val="21"/>
              </w:rPr>
              <w:t xml:space="preserve"> 0 </w:t>
            </w:r>
            <w:r>
              <w:rPr>
                <w:rFonts w:ascii="宋体" w:hint="eastAsia"/>
                <w:kern w:val="2"/>
                <w:sz w:val="21"/>
                <w:szCs w:val="21"/>
              </w:rPr>
              <w:t>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10</w:t>
            </w:r>
          </w:p>
        </w:tc>
      </w:tr>
      <w:tr>
        <w:trPr>
          <w:trHeight w:val="94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  <w:kern w:val="0"/>
              </w:rPr>
            </w:pPr>
            <w:r>
              <w:rPr>
                <w:rFonts w:ascii="宋体" w:cs="仿宋_GB2312" w:hint="eastAsia"/>
                <w:kern w:val="0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商务因素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企业业绩</w:t>
            </w:r>
          </w:p>
        </w:tc>
        <w:tc>
          <w:tcPr>
            <w:tcW w:w="62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>
            <w:pPr>
              <w:rPr>
                <w:rFonts w:ascii="宋体"/>
              </w:rPr>
            </w:pPr>
            <w:r>
              <w:rPr>
                <w:rFonts w:ascii="宋体" w:hint="eastAsia"/>
              </w:rPr>
              <w:t>供应商2024年1月1日至今每具有一项类似的服务业绩得2.5分，满分10分。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</w:rPr>
            </w:pPr>
            <w:r>
              <w:rPr>
                <w:rFonts w:ascii="宋体" w:cs="仿宋_GB2312" w:hint="eastAsia"/>
              </w:rPr>
              <w:t>10</w:t>
            </w:r>
          </w:p>
        </w:tc>
      </w:tr>
      <w:tr>
        <w:trPr>
          <w:trHeight w:val="454"/>
        </w:trPr>
        <w:tc>
          <w:tcPr>
            <w:tcW w:w="8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>合     计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rPr>
                <w:rFonts w:ascii="宋体" w:cs="仿宋_GB2312"/>
                <w:b/>
                <w:bCs/>
                <w:kern w:val="0"/>
              </w:rPr>
            </w:pPr>
            <w:r>
              <w:rPr>
                <w:rFonts w:ascii="宋体" w:cs="仿宋_GB2312" w:hint="eastAsia"/>
                <w:b/>
                <w:bCs/>
                <w:kern w:val="0"/>
              </w:rPr>
              <w:t xml:space="preserve">100 </w:t>
            </w:r>
          </w:p>
        </w:tc>
      </w:tr>
    </w:tbl>
    <w:p>
      <w:pPr>
        <w:spacing w:line="600" w:lineRule="auto"/>
        <w:jc w:val="center"/>
        <w:rPr>
          <w:rFonts w:ascii="宋体"/>
          <w:b/>
          <w:kern w:val="0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华文中宋">
    <w:altName w:val="Times New Roman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auto"/>
    <w:pitch w:val="variable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</w:style>
  <w:style w:type="paragraph" w:styleId="15">
    <w:name w:val="Plain Text"/>
    <w:basedOn w:val="0"/>
    <w:rPr>
      <w:rFonts w:ascii="宋体"/>
      <w:kern w:val="0"/>
      <w:sz w:val="20"/>
      <w:szCs w:val="20"/>
    </w:rPr>
  </w:style>
  <w:style w:type="paragraph" w:customStyle="1" w:styleId="16">
    <w:name w:val="null3"/>
    <w:basedOn w:val="0"/>
    <w:pPr>
      <w:widowControl/>
      <w:jc w:val="left"/>
    </w:pPr>
    <w:rPr>
      <w:kern w:val="0"/>
      <w:sz w:val="24"/>
      <w:szCs w:val="24"/>
    </w:rPr>
  </w:style>
  <w:style w:type="character" w:customStyle="1" w:styleId="17">
    <w:name w:val="15"/>
    <w:basedOn w:val="10"/>
    <w:rPr>
      <w:rFonts w:ascii="宋体" w:eastAsia="宋体"/>
      <w:color w:val="000000"/>
      <w:sz w:val="24"/>
      <w:szCs w:val="24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2</Pages>
  <Words>1161</Words>
  <Characters>1235</Characters>
  <Lines>87</Lines>
  <Paragraphs>53</Paragraphs>
  <CharactersWithSpaces>1256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郁风</cp:lastModifiedBy>
  <cp:revision>3</cp:revision>
  <dcterms:created xsi:type="dcterms:W3CDTF">2026-08-03T04:13:00Z</dcterms:created>
  <dcterms:modified xsi:type="dcterms:W3CDTF">2026-08-04T02:50:59Z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eyJoZGlkIjoiMzVjYjk2NjlhNzMxMGM4ZWNlMjMzOTY2YjVjMjc0NDMiLCJ1c2VySWQiOiIxNjAyOTUwNjY2In0=</vt:lpwstr>
  </property>
  <property fmtid="{D5CDD505-2E9C-101B-9397-08002B2CF9AE}" pid="3" name="KSOProductBuildVer">
    <vt:lpwstr>2052-12.1.0.23542</vt:lpwstr>
  </property>
  <property fmtid="{D5CDD505-2E9C-101B-9397-08002B2CF9AE}" pid="4" name="ICV">
    <vt:lpwstr>4BE91979BE2240639AC951E6DC1EFA4B_13</vt:lpwstr>
  </property>
</Properties>
</file>